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7E08C7" w14:textId="77777777" w:rsidR="00CA37D0" w:rsidRPr="00A66F03" w:rsidRDefault="00976636" w:rsidP="00B72629">
      <w:pPr>
        <w:shd w:val="clear" w:color="auto" w:fill="FFFFFF"/>
        <w:spacing w:after="0" w:line="276" w:lineRule="auto"/>
        <w:jc w:val="center"/>
        <w:rPr>
          <w:rFonts w:ascii="Times New Roman" w:eastAsia="Times New Roman" w:hAnsi="Times New Roman" w:cs="Times New Roman"/>
          <w:b/>
          <w:bCs/>
          <w:color w:val="444444"/>
          <w:sz w:val="27"/>
          <w:szCs w:val="27"/>
          <w:lang w:val="en-GB"/>
        </w:rPr>
      </w:pPr>
      <w:bookmarkStart w:id="0" w:name="_GoBack"/>
      <w:bookmarkEnd w:id="0"/>
      <w:r w:rsidRPr="00A66F03">
        <w:rPr>
          <w:rFonts w:ascii="Times New Roman" w:hAnsi="Times New Roman" w:cs="Times New Roman"/>
          <w:noProof/>
          <w:lang w:eastAsia="sl-SI"/>
        </w:rPr>
        <w:drawing>
          <wp:inline distT="0" distB="0" distL="0" distR="0" wp14:anchorId="439ACF08" wp14:editId="25054DFC">
            <wp:extent cx="4104136" cy="112903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805907" name=""/>
                    <pic:cNvPicPr/>
                  </pic:nvPicPr>
                  <pic:blipFill>
                    <a:blip r:embed="rId8"/>
                    <a:stretch>
                      <a:fillRect/>
                    </a:stretch>
                  </pic:blipFill>
                  <pic:spPr>
                    <a:xfrm>
                      <a:off x="0" y="0"/>
                      <a:ext cx="4249427" cy="1168999"/>
                    </a:xfrm>
                    <a:prstGeom prst="rect">
                      <a:avLst/>
                    </a:prstGeom>
                  </pic:spPr>
                </pic:pic>
              </a:graphicData>
            </a:graphic>
          </wp:inline>
        </w:drawing>
      </w:r>
    </w:p>
    <w:p w14:paraId="72237B54" w14:textId="77777777" w:rsidR="00CA37D0" w:rsidRPr="00A66F03" w:rsidRDefault="00CA37D0" w:rsidP="00B72629">
      <w:pPr>
        <w:shd w:val="clear" w:color="auto" w:fill="FFFFFF"/>
        <w:spacing w:after="0" w:line="276" w:lineRule="auto"/>
        <w:jc w:val="center"/>
        <w:rPr>
          <w:rFonts w:ascii="Times New Roman" w:eastAsia="Times New Roman" w:hAnsi="Times New Roman" w:cs="Times New Roman"/>
          <w:b/>
          <w:bCs/>
          <w:color w:val="444444"/>
          <w:sz w:val="27"/>
          <w:szCs w:val="27"/>
          <w:lang w:val="en-GB"/>
        </w:rPr>
      </w:pPr>
    </w:p>
    <w:p w14:paraId="563F38D4" w14:textId="77777777" w:rsidR="00CA37D0" w:rsidRPr="00A66F03" w:rsidRDefault="00CA37D0" w:rsidP="00B72629">
      <w:pPr>
        <w:shd w:val="clear" w:color="auto" w:fill="FFFFFF"/>
        <w:spacing w:after="0" w:line="276" w:lineRule="auto"/>
        <w:jc w:val="center"/>
        <w:rPr>
          <w:rFonts w:ascii="Times New Roman" w:eastAsia="Times New Roman" w:hAnsi="Times New Roman" w:cs="Times New Roman"/>
          <w:b/>
          <w:bCs/>
          <w:color w:val="444444"/>
          <w:sz w:val="27"/>
          <w:szCs w:val="27"/>
          <w:lang w:val="en-GB"/>
        </w:rPr>
      </w:pPr>
    </w:p>
    <w:p w14:paraId="52740BD5" w14:textId="77777777" w:rsidR="00CA37D0" w:rsidRPr="00A66F03" w:rsidRDefault="00CA37D0" w:rsidP="00B72629">
      <w:pPr>
        <w:shd w:val="clear" w:color="auto" w:fill="FFFFFF"/>
        <w:spacing w:after="0" w:line="276" w:lineRule="auto"/>
        <w:jc w:val="center"/>
        <w:rPr>
          <w:rFonts w:ascii="Times New Roman" w:eastAsia="Times New Roman" w:hAnsi="Times New Roman" w:cs="Times New Roman"/>
          <w:b/>
          <w:bCs/>
          <w:color w:val="444444"/>
          <w:sz w:val="27"/>
          <w:szCs w:val="27"/>
          <w:lang w:val="en-GB"/>
        </w:rPr>
      </w:pPr>
    </w:p>
    <w:p w14:paraId="48F6DD05" w14:textId="77777777" w:rsidR="00DD4EC9" w:rsidRPr="00A66F03" w:rsidRDefault="00DD4EC9" w:rsidP="00B72629">
      <w:pPr>
        <w:shd w:val="clear" w:color="auto" w:fill="FFFFFF"/>
        <w:spacing w:after="0" w:line="276" w:lineRule="auto"/>
        <w:jc w:val="center"/>
        <w:rPr>
          <w:rFonts w:ascii="Times New Roman" w:eastAsia="Times New Roman" w:hAnsi="Times New Roman" w:cs="Times New Roman"/>
          <w:b/>
          <w:sz w:val="36"/>
          <w:szCs w:val="36"/>
          <w:lang w:val="en-GB"/>
        </w:rPr>
      </w:pPr>
    </w:p>
    <w:p w14:paraId="4189DF35" w14:textId="77777777" w:rsidR="00DD4EC9" w:rsidRPr="00A66F03" w:rsidRDefault="00DD4EC9" w:rsidP="00B72629">
      <w:pPr>
        <w:shd w:val="clear" w:color="auto" w:fill="FFFFFF"/>
        <w:spacing w:after="0" w:line="276" w:lineRule="auto"/>
        <w:jc w:val="center"/>
        <w:rPr>
          <w:rFonts w:ascii="Times New Roman" w:eastAsia="Times New Roman" w:hAnsi="Times New Roman" w:cs="Times New Roman"/>
          <w:b/>
          <w:sz w:val="36"/>
          <w:szCs w:val="36"/>
          <w:lang w:val="en-GB"/>
        </w:rPr>
      </w:pPr>
    </w:p>
    <w:p w14:paraId="6144DEA6" w14:textId="77777777" w:rsidR="00DD4EC9" w:rsidRPr="00A66F03" w:rsidRDefault="00DD4EC9" w:rsidP="00B72629">
      <w:pPr>
        <w:shd w:val="clear" w:color="auto" w:fill="FFFFFF"/>
        <w:spacing w:after="0" w:line="276" w:lineRule="auto"/>
        <w:jc w:val="center"/>
        <w:rPr>
          <w:rFonts w:ascii="Times New Roman" w:eastAsia="Times New Roman" w:hAnsi="Times New Roman" w:cs="Times New Roman"/>
          <w:b/>
          <w:sz w:val="36"/>
          <w:szCs w:val="36"/>
          <w:lang w:val="en-GB"/>
        </w:rPr>
      </w:pPr>
    </w:p>
    <w:p w14:paraId="2A1E83D0" w14:textId="77777777" w:rsidR="00DD4EC9" w:rsidRPr="00A66F03" w:rsidRDefault="00DD4EC9" w:rsidP="00B72629">
      <w:pPr>
        <w:shd w:val="clear" w:color="auto" w:fill="FFFFFF"/>
        <w:spacing w:after="0" w:line="276" w:lineRule="auto"/>
        <w:jc w:val="center"/>
        <w:rPr>
          <w:rFonts w:ascii="Times New Roman" w:eastAsia="Times New Roman" w:hAnsi="Times New Roman" w:cs="Times New Roman"/>
          <w:b/>
          <w:sz w:val="36"/>
          <w:szCs w:val="36"/>
          <w:lang w:val="en-GB"/>
        </w:rPr>
      </w:pPr>
    </w:p>
    <w:p w14:paraId="6FB37F8D" w14:textId="77777777" w:rsidR="00431F4C" w:rsidRPr="00A66F03" w:rsidRDefault="00431F4C" w:rsidP="00B72629">
      <w:pPr>
        <w:shd w:val="clear" w:color="auto" w:fill="FFFFFF"/>
        <w:spacing w:after="0" w:line="276" w:lineRule="auto"/>
        <w:jc w:val="center"/>
        <w:rPr>
          <w:rFonts w:ascii="Times New Roman" w:eastAsia="Times New Roman" w:hAnsi="Times New Roman" w:cs="Times New Roman"/>
          <w:b/>
          <w:sz w:val="36"/>
          <w:szCs w:val="36"/>
          <w:lang w:val="en-GB"/>
        </w:rPr>
      </w:pPr>
    </w:p>
    <w:p w14:paraId="54313EE1" w14:textId="77777777" w:rsidR="00431F4C" w:rsidRPr="00A66F03" w:rsidRDefault="00431F4C" w:rsidP="00B72629">
      <w:pPr>
        <w:shd w:val="clear" w:color="auto" w:fill="FFFFFF"/>
        <w:spacing w:after="0" w:line="276" w:lineRule="auto"/>
        <w:jc w:val="center"/>
        <w:rPr>
          <w:rFonts w:ascii="Times New Roman" w:eastAsia="Times New Roman" w:hAnsi="Times New Roman" w:cs="Times New Roman"/>
          <w:b/>
          <w:sz w:val="36"/>
          <w:szCs w:val="36"/>
          <w:lang w:val="en-GB"/>
        </w:rPr>
      </w:pPr>
    </w:p>
    <w:p w14:paraId="004624EB" w14:textId="77777777" w:rsidR="00DD4EC9" w:rsidRPr="00A66F03" w:rsidRDefault="00DD4EC9" w:rsidP="00B72629">
      <w:pPr>
        <w:shd w:val="clear" w:color="auto" w:fill="FFFFFF"/>
        <w:spacing w:after="0" w:line="276" w:lineRule="auto"/>
        <w:rPr>
          <w:rFonts w:ascii="Times New Roman" w:eastAsia="Times New Roman" w:hAnsi="Times New Roman" w:cs="Times New Roman"/>
          <w:b/>
          <w:sz w:val="36"/>
          <w:szCs w:val="36"/>
          <w:lang w:val="en-GB"/>
        </w:rPr>
      </w:pPr>
    </w:p>
    <w:p w14:paraId="1E03036B" w14:textId="77777777" w:rsidR="00CA37D0" w:rsidRPr="00A66F03" w:rsidRDefault="00976636" w:rsidP="00B72629">
      <w:pPr>
        <w:shd w:val="clear" w:color="auto" w:fill="FFFFFF"/>
        <w:spacing w:after="0" w:line="276" w:lineRule="auto"/>
        <w:jc w:val="center"/>
        <w:rPr>
          <w:rFonts w:ascii="Times New Roman" w:eastAsia="Times New Roman" w:hAnsi="Times New Roman" w:cs="Times New Roman"/>
          <w:b/>
          <w:sz w:val="36"/>
          <w:szCs w:val="36"/>
          <w:lang w:val="en-GB"/>
        </w:rPr>
      </w:pPr>
      <w:r w:rsidRPr="00A66F03">
        <w:rPr>
          <w:rFonts w:ascii="Times New Roman" w:hAnsi="Times New Roman" w:cs="Times New Roman"/>
          <w:b/>
          <w:bCs/>
          <w:sz w:val="36"/>
          <w:szCs w:val="36"/>
          <w:lang w:val="en-GB"/>
        </w:rPr>
        <w:t>Partnership Agreement between Slovenia and the European Commission 2021</w:t>
      </w:r>
      <w:r w:rsidRPr="00A66F03">
        <w:rPr>
          <w:rFonts w:ascii="Times New Roman" w:hAnsi="Times New Roman" w:cs="Times New Roman"/>
          <w:color w:val="000000"/>
          <w:lang w:val="en-GB"/>
        </w:rPr>
        <w:t>–</w:t>
      </w:r>
      <w:r w:rsidRPr="00A66F03">
        <w:rPr>
          <w:rFonts w:ascii="Times New Roman" w:hAnsi="Times New Roman" w:cs="Times New Roman"/>
          <w:b/>
          <w:bCs/>
          <w:sz w:val="36"/>
          <w:szCs w:val="36"/>
          <w:lang w:val="en-GB"/>
        </w:rPr>
        <w:t>2027</w:t>
      </w:r>
    </w:p>
    <w:p w14:paraId="74A6F49D" w14:textId="77777777" w:rsidR="00CA37D0" w:rsidRPr="00A66F03" w:rsidRDefault="00CA37D0" w:rsidP="00B72629">
      <w:pPr>
        <w:shd w:val="clear" w:color="auto" w:fill="FFFFFF"/>
        <w:spacing w:after="0" w:line="276" w:lineRule="auto"/>
        <w:jc w:val="center"/>
        <w:rPr>
          <w:rFonts w:ascii="Times New Roman" w:eastAsia="Times New Roman" w:hAnsi="Times New Roman" w:cs="Times New Roman"/>
          <w:b/>
          <w:sz w:val="36"/>
          <w:szCs w:val="36"/>
          <w:lang w:val="en-GB"/>
        </w:rPr>
      </w:pPr>
    </w:p>
    <w:p w14:paraId="440323F8" w14:textId="77777777" w:rsidR="00CA37D0" w:rsidRPr="00A66F03" w:rsidRDefault="00CA37D0" w:rsidP="00B72629">
      <w:pPr>
        <w:shd w:val="clear" w:color="auto" w:fill="FFFFFF"/>
        <w:spacing w:after="0" w:line="276" w:lineRule="auto"/>
        <w:jc w:val="center"/>
        <w:rPr>
          <w:rFonts w:ascii="Times New Roman" w:eastAsia="Times New Roman" w:hAnsi="Times New Roman" w:cs="Times New Roman"/>
          <w:b/>
          <w:sz w:val="36"/>
          <w:szCs w:val="36"/>
          <w:lang w:val="en-GB"/>
        </w:rPr>
      </w:pPr>
    </w:p>
    <w:p w14:paraId="4787C187" w14:textId="77777777" w:rsidR="00CA37D0" w:rsidRPr="00A66F03" w:rsidRDefault="00CA37D0" w:rsidP="00B72629">
      <w:pPr>
        <w:shd w:val="clear" w:color="auto" w:fill="FFFFFF"/>
        <w:spacing w:after="0" w:line="276" w:lineRule="auto"/>
        <w:jc w:val="center"/>
        <w:rPr>
          <w:rFonts w:ascii="Times New Roman" w:eastAsia="Times New Roman" w:hAnsi="Times New Roman" w:cs="Times New Roman"/>
          <w:b/>
          <w:sz w:val="36"/>
          <w:szCs w:val="36"/>
          <w:lang w:val="en-GB"/>
        </w:rPr>
      </w:pPr>
    </w:p>
    <w:p w14:paraId="3E18291E" w14:textId="77777777" w:rsidR="00CA37D0" w:rsidRPr="00A66F03" w:rsidRDefault="00CA37D0" w:rsidP="00B72629">
      <w:pPr>
        <w:shd w:val="clear" w:color="auto" w:fill="FFFFFF"/>
        <w:spacing w:after="0" w:line="276" w:lineRule="auto"/>
        <w:jc w:val="center"/>
        <w:rPr>
          <w:rFonts w:ascii="Times New Roman" w:eastAsia="Times New Roman" w:hAnsi="Times New Roman" w:cs="Times New Roman"/>
          <w:b/>
          <w:sz w:val="36"/>
          <w:szCs w:val="36"/>
          <w:lang w:val="en-GB"/>
        </w:rPr>
      </w:pPr>
    </w:p>
    <w:p w14:paraId="3FEE2BE8" w14:textId="77777777" w:rsidR="00CA37D0" w:rsidRPr="00A66F03" w:rsidRDefault="00CA37D0" w:rsidP="00B72629">
      <w:pPr>
        <w:shd w:val="clear" w:color="auto" w:fill="FFFFFF"/>
        <w:spacing w:after="0" w:line="276" w:lineRule="auto"/>
        <w:jc w:val="center"/>
        <w:rPr>
          <w:rFonts w:ascii="Times New Roman" w:eastAsia="Times New Roman" w:hAnsi="Times New Roman" w:cs="Times New Roman"/>
          <w:b/>
          <w:sz w:val="36"/>
          <w:szCs w:val="36"/>
          <w:lang w:val="en-GB"/>
        </w:rPr>
      </w:pPr>
    </w:p>
    <w:p w14:paraId="2F172C1D" w14:textId="77777777" w:rsidR="00CA37D0" w:rsidRPr="00A66F03" w:rsidRDefault="00CA37D0" w:rsidP="00B72629">
      <w:pPr>
        <w:shd w:val="clear" w:color="auto" w:fill="FFFFFF"/>
        <w:spacing w:after="0" w:line="276" w:lineRule="auto"/>
        <w:rPr>
          <w:rFonts w:ascii="Times New Roman" w:eastAsia="Times New Roman" w:hAnsi="Times New Roman" w:cs="Times New Roman"/>
          <w:b/>
          <w:sz w:val="36"/>
          <w:szCs w:val="36"/>
          <w:lang w:val="en-GB"/>
        </w:rPr>
      </w:pPr>
    </w:p>
    <w:p w14:paraId="27041D4B" w14:textId="77777777" w:rsidR="00431F4C" w:rsidRPr="00A66F03" w:rsidRDefault="00431F4C" w:rsidP="00B72629">
      <w:pPr>
        <w:shd w:val="clear" w:color="auto" w:fill="FFFFFF"/>
        <w:spacing w:after="0" w:line="276" w:lineRule="auto"/>
        <w:rPr>
          <w:rFonts w:ascii="Times New Roman" w:eastAsia="Times New Roman" w:hAnsi="Times New Roman" w:cs="Times New Roman"/>
          <w:b/>
          <w:sz w:val="36"/>
          <w:szCs w:val="36"/>
          <w:lang w:val="en-GB"/>
        </w:rPr>
      </w:pPr>
    </w:p>
    <w:p w14:paraId="63E48808" w14:textId="77777777" w:rsidR="00431F4C" w:rsidRPr="00A66F03" w:rsidRDefault="00431F4C" w:rsidP="00B72629">
      <w:pPr>
        <w:shd w:val="clear" w:color="auto" w:fill="FFFFFF"/>
        <w:spacing w:after="0" w:line="276" w:lineRule="auto"/>
        <w:rPr>
          <w:rFonts w:ascii="Times New Roman" w:eastAsia="Times New Roman" w:hAnsi="Times New Roman" w:cs="Times New Roman"/>
          <w:b/>
          <w:sz w:val="36"/>
          <w:szCs w:val="36"/>
          <w:lang w:val="en-GB"/>
        </w:rPr>
      </w:pPr>
    </w:p>
    <w:p w14:paraId="5143872D" w14:textId="77777777" w:rsidR="00431F4C" w:rsidRPr="00A66F03" w:rsidRDefault="00431F4C" w:rsidP="00B72629">
      <w:pPr>
        <w:shd w:val="clear" w:color="auto" w:fill="FFFFFF"/>
        <w:spacing w:after="0" w:line="276" w:lineRule="auto"/>
        <w:rPr>
          <w:rFonts w:ascii="Times New Roman" w:eastAsia="Times New Roman" w:hAnsi="Times New Roman" w:cs="Times New Roman"/>
          <w:b/>
          <w:sz w:val="36"/>
          <w:szCs w:val="36"/>
          <w:lang w:val="en-GB"/>
        </w:rPr>
      </w:pPr>
    </w:p>
    <w:p w14:paraId="26A5B53F" w14:textId="77777777" w:rsidR="00431F4C" w:rsidRPr="00A66F03" w:rsidRDefault="00431F4C" w:rsidP="00B72629">
      <w:pPr>
        <w:shd w:val="clear" w:color="auto" w:fill="FFFFFF"/>
        <w:spacing w:after="0" w:line="276" w:lineRule="auto"/>
        <w:rPr>
          <w:rFonts w:ascii="Times New Roman" w:eastAsia="Times New Roman" w:hAnsi="Times New Roman" w:cs="Times New Roman"/>
          <w:b/>
          <w:sz w:val="36"/>
          <w:szCs w:val="36"/>
          <w:lang w:val="en-GB"/>
        </w:rPr>
      </w:pPr>
    </w:p>
    <w:p w14:paraId="3E26FAF1" w14:textId="77777777" w:rsidR="00431F4C" w:rsidRPr="00A66F03" w:rsidRDefault="00431F4C" w:rsidP="00B72629">
      <w:pPr>
        <w:shd w:val="clear" w:color="auto" w:fill="FFFFFF"/>
        <w:spacing w:after="0" w:line="276" w:lineRule="auto"/>
        <w:rPr>
          <w:rFonts w:ascii="Times New Roman" w:eastAsia="Times New Roman" w:hAnsi="Times New Roman" w:cs="Times New Roman"/>
          <w:b/>
          <w:sz w:val="36"/>
          <w:szCs w:val="36"/>
          <w:lang w:val="en-GB"/>
        </w:rPr>
      </w:pPr>
    </w:p>
    <w:p w14:paraId="7875CD35" w14:textId="77777777" w:rsidR="00431F4C" w:rsidRPr="00A66F03" w:rsidRDefault="00431F4C" w:rsidP="00B72629">
      <w:pPr>
        <w:shd w:val="clear" w:color="auto" w:fill="FFFFFF"/>
        <w:spacing w:after="0" w:line="276" w:lineRule="auto"/>
        <w:rPr>
          <w:rFonts w:ascii="Times New Roman" w:eastAsia="Times New Roman" w:hAnsi="Times New Roman" w:cs="Times New Roman"/>
          <w:b/>
          <w:sz w:val="36"/>
          <w:szCs w:val="36"/>
          <w:lang w:val="en-GB"/>
        </w:rPr>
      </w:pPr>
    </w:p>
    <w:p w14:paraId="5A4E6C67" w14:textId="77777777" w:rsidR="00DD4EC9" w:rsidRPr="00A66F03" w:rsidRDefault="00DD4EC9" w:rsidP="00B72629">
      <w:pPr>
        <w:shd w:val="clear" w:color="auto" w:fill="FFFFFF"/>
        <w:spacing w:after="0" w:line="276" w:lineRule="auto"/>
        <w:jc w:val="center"/>
        <w:rPr>
          <w:rFonts w:ascii="Times New Roman" w:eastAsia="Times New Roman" w:hAnsi="Times New Roman" w:cs="Times New Roman"/>
          <w:sz w:val="24"/>
          <w:szCs w:val="24"/>
          <w:lang w:val="en-GB"/>
        </w:rPr>
      </w:pPr>
    </w:p>
    <w:p w14:paraId="0DA198E4" w14:textId="77777777" w:rsidR="00431F4C" w:rsidRPr="00A66F03" w:rsidRDefault="00976636" w:rsidP="00B72629">
      <w:pPr>
        <w:shd w:val="clear" w:color="auto" w:fill="FFFFFF"/>
        <w:spacing w:after="0" w:line="276" w:lineRule="auto"/>
        <w:jc w:val="center"/>
        <w:rPr>
          <w:rFonts w:ascii="Times New Roman" w:eastAsia="Times New Roman" w:hAnsi="Times New Roman" w:cs="Times New Roman"/>
          <w:sz w:val="24"/>
          <w:szCs w:val="24"/>
          <w:lang w:val="en-GB"/>
        </w:rPr>
      </w:pPr>
      <w:r w:rsidRPr="00A66F03">
        <w:rPr>
          <w:rFonts w:ascii="Times New Roman" w:eastAsia="Times New Roman" w:hAnsi="Times New Roman" w:cs="Times New Roman"/>
          <w:sz w:val="24"/>
          <w:szCs w:val="24"/>
          <w:lang w:val="en-GB"/>
        </w:rPr>
        <w:t>Ljubljana, July 2022</w:t>
      </w:r>
    </w:p>
    <w:p w14:paraId="0B7324C5" w14:textId="77777777" w:rsidR="009D37A0" w:rsidRPr="00A66F03" w:rsidRDefault="009D37A0" w:rsidP="009D37A0">
      <w:pPr>
        <w:rPr>
          <w:lang w:val="en-GB"/>
        </w:rPr>
      </w:pPr>
    </w:p>
    <w:p w14:paraId="5B56470C" w14:textId="77777777" w:rsidR="003005D9" w:rsidRPr="00A66F03" w:rsidRDefault="00976636" w:rsidP="009D37A0">
      <w:pPr>
        <w:rPr>
          <w:rFonts w:ascii="Times New Roman" w:hAnsi="Times New Roman" w:cs="Times New Roman"/>
          <w:b/>
          <w:color w:val="4472C4" w:themeColor="accent5"/>
          <w:sz w:val="28"/>
          <w:szCs w:val="28"/>
          <w:lang w:val="en-GB"/>
        </w:rPr>
      </w:pPr>
      <w:r w:rsidRPr="00A66F03">
        <w:rPr>
          <w:rFonts w:ascii="Times New Roman" w:hAnsi="Times New Roman" w:cs="Times New Roman"/>
          <w:b/>
          <w:bCs/>
          <w:color w:val="4472C4" w:themeColor="accent5"/>
          <w:sz w:val="28"/>
          <w:szCs w:val="28"/>
          <w:lang w:val="en-GB"/>
        </w:rPr>
        <w:lastRenderedPageBreak/>
        <w:t>Table of contents</w:t>
      </w:r>
    </w:p>
    <w:p w14:paraId="17F07B04" w14:textId="77777777" w:rsidR="003005D9" w:rsidRPr="00A66F03" w:rsidRDefault="003005D9" w:rsidP="00B72629">
      <w:pPr>
        <w:spacing w:after="0" w:line="276" w:lineRule="auto"/>
        <w:rPr>
          <w:rFonts w:ascii="Times New Roman" w:hAnsi="Times New Roman" w:cs="Times New Roman"/>
          <w:lang w:val="en-GB"/>
        </w:rPr>
      </w:pPr>
    </w:p>
    <w:p w14:paraId="579D28FF" w14:textId="738480D1" w:rsidR="007A6032" w:rsidRPr="00A66F03" w:rsidRDefault="00976636">
      <w:pPr>
        <w:pStyle w:val="Kazalovsebine1"/>
        <w:rPr>
          <w:rFonts w:cstheme="minorBidi"/>
          <w:noProof/>
          <w:lang w:val="en-GB"/>
        </w:rPr>
      </w:pPr>
      <w:r w:rsidRPr="00A66F03">
        <w:rPr>
          <w:rFonts w:ascii="Times New Roman" w:eastAsia="Times New Roman" w:hAnsi="Times New Roman"/>
          <w:sz w:val="24"/>
          <w:szCs w:val="24"/>
          <w:lang w:val="en-GB"/>
        </w:rPr>
        <w:fldChar w:fldCharType="begin"/>
      </w:r>
      <w:r w:rsidRPr="00A66F03">
        <w:rPr>
          <w:rFonts w:ascii="Times New Roman" w:eastAsia="Times New Roman" w:hAnsi="Times New Roman"/>
          <w:sz w:val="24"/>
          <w:szCs w:val="24"/>
          <w:lang w:val="en-GB"/>
        </w:rPr>
        <w:instrText xml:space="preserve"> TOC \o "1-3" \h \z \u </w:instrText>
      </w:r>
      <w:r w:rsidRPr="00A66F03">
        <w:rPr>
          <w:rFonts w:ascii="Times New Roman" w:eastAsia="Times New Roman" w:hAnsi="Times New Roman"/>
          <w:sz w:val="24"/>
          <w:szCs w:val="24"/>
          <w:lang w:val="en-GB"/>
        </w:rPr>
        <w:fldChar w:fldCharType="separate"/>
      </w:r>
      <w:hyperlink w:anchor="_Toc115336006" w:history="1">
        <w:r w:rsidR="007A6032" w:rsidRPr="00A66F03">
          <w:rPr>
            <w:rStyle w:val="Hiperpovezava"/>
            <w:bCs/>
            <w:noProof/>
            <w:lang w:val="en-GB"/>
          </w:rPr>
          <w:t>1.   Selected policy objectives and the JTF-specific objective</w:t>
        </w:r>
        <w:r w:rsidR="007A6032" w:rsidRPr="00A66F03">
          <w:rPr>
            <w:noProof/>
            <w:webHidden/>
            <w:lang w:val="en-GB"/>
          </w:rPr>
          <w:tab/>
        </w:r>
        <w:r w:rsidR="007A6032" w:rsidRPr="00A66F03">
          <w:rPr>
            <w:noProof/>
            <w:webHidden/>
            <w:lang w:val="en-GB"/>
          </w:rPr>
          <w:fldChar w:fldCharType="begin"/>
        </w:r>
        <w:r w:rsidR="007A6032" w:rsidRPr="00A66F03">
          <w:rPr>
            <w:noProof/>
            <w:webHidden/>
            <w:lang w:val="en-GB"/>
          </w:rPr>
          <w:instrText xml:space="preserve"> PAGEREF _Toc115336006 \h </w:instrText>
        </w:r>
        <w:r w:rsidR="007A6032" w:rsidRPr="00A66F03">
          <w:rPr>
            <w:noProof/>
            <w:webHidden/>
            <w:lang w:val="en-GB"/>
          </w:rPr>
        </w:r>
        <w:r w:rsidR="007A6032" w:rsidRPr="00A66F03">
          <w:rPr>
            <w:noProof/>
            <w:webHidden/>
            <w:lang w:val="en-GB"/>
          </w:rPr>
          <w:fldChar w:fldCharType="separate"/>
        </w:r>
        <w:r w:rsidR="002C3693">
          <w:rPr>
            <w:noProof/>
            <w:webHidden/>
            <w:lang w:val="en-GB"/>
          </w:rPr>
          <w:t>5</w:t>
        </w:r>
        <w:r w:rsidR="007A6032" w:rsidRPr="00A66F03">
          <w:rPr>
            <w:noProof/>
            <w:webHidden/>
            <w:lang w:val="en-GB"/>
          </w:rPr>
          <w:fldChar w:fldCharType="end"/>
        </w:r>
      </w:hyperlink>
    </w:p>
    <w:p w14:paraId="433AB566" w14:textId="5D008F7F" w:rsidR="007A6032" w:rsidRPr="00A66F03" w:rsidRDefault="00976636">
      <w:pPr>
        <w:pStyle w:val="Kazalovsebine1"/>
        <w:rPr>
          <w:rFonts w:cstheme="minorBidi"/>
          <w:noProof/>
          <w:lang w:val="en-GB"/>
        </w:rPr>
      </w:pPr>
      <w:hyperlink w:anchor="_Toc115336007" w:history="1">
        <w:r w:rsidR="007A6032" w:rsidRPr="00A66F03">
          <w:rPr>
            <w:rStyle w:val="Hiperpovezava"/>
            <w:rFonts w:eastAsia="Times New Roman"/>
            <w:bCs/>
            <w:noProof/>
            <w:lang w:val="en-GB"/>
          </w:rPr>
          <w:t>2.   Policy choices, coordination and complementarity</w:t>
        </w:r>
        <w:r w:rsidR="007A6032" w:rsidRPr="00A66F03">
          <w:rPr>
            <w:noProof/>
            <w:webHidden/>
            <w:lang w:val="en-GB"/>
          </w:rPr>
          <w:tab/>
        </w:r>
        <w:r w:rsidR="007A6032" w:rsidRPr="00A66F03">
          <w:rPr>
            <w:noProof/>
            <w:webHidden/>
            <w:lang w:val="en-GB"/>
          </w:rPr>
          <w:fldChar w:fldCharType="begin"/>
        </w:r>
        <w:r w:rsidR="007A6032" w:rsidRPr="00A66F03">
          <w:rPr>
            <w:noProof/>
            <w:webHidden/>
            <w:lang w:val="en-GB"/>
          </w:rPr>
          <w:instrText xml:space="preserve"> PAGEREF _Toc115336007 \h </w:instrText>
        </w:r>
        <w:r w:rsidR="007A6032" w:rsidRPr="00A66F03">
          <w:rPr>
            <w:noProof/>
            <w:webHidden/>
            <w:lang w:val="en-GB"/>
          </w:rPr>
        </w:r>
        <w:r w:rsidR="007A6032" w:rsidRPr="00A66F03">
          <w:rPr>
            <w:noProof/>
            <w:webHidden/>
            <w:lang w:val="en-GB"/>
          </w:rPr>
          <w:fldChar w:fldCharType="separate"/>
        </w:r>
        <w:r w:rsidR="002C3693">
          <w:rPr>
            <w:noProof/>
            <w:webHidden/>
            <w:lang w:val="en-GB"/>
          </w:rPr>
          <w:t>28</w:t>
        </w:r>
        <w:r w:rsidR="007A6032" w:rsidRPr="00A66F03">
          <w:rPr>
            <w:noProof/>
            <w:webHidden/>
            <w:lang w:val="en-GB"/>
          </w:rPr>
          <w:fldChar w:fldCharType="end"/>
        </w:r>
      </w:hyperlink>
    </w:p>
    <w:p w14:paraId="3E4DE013" w14:textId="36E86C13" w:rsidR="007A6032" w:rsidRPr="00A66F03" w:rsidRDefault="00976636">
      <w:pPr>
        <w:pStyle w:val="Kazalovsebine2"/>
        <w:rPr>
          <w:rFonts w:cstheme="minorBidi"/>
          <w:noProof/>
          <w:lang w:val="en-GB"/>
        </w:rPr>
      </w:pPr>
      <w:hyperlink w:anchor="_Toc115336008" w:history="1">
        <w:r w:rsidR="007A6032" w:rsidRPr="00A66F03">
          <w:rPr>
            <w:rStyle w:val="Hiperpovezava"/>
            <w:noProof/>
            <w:lang w:val="en-GB"/>
          </w:rPr>
          <w:t>Policy Objective 1: A more competitive and smarter Europe by promoting innovative and smart economic transformation and regional ICT connectivity</w:t>
        </w:r>
        <w:r w:rsidR="007A6032" w:rsidRPr="00A66F03">
          <w:rPr>
            <w:noProof/>
            <w:webHidden/>
            <w:lang w:val="en-GB"/>
          </w:rPr>
          <w:tab/>
        </w:r>
        <w:r w:rsidR="007A6032" w:rsidRPr="00A66F03">
          <w:rPr>
            <w:noProof/>
            <w:webHidden/>
            <w:lang w:val="en-GB"/>
          </w:rPr>
          <w:fldChar w:fldCharType="begin"/>
        </w:r>
        <w:r w:rsidR="007A6032" w:rsidRPr="00A66F03">
          <w:rPr>
            <w:noProof/>
            <w:webHidden/>
            <w:lang w:val="en-GB"/>
          </w:rPr>
          <w:instrText xml:space="preserve"> PAGEREF _Toc115336008 \h </w:instrText>
        </w:r>
        <w:r w:rsidR="007A6032" w:rsidRPr="00A66F03">
          <w:rPr>
            <w:noProof/>
            <w:webHidden/>
            <w:lang w:val="en-GB"/>
          </w:rPr>
        </w:r>
        <w:r w:rsidR="007A6032" w:rsidRPr="00A66F03">
          <w:rPr>
            <w:noProof/>
            <w:webHidden/>
            <w:lang w:val="en-GB"/>
          </w:rPr>
          <w:fldChar w:fldCharType="separate"/>
        </w:r>
        <w:r w:rsidR="002C3693">
          <w:rPr>
            <w:noProof/>
            <w:webHidden/>
            <w:lang w:val="en-GB"/>
          </w:rPr>
          <w:t>28</w:t>
        </w:r>
        <w:r w:rsidR="007A6032" w:rsidRPr="00A66F03">
          <w:rPr>
            <w:noProof/>
            <w:webHidden/>
            <w:lang w:val="en-GB"/>
          </w:rPr>
          <w:fldChar w:fldCharType="end"/>
        </w:r>
      </w:hyperlink>
    </w:p>
    <w:p w14:paraId="4C9A0075" w14:textId="511DC98A" w:rsidR="007A6032" w:rsidRPr="00A66F03" w:rsidRDefault="00976636">
      <w:pPr>
        <w:pStyle w:val="Kazalovsebine2"/>
        <w:rPr>
          <w:rFonts w:cstheme="minorBidi"/>
          <w:noProof/>
          <w:lang w:val="en-GB"/>
        </w:rPr>
      </w:pPr>
      <w:hyperlink w:anchor="_Toc115336009" w:history="1">
        <w:r w:rsidR="007A6032" w:rsidRPr="00A66F03">
          <w:rPr>
            <w:rStyle w:val="Hiperpovezava"/>
            <w:noProof/>
            <w:lang w:val="en-GB"/>
          </w:rPr>
          <w:t>Policy Objective 2: A greener, low-carbon Europe transitioning towards a net-zero carbon economy and resilient Europe by promoting clean and fair energy transition, green and blue investment, the circular economy, climate change mitigation and adaptation and risk prevention and management, and sustainable urban mobility</w:t>
        </w:r>
        <w:r w:rsidR="007A6032" w:rsidRPr="00A66F03">
          <w:rPr>
            <w:noProof/>
            <w:webHidden/>
            <w:lang w:val="en-GB"/>
          </w:rPr>
          <w:tab/>
        </w:r>
        <w:r w:rsidR="007A6032" w:rsidRPr="00A66F03">
          <w:rPr>
            <w:noProof/>
            <w:webHidden/>
            <w:lang w:val="en-GB"/>
          </w:rPr>
          <w:fldChar w:fldCharType="begin"/>
        </w:r>
        <w:r w:rsidR="007A6032" w:rsidRPr="00A66F03">
          <w:rPr>
            <w:noProof/>
            <w:webHidden/>
            <w:lang w:val="en-GB"/>
          </w:rPr>
          <w:instrText xml:space="preserve"> PAGEREF _Toc115336009 \h </w:instrText>
        </w:r>
        <w:r w:rsidR="007A6032" w:rsidRPr="00A66F03">
          <w:rPr>
            <w:noProof/>
            <w:webHidden/>
            <w:lang w:val="en-GB"/>
          </w:rPr>
        </w:r>
        <w:r w:rsidR="007A6032" w:rsidRPr="00A66F03">
          <w:rPr>
            <w:noProof/>
            <w:webHidden/>
            <w:lang w:val="en-GB"/>
          </w:rPr>
          <w:fldChar w:fldCharType="separate"/>
        </w:r>
        <w:r w:rsidR="002C3693">
          <w:rPr>
            <w:noProof/>
            <w:webHidden/>
            <w:lang w:val="en-GB"/>
          </w:rPr>
          <w:t>31</w:t>
        </w:r>
        <w:r w:rsidR="007A6032" w:rsidRPr="00A66F03">
          <w:rPr>
            <w:noProof/>
            <w:webHidden/>
            <w:lang w:val="en-GB"/>
          </w:rPr>
          <w:fldChar w:fldCharType="end"/>
        </w:r>
      </w:hyperlink>
    </w:p>
    <w:p w14:paraId="4B107440" w14:textId="7EEE85E6" w:rsidR="007A6032" w:rsidRPr="00A66F03" w:rsidRDefault="00976636">
      <w:pPr>
        <w:pStyle w:val="Kazalovsebine2"/>
        <w:rPr>
          <w:rFonts w:cstheme="minorBidi"/>
          <w:noProof/>
          <w:lang w:val="en-GB"/>
        </w:rPr>
      </w:pPr>
      <w:hyperlink w:anchor="_Toc115336010" w:history="1">
        <w:r w:rsidR="007A6032" w:rsidRPr="00A66F03">
          <w:rPr>
            <w:rStyle w:val="Hiperpovezava"/>
            <w:noProof/>
            <w:lang w:val="en-GB"/>
          </w:rPr>
          <w:t>Policy Objective 3: A more connected Europe by enhancing mobility</w:t>
        </w:r>
        <w:r w:rsidR="007A6032" w:rsidRPr="00A66F03">
          <w:rPr>
            <w:noProof/>
            <w:webHidden/>
            <w:lang w:val="en-GB"/>
          </w:rPr>
          <w:tab/>
        </w:r>
        <w:r w:rsidR="007A6032" w:rsidRPr="00A66F03">
          <w:rPr>
            <w:noProof/>
            <w:webHidden/>
            <w:lang w:val="en-GB"/>
          </w:rPr>
          <w:fldChar w:fldCharType="begin"/>
        </w:r>
        <w:r w:rsidR="007A6032" w:rsidRPr="00A66F03">
          <w:rPr>
            <w:noProof/>
            <w:webHidden/>
            <w:lang w:val="en-GB"/>
          </w:rPr>
          <w:instrText xml:space="preserve"> PAGEREF _Toc115336010 \h </w:instrText>
        </w:r>
        <w:r w:rsidR="007A6032" w:rsidRPr="00A66F03">
          <w:rPr>
            <w:noProof/>
            <w:webHidden/>
            <w:lang w:val="en-GB"/>
          </w:rPr>
        </w:r>
        <w:r w:rsidR="007A6032" w:rsidRPr="00A66F03">
          <w:rPr>
            <w:noProof/>
            <w:webHidden/>
            <w:lang w:val="en-GB"/>
          </w:rPr>
          <w:fldChar w:fldCharType="separate"/>
        </w:r>
        <w:r w:rsidR="002C3693">
          <w:rPr>
            <w:noProof/>
            <w:webHidden/>
            <w:lang w:val="en-GB"/>
          </w:rPr>
          <w:t>35</w:t>
        </w:r>
        <w:r w:rsidR="007A6032" w:rsidRPr="00A66F03">
          <w:rPr>
            <w:noProof/>
            <w:webHidden/>
            <w:lang w:val="en-GB"/>
          </w:rPr>
          <w:fldChar w:fldCharType="end"/>
        </w:r>
      </w:hyperlink>
    </w:p>
    <w:p w14:paraId="51489CBB" w14:textId="025C3F6B" w:rsidR="007A6032" w:rsidRPr="00A66F03" w:rsidRDefault="00976636">
      <w:pPr>
        <w:pStyle w:val="Kazalovsebine2"/>
        <w:rPr>
          <w:rFonts w:cstheme="minorBidi"/>
          <w:noProof/>
          <w:lang w:val="en-GB"/>
        </w:rPr>
      </w:pPr>
      <w:hyperlink w:anchor="_Toc115336011" w:history="1">
        <w:r w:rsidR="007A6032" w:rsidRPr="00A66F03">
          <w:rPr>
            <w:rStyle w:val="Hiperpovezava"/>
            <w:noProof/>
            <w:lang w:val="en-GB"/>
          </w:rPr>
          <w:t>Policy Objective 4: A more social and inclusive Europe implementing the European Pillar of Social Rights</w:t>
        </w:r>
        <w:r w:rsidR="007A6032" w:rsidRPr="00A66F03">
          <w:rPr>
            <w:noProof/>
            <w:webHidden/>
            <w:lang w:val="en-GB"/>
          </w:rPr>
          <w:tab/>
        </w:r>
        <w:r w:rsidR="007A6032" w:rsidRPr="00A66F03">
          <w:rPr>
            <w:noProof/>
            <w:webHidden/>
            <w:lang w:val="en-GB"/>
          </w:rPr>
          <w:fldChar w:fldCharType="begin"/>
        </w:r>
        <w:r w:rsidR="007A6032" w:rsidRPr="00A66F03">
          <w:rPr>
            <w:noProof/>
            <w:webHidden/>
            <w:lang w:val="en-GB"/>
          </w:rPr>
          <w:instrText xml:space="preserve"> PAGEREF _Toc115336011 \h </w:instrText>
        </w:r>
        <w:r w:rsidR="007A6032" w:rsidRPr="00A66F03">
          <w:rPr>
            <w:noProof/>
            <w:webHidden/>
            <w:lang w:val="en-GB"/>
          </w:rPr>
        </w:r>
        <w:r w:rsidR="007A6032" w:rsidRPr="00A66F03">
          <w:rPr>
            <w:noProof/>
            <w:webHidden/>
            <w:lang w:val="en-GB"/>
          </w:rPr>
          <w:fldChar w:fldCharType="separate"/>
        </w:r>
        <w:r w:rsidR="002C3693">
          <w:rPr>
            <w:noProof/>
            <w:webHidden/>
            <w:lang w:val="en-GB"/>
          </w:rPr>
          <w:t>36</w:t>
        </w:r>
        <w:r w:rsidR="007A6032" w:rsidRPr="00A66F03">
          <w:rPr>
            <w:noProof/>
            <w:webHidden/>
            <w:lang w:val="en-GB"/>
          </w:rPr>
          <w:fldChar w:fldCharType="end"/>
        </w:r>
      </w:hyperlink>
    </w:p>
    <w:p w14:paraId="69B197D5" w14:textId="19EFF14E" w:rsidR="007A6032" w:rsidRPr="00A66F03" w:rsidRDefault="00976636">
      <w:pPr>
        <w:pStyle w:val="Kazalovsebine2"/>
        <w:rPr>
          <w:rFonts w:cstheme="minorBidi"/>
          <w:noProof/>
          <w:lang w:val="en-GB"/>
        </w:rPr>
      </w:pPr>
      <w:hyperlink w:anchor="_Toc115336012" w:history="1">
        <w:r w:rsidR="007A6032" w:rsidRPr="00A66F03">
          <w:rPr>
            <w:rStyle w:val="Hiperpovezava"/>
            <w:noProof/>
            <w:lang w:val="en-GB"/>
          </w:rPr>
          <w:t>Policy Objective 5: A Europe closer to citizens by fostering the sustainable and integrated development of urban, rural and coastal areas and local initiatives</w:t>
        </w:r>
        <w:r w:rsidR="007A6032" w:rsidRPr="00A66F03">
          <w:rPr>
            <w:noProof/>
            <w:webHidden/>
            <w:lang w:val="en-GB"/>
          </w:rPr>
          <w:tab/>
        </w:r>
        <w:r w:rsidR="007A6032" w:rsidRPr="00A66F03">
          <w:rPr>
            <w:noProof/>
            <w:webHidden/>
            <w:lang w:val="en-GB"/>
          </w:rPr>
          <w:fldChar w:fldCharType="begin"/>
        </w:r>
        <w:r w:rsidR="007A6032" w:rsidRPr="00A66F03">
          <w:rPr>
            <w:noProof/>
            <w:webHidden/>
            <w:lang w:val="en-GB"/>
          </w:rPr>
          <w:instrText xml:space="preserve"> PAGEREF _Toc115336012 \h </w:instrText>
        </w:r>
        <w:r w:rsidR="007A6032" w:rsidRPr="00A66F03">
          <w:rPr>
            <w:noProof/>
            <w:webHidden/>
            <w:lang w:val="en-GB"/>
          </w:rPr>
        </w:r>
        <w:r w:rsidR="007A6032" w:rsidRPr="00A66F03">
          <w:rPr>
            <w:noProof/>
            <w:webHidden/>
            <w:lang w:val="en-GB"/>
          </w:rPr>
          <w:fldChar w:fldCharType="separate"/>
        </w:r>
        <w:r w:rsidR="002C3693">
          <w:rPr>
            <w:noProof/>
            <w:webHidden/>
            <w:lang w:val="en-GB"/>
          </w:rPr>
          <w:t>40</w:t>
        </w:r>
        <w:r w:rsidR="007A6032" w:rsidRPr="00A66F03">
          <w:rPr>
            <w:noProof/>
            <w:webHidden/>
            <w:lang w:val="en-GB"/>
          </w:rPr>
          <w:fldChar w:fldCharType="end"/>
        </w:r>
      </w:hyperlink>
    </w:p>
    <w:p w14:paraId="5D1AC7C7" w14:textId="4A8A5156" w:rsidR="007A6032" w:rsidRPr="00A66F03" w:rsidRDefault="00976636">
      <w:pPr>
        <w:pStyle w:val="Kazalovsebine2"/>
        <w:rPr>
          <w:rFonts w:cstheme="minorBidi"/>
          <w:noProof/>
          <w:lang w:val="en-GB"/>
        </w:rPr>
      </w:pPr>
      <w:hyperlink w:anchor="_Toc115336013" w:history="1">
        <w:r w:rsidR="007A6032" w:rsidRPr="00A66F03">
          <w:rPr>
            <w:rStyle w:val="Hiperpovezava"/>
            <w:noProof/>
            <w:lang w:val="en-GB"/>
          </w:rPr>
          <w:t>JTF-specific objective: Europe for a Just Transition</w:t>
        </w:r>
        <w:r w:rsidR="007A6032" w:rsidRPr="00A66F03">
          <w:rPr>
            <w:noProof/>
            <w:webHidden/>
            <w:lang w:val="en-GB"/>
          </w:rPr>
          <w:tab/>
        </w:r>
        <w:r w:rsidR="007A6032" w:rsidRPr="00A66F03">
          <w:rPr>
            <w:noProof/>
            <w:webHidden/>
            <w:lang w:val="en-GB"/>
          </w:rPr>
          <w:fldChar w:fldCharType="begin"/>
        </w:r>
        <w:r w:rsidR="007A6032" w:rsidRPr="00A66F03">
          <w:rPr>
            <w:noProof/>
            <w:webHidden/>
            <w:lang w:val="en-GB"/>
          </w:rPr>
          <w:instrText xml:space="preserve"> PAGEREF _Toc115336013 \h </w:instrText>
        </w:r>
        <w:r w:rsidR="007A6032" w:rsidRPr="00A66F03">
          <w:rPr>
            <w:noProof/>
            <w:webHidden/>
            <w:lang w:val="en-GB"/>
          </w:rPr>
        </w:r>
        <w:r w:rsidR="007A6032" w:rsidRPr="00A66F03">
          <w:rPr>
            <w:noProof/>
            <w:webHidden/>
            <w:lang w:val="en-GB"/>
          </w:rPr>
          <w:fldChar w:fldCharType="separate"/>
        </w:r>
        <w:r w:rsidR="002C3693">
          <w:rPr>
            <w:noProof/>
            <w:webHidden/>
            <w:lang w:val="en-GB"/>
          </w:rPr>
          <w:t>41</w:t>
        </w:r>
        <w:r w:rsidR="007A6032" w:rsidRPr="00A66F03">
          <w:rPr>
            <w:noProof/>
            <w:webHidden/>
            <w:lang w:val="en-GB"/>
          </w:rPr>
          <w:fldChar w:fldCharType="end"/>
        </w:r>
      </w:hyperlink>
    </w:p>
    <w:p w14:paraId="676F11BB" w14:textId="0D5DD603" w:rsidR="007A6032" w:rsidRPr="00A66F03" w:rsidRDefault="00976636">
      <w:pPr>
        <w:pStyle w:val="Kazalovsebine2"/>
        <w:rPr>
          <w:rFonts w:cstheme="minorBidi"/>
          <w:noProof/>
          <w:lang w:val="en-GB"/>
        </w:rPr>
      </w:pPr>
      <w:hyperlink w:anchor="_Toc115336014" w:history="1">
        <w:r w:rsidR="007A6032" w:rsidRPr="00A66F03">
          <w:rPr>
            <w:rStyle w:val="Hiperpovezava"/>
            <w:rFonts w:eastAsia="Times New Roman"/>
            <w:noProof/>
            <w:lang w:val="en-GB"/>
          </w:rPr>
          <w:t>2.1 Coordination, demarcation and complementarities between the Funds and, where appropriate, coordination between national and regional programmes</w:t>
        </w:r>
        <w:r w:rsidR="007A6032" w:rsidRPr="00A66F03">
          <w:rPr>
            <w:noProof/>
            <w:webHidden/>
            <w:lang w:val="en-GB"/>
          </w:rPr>
          <w:tab/>
        </w:r>
        <w:r w:rsidR="007A6032" w:rsidRPr="00A66F03">
          <w:rPr>
            <w:noProof/>
            <w:webHidden/>
            <w:lang w:val="en-GB"/>
          </w:rPr>
          <w:fldChar w:fldCharType="begin"/>
        </w:r>
        <w:r w:rsidR="007A6032" w:rsidRPr="00A66F03">
          <w:rPr>
            <w:noProof/>
            <w:webHidden/>
            <w:lang w:val="en-GB"/>
          </w:rPr>
          <w:instrText xml:space="preserve"> PAGEREF _Toc115336014 \h </w:instrText>
        </w:r>
        <w:r w:rsidR="007A6032" w:rsidRPr="00A66F03">
          <w:rPr>
            <w:noProof/>
            <w:webHidden/>
            <w:lang w:val="en-GB"/>
          </w:rPr>
        </w:r>
        <w:r w:rsidR="007A6032" w:rsidRPr="00A66F03">
          <w:rPr>
            <w:noProof/>
            <w:webHidden/>
            <w:lang w:val="en-GB"/>
          </w:rPr>
          <w:fldChar w:fldCharType="separate"/>
        </w:r>
        <w:r w:rsidR="002C3693">
          <w:rPr>
            <w:noProof/>
            <w:webHidden/>
            <w:lang w:val="en-GB"/>
          </w:rPr>
          <w:t>42</w:t>
        </w:r>
        <w:r w:rsidR="007A6032" w:rsidRPr="00A66F03">
          <w:rPr>
            <w:noProof/>
            <w:webHidden/>
            <w:lang w:val="en-GB"/>
          </w:rPr>
          <w:fldChar w:fldCharType="end"/>
        </w:r>
      </w:hyperlink>
    </w:p>
    <w:p w14:paraId="2B08171D" w14:textId="67C6DEDF" w:rsidR="007A6032" w:rsidRPr="00A66F03" w:rsidRDefault="00976636">
      <w:pPr>
        <w:pStyle w:val="Kazalovsebine2"/>
        <w:rPr>
          <w:rFonts w:cstheme="minorBidi"/>
          <w:noProof/>
          <w:lang w:val="en-GB"/>
        </w:rPr>
      </w:pPr>
      <w:hyperlink w:anchor="_Toc115336015" w:history="1">
        <w:r w:rsidR="007A6032" w:rsidRPr="00A66F03">
          <w:rPr>
            <w:rStyle w:val="Hiperpovezava"/>
            <w:rFonts w:eastAsia="Times New Roman"/>
            <w:noProof/>
            <w:lang w:val="en-GB"/>
          </w:rPr>
          <w:t>2.2 Complementarities and synergies between the funds covered by the Partnership Agreement, the AMIF, the ISF, the BMVI, and other Union instruments</w:t>
        </w:r>
        <w:r w:rsidR="007A6032" w:rsidRPr="00A66F03">
          <w:rPr>
            <w:noProof/>
            <w:webHidden/>
            <w:lang w:val="en-GB"/>
          </w:rPr>
          <w:tab/>
        </w:r>
        <w:r w:rsidR="007A6032" w:rsidRPr="00A66F03">
          <w:rPr>
            <w:noProof/>
            <w:webHidden/>
            <w:lang w:val="en-GB"/>
          </w:rPr>
          <w:fldChar w:fldCharType="begin"/>
        </w:r>
        <w:r w:rsidR="007A6032" w:rsidRPr="00A66F03">
          <w:rPr>
            <w:noProof/>
            <w:webHidden/>
            <w:lang w:val="en-GB"/>
          </w:rPr>
          <w:instrText xml:space="preserve"> PAGEREF _Toc115336015 \h </w:instrText>
        </w:r>
        <w:r w:rsidR="007A6032" w:rsidRPr="00A66F03">
          <w:rPr>
            <w:noProof/>
            <w:webHidden/>
            <w:lang w:val="en-GB"/>
          </w:rPr>
        </w:r>
        <w:r w:rsidR="007A6032" w:rsidRPr="00A66F03">
          <w:rPr>
            <w:noProof/>
            <w:webHidden/>
            <w:lang w:val="en-GB"/>
          </w:rPr>
          <w:fldChar w:fldCharType="separate"/>
        </w:r>
        <w:r w:rsidR="002C3693">
          <w:rPr>
            <w:noProof/>
            <w:webHidden/>
            <w:lang w:val="en-GB"/>
          </w:rPr>
          <w:t>47</w:t>
        </w:r>
        <w:r w:rsidR="007A6032" w:rsidRPr="00A66F03">
          <w:rPr>
            <w:noProof/>
            <w:webHidden/>
            <w:lang w:val="en-GB"/>
          </w:rPr>
          <w:fldChar w:fldCharType="end"/>
        </w:r>
      </w:hyperlink>
    </w:p>
    <w:p w14:paraId="706B87C0" w14:textId="79B462C8" w:rsidR="007A6032" w:rsidRPr="00A66F03" w:rsidRDefault="00976636">
      <w:pPr>
        <w:pStyle w:val="Kazalovsebine1"/>
        <w:rPr>
          <w:rFonts w:cstheme="minorBidi"/>
          <w:noProof/>
          <w:lang w:val="en-GB"/>
        </w:rPr>
      </w:pPr>
      <w:hyperlink w:anchor="_Toc115336016" w:history="1">
        <w:r w:rsidR="007A6032" w:rsidRPr="00A66F03">
          <w:rPr>
            <w:rStyle w:val="Hiperpovezava"/>
            <w:rFonts w:eastAsia="Times New Roman"/>
            <w:bCs/>
            <w:noProof/>
            <w:lang w:val="en-GB"/>
          </w:rPr>
          <w:t>3.   Contribution to the InvestEU budgetary guarantee with explanations</w:t>
        </w:r>
        <w:r w:rsidR="007A6032" w:rsidRPr="00A66F03">
          <w:rPr>
            <w:noProof/>
            <w:webHidden/>
            <w:lang w:val="en-GB"/>
          </w:rPr>
          <w:tab/>
        </w:r>
        <w:r w:rsidR="007A6032" w:rsidRPr="00A66F03">
          <w:rPr>
            <w:noProof/>
            <w:webHidden/>
            <w:lang w:val="en-GB"/>
          </w:rPr>
          <w:fldChar w:fldCharType="begin"/>
        </w:r>
        <w:r w:rsidR="007A6032" w:rsidRPr="00A66F03">
          <w:rPr>
            <w:noProof/>
            <w:webHidden/>
            <w:lang w:val="en-GB"/>
          </w:rPr>
          <w:instrText xml:space="preserve"> PAGEREF _Toc115336016 \h </w:instrText>
        </w:r>
        <w:r w:rsidR="007A6032" w:rsidRPr="00A66F03">
          <w:rPr>
            <w:noProof/>
            <w:webHidden/>
            <w:lang w:val="en-GB"/>
          </w:rPr>
        </w:r>
        <w:r w:rsidR="007A6032" w:rsidRPr="00A66F03">
          <w:rPr>
            <w:noProof/>
            <w:webHidden/>
            <w:lang w:val="en-GB"/>
          </w:rPr>
          <w:fldChar w:fldCharType="separate"/>
        </w:r>
        <w:r w:rsidR="002C3693">
          <w:rPr>
            <w:noProof/>
            <w:webHidden/>
            <w:lang w:val="en-GB"/>
          </w:rPr>
          <w:t>58</w:t>
        </w:r>
        <w:r w:rsidR="007A6032" w:rsidRPr="00A66F03">
          <w:rPr>
            <w:noProof/>
            <w:webHidden/>
            <w:lang w:val="en-GB"/>
          </w:rPr>
          <w:fldChar w:fldCharType="end"/>
        </w:r>
      </w:hyperlink>
    </w:p>
    <w:p w14:paraId="6843D73F" w14:textId="3C242C1C" w:rsidR="007A6032" w:rsidRPr="00A66F03" w:rsidRDefault="00976636">
      <w:pPr>
        <w:pStyle w:val="Kazalovsebine1"/>
        <w:rPr>
          <w:rFonts w:cstheme="minorBidi"/>
          <w:noProof/>
          <w:lang w:val="en-GB"/>
        </w:rPr>
      </w:pPr>
      <w:hyperlink w:anchor="_Toc115336017" w:history="1">
        <w:r w:rsidR="007A6032" w:rsidRPr="00A66F03">
          <w:rPr>
            <w:rStyle w:val="Hiperpovezava"/>
            <w:rFonts w:eastAsia="Times New Roman"/>
            <w:bCs/>
            <w:noProof/>
            <w:lang w:val="en-GB"/>
          </w:rPr>
          <w:t>4.   Transfers</w:t>
        </w:r>
        <w:r w:rsidR="007A6032" w:rsidRPr="00A66F03">
          <w:rPr>
            <w:noProof/>
            <w:webHidden/>
            <w:lang w:val="en-GB"/>
          </w:rPr>
          <w:tab/>
        </w:r>
        <w:r w:rsidR="007A6032" w:rsidRPr="00A66F03">
          <w:rPr>
            <w:noProof/>
            <w:webHidden/>
            <w:lang w:val="en-GB"/>
          </w:rPr>
          <w:fldChar w:fldCharType="begin"/>
        </w:r>
        <w:r w:rsidR="007A6032" w:rsidRPr="00A66F03">
          <w:rPr>
            <w:noProof/>
            <w:webHidden/>
            <w:lang w:val="en-GB"/>
          </w:rPr>
          <w:instrText xml:space="preserve"> PAGEREF _Toc115336017 \h </w:instrText>
        </w:r>
        <w:r w:rsidR="007A6032" w:rsidRPr="00A66F03">
          <w:rPr>
            <w:noProof/>
            <w:webHidden/>
            <w:lang w:val="en-GB"/>
          </w:rPr>
        </w:r>
        <w:r w:rsidR="007A6032" w:rsidRPr="00A66F03">
          <w:rPr>
            <w:noProof/>
            <w:webHidden/>
            <w:lang w:val="en-GB"/>
          </w:rPr>
          <w:fldChar w:fldCharType="separate"/>
        </w:r>
        <w:r w:rsidR="002C3693">
          <w:rPr>
            <w:noProof/>
            <w:webHidden/>
            <w:lang w:val="en-GB"/>
          </w:rPr>
          <w:t>58</w:t>
        </w:r>
        <w:r w:rsidR="007A6032" w:rsidRPr="00A66F03">
          <w:rPr>
            <w:noProof/>
            <w:webHidden/>
            <w:lang w:val="en-GB"/>
          </w:rPr>
          <w:fldChar w:fldCharType="end"/>
        </w:r>
      </w:hyperlink>
    </w:p>
    <w:p w14:paraId="0DA56787" w14:textId="60D78050" w:rsidR="007A6032" w:rsidRPr="00A66F03" w:rsidRDefault="00976636">
      <w:pPr>
        <w:pStyle w:val="Kazalovsebine2"/>
        <w:rPr>
          <w:rFonts w:cstheme="minorBidi"/>
          <w:noProof/>
          <w:lang w:val="en-GB"/>
        </w:rPr>
      </w:pPr>
      <w:hyperlink w:anchor="_Toc115336018" w:history="1">
        <w:r w:rsidR="007A6032" w:rsidRPr="00A66F03">
          <w:rPr>
            <w:rStyle w:val="Hiperpovezava"/>
            <w:rFonts w:eastAsia="Times New Roman"/>
            <w:noProof/>
            <w:lang w:val="en-GB"/>
          </w:rPr>
          <w:t>4.1 Transfer between categories of region</w:t>
        </w:r>
        <w:r w:rsidR="007A6032" w:rsidRPr="00A66F03">
          <w:rPr>
            <w:noProof/>
            <w:webHidden/>
            <w:lang w:val="en-GB"/>
          </w:rPr>
          <w:tab/>
        </w:r>
        <w:r w:rsidR="007A6032" w:rsidRPr="00A66F03">
          <w:rPr>
            <w:noProof/>
            <w:webHidden/>
            <w:lang w:val="en-GB"/>
          </w:rPr>
          <w:fldChar w:fldCharType="begin"/>
        </w:r>
        <w:r w:rsidR="007A6032" w:rsidRPr="00A66F03">
          <w:rPr>
            <w:noProof/>
            <w:webHidden/>
            <w:lang w:val="en-GB"/>
          </w:rPr>
          <w:instrText xml:space="preserve"> PAGEREF _Toc115336018 \h </w:instrText>
        </w:r>
        <w:r w:rsidR="007A6032" w:rsidRPr="00A66F03">
          <w:rPr>
            <w:noProof/>
            <w:webHidden/>
            <w:lang w:val="en-GB"/>
          </w:rPr>
        </w:r>
        <w:r w:rsidR="007A6032" w:rsidRPr="00A66F03">
          <w:rPr>
            <w:noProof/>
            <w:webHidden/>
            <w:lang w:val="en-GB"/>
          </w:rPr>
          <w:fldChar w:fldCharType="separate"/>
        </w:r>
        <w:r w:rsidR="002C3693">
          <w:rPr>
            <w:noProof/>
            <w:webHidden/>
            <w:lang w:val="en-GB"/>
          </w:rPr>
          <w:t>58</w:t>
        </w:r>
        <w:r w:rsidR="007A6032" w:rsidRPr="00A66F03">
          <w:rPr>
            <w:noProof/>
            <w:webHidden/>
            <w:lang w:val="en-GB"/>
          </w:rPr>
          <w:fldChar w:fldCharType="end"/>
        </w:r>
      </w:hyperlink>
    </w:p>
    <w:p w14:paraId="1D815F24" w14:textId="5C97C8AE" w:rsidR="007A6032" w:rsidRPr="00A66F03" w:rsidRDefault="00976636">
      <w:pPr>
        <w:pStyle w:val="Kazalovsebine2"/>
        <w:rPr>
          <w:rFonts w:cstheme="minorBidi"/>
          <w:noProof/>
          <w:lang w:val="en-GB"/>
        </w:rPr>
      </w:pPr>
      <w:hyperlink w:anchor="_Toc115336019" w:history="1">
        <w:r w:rsidR="007A6032" w:rsidRPr="00A66F03">
          <w:rPr>
            <w:rStyle w:val="Hiperpovezava"/>
            <w:rFonts w:eastAsia="Times New Roman"/>
            <w:noProof/>
            <w:lang w:val="en-GB"/>
          </w:rPr>
          <w:t>4.2 Transfers to instruments under direct or indirect management</w:t>
        </w:r>
        <w:r w:rsidR="007A6032" w:rsidRPr="00A66F03">
          <w:rPr>
            <w:noProof/>
            <w:webHidden/>
            <w:lang w:val="en-GB"/>
          </w:rPr>
          <w:tab/>
        </w:r>
        <w:r w:rsidR="007A6032" w:rsidRPr="00A66F03">
          <w:rPr>
            <w:noProof/>
            <w:webHidden/>
            <w:lang w:val="en-GB"/>
          </w:rPr>
          <w:fldChar w:fldCharType="begin"/>
        </w:r>
        <w:r w:rsidR="007A6032" w:rsidRPr="00A66F03">
          <w:rPr>
            <w:noProof/>
            <w:webHidden/>
            <w:lang w:val="en-GB"/>
          </w:rPr>
          <w:instrText xml:space="preserve"> PAGEREF _Toc115336019 \h </w:instrText>
        </w:r>
        <w:r w:rsidR="007A6032" w:rsidRPr="00A66F03">
          <w:rPr>
            <w:noProof/>
            <w:webHidden/>
            <w:lang w:val="en-GB"/>
          </w:rPr>
        </w:r>
        <w:r w:rsidR="007A6032" w:rsidRPr="00A66F03">
          <w:rPr>
            <w:noProof/>
            <w:webHidden/>
            <w:lang w:val="en-GB"/>
          </w:rPr>
          <w:fldChar w:fldCharType="separate"/>
        </w:r>
        <w:r w:rsidR="002C3693">
          <w:rPr>
            <w:noProof/>
            <w:webHidden/>
            <w:lang w:val="en-GB"/>
          </w:rPr>
          <w:t>58</w:t>
        </w:r>
        <w:r w:rsidR="007A6032" w:rsidRPr="00A66F03">
          <w:rPr>
            <w:noProof/>
            <w:webHidden/>
            <w:lang w:val="en-GB"/>
          </w:rPr>
          <w:fldChar w:fldCharType="end"/>
        </w:r>
      </w:hyperlink>
    </w:p>
    <w:p w14:paraId="072BAB4B" w14:textId="626D0326" w:rsidR="007A6032" w:rsidRPr="00A66F03" w:rsidRDefault="00976636">
      <w:pPr>
        <w:pStyle w:val="Kazalovsebine2"/>
        <w:rPr>
          <w:rFonts w:cstheme="minorBidi"/>
          <w:noProof/>
          <w:lang w:val="en-GB"/>
        </w:rPr>
      </w:pPr>
      <w:hyperlink w:anchor="_Toc115336020" w:history="1">
        <w:r w:rsidR="007A6032" w:rsidRPr="00A66F03">
          <w:rPr>
            <w:rStyle w:val="Hiperpovezava"/>
            <w:rFonts w:eastAsia="Times New Roman"/>
            <w:noProof/>
            <w:lang w:val="en-GB"/>
          </w:rPr>
          <w:t>4.3 Transfers between ERDF, ESF+ or Cohesion Fund or to another fund or funds</w:t>
        </w:r>
        <w:r w:rsidR="007A6032" w:rsidRPr="00A66F03">
          <w:rPr>
            <w:noProof/>
            <w:webHidden/>
            <w:lang w:val="en-GB"/>
          </w:rPr>
          <w:tab/>
        </w:r>
        <w:r w:rsidR="007A6032" w:rsidRPr="00A66F03">
          <w:rPr>
            <w:noProof/>
            <w:webHidden/>
            <w:lang w:val="en-GB"/>
          </w:rPr>
          <w:fldChar w:fldCharType="begin"/>
        </w:r>
        <w:r w:rsidR="007A6032" w:rsidRPr="00A66F03">
          <w:rPr>
            <w:noProof/>
            <w:webHidden/>
            <w:lang w:val="en-GB"/>
          </w:rPr>
          <w:instrText xml:space="preserve"> PAGEREF _Toc115336020 \h </w:instrText>
        </w:r>
        <w:r w:rsidR="007A6032" w:rsidRPr="00A66F03">
          <w:rPr>
            <w:noProof/>
            <w:webHidden/>
            <w:lang w:val="en-GB"/>
          </w:rPr>
        </w:r>
        <w:r w:rsidR="007A6032" w:rsidRPr="00A66F03">
          <w:rPr>
            <w:noProof/>
            <w:webHidden/>
            <w:lang w:val="en-GB"/>
          </w:rPr>
          <w:fldChar w:fldCharType="separate"/>
        </w:r>
        <w:r w:rsidR="002C3693">
          <w:rPr>
            <w:noProof/>
            <w:webHidden/>
            <w:lang w:val="en-GB"/>
          </w:rPr>
          <w:t>59</w:t>
        </w:r>
        <w:r w:rsidR="007A6032" w:rsidRPr="00A66F03">
          <w:rPr>
            <w:noProof/>
            <w:webHidden/>
            <w:lang w:val="en-GB"/>
          </w:rPr>
          <w:fldChar w:fldCharType="end"/>
        </w:r>
      </w:hyperlink>
    </w:p>
    <w:p w14:paraId="31570D1A" w14:textId="29265AB3" w:rsidR="007A6032" w:rsidRPr="00A66F03" w:rsidRDefault="00976636">
      <w:pPr>
        <w:pStyle w:val="Kazalovsebine2"/>
        <w:rPr>
          <w:rFonts w:cstheme="minorBidi"/>
          <w:noProof/>
          <w:lang w:val="en-GB"/>
        </w:rPr>
      </w:pPr>
      <w:hyperlink w:anchor="_Toc115336021" w:history="1">
        <w:r w:rsidR="007A6032" w:rsidRPr="00A66F03">
          <w:rPr>
            <w:rStyle w:val="Hiperpovezava"/>
            <w:rFonts w:eastAsia="Times New Roman"/>
            <w:noProof/>
            <w:lang w:val="en-GB"/>
          </w:rPr>
          <w:t>4.4 Transfer of ERDF and ESF+ resources as complementary support to the JTF, with justification</w:t>
        </w:r>
        <w:r w:rsidR="007A6032" w:rsidRPr="00A66F03">
          <w:rPr>
            <w:noProof/>
            <w:webHidden/>
            <w:lang w:val="en-GB"/>
          </w:rPr>
          <w:tab/>
        </w:r>
        <w:r w:rsidR="007A6032" w:rsidRPr="00A66F03">
          <w:rPr>
            <w:noProof/>
            <w:webHidden/>
            <w:lang w:val="en-GB"/>
          </w:rPr>
          <w:fldChar w:fldCharType="begin"/>
        </w:r>
        <w:r w:rsidR="007A6032" w:rsidRPr="00A66F03">
          <w:rPr>
            <w:noProof/>
            <w:webHidden/>
            <w:lang w:val="en-GB"/>
          </w:rPr>
          <w:instrText xml:space="preserve"> PAGEREF _Toc115336021 \h </w:instrText>
        </w:r>
        <w:r w:rsidR="007A6032" w:rsidRPr="00A66F03">
          <w:rPr>
            <w:noProof/>
            <w:webHidden/>
            <w:lang w:val="en-GB"/>
          </w:rPr>
        </w:r>
        <w:r w:rsidR="007A6032" w:rsidRPr="00A66F03">
          <w:rPr>
            <w:noProof/>
            <w:webHidden/>
            <w:lang w:val="en-GB"/>
          </w:rPr>
          <w:fldChar w:fldCharType="separate"/>
        </w:r>
        <w:r w:rsidR="002C3693">
          <w:rPr>
            <w:noProof/>
            <w:webHidden/>
            <w:lang w:val="en-GB"/>
          </w:rPr>
          <w:t>61</w:t>
        </w:r>
        <w:r w:rsidR="007A6032" w:rsidRPr="00A66F03">
          <w:rPr>
            <w:noProof/>
            <w:webHidden/>
            <w:lang w:val="en-GB"/>
          </w:rPr>
          <w:fldChar w:fldCharType="end"/>
        </w:r>
      </w:hyperlink>
    </w:p>
    <w:p w14:paraId="739E6267" w14:textId="5E6DB071" w:rsidR="007A6032" w:rsidRPr="00A66F03" w:rsidRDefault="00976636">
      <w:pPr>
        <w:pStyle w:val="Kazalovsebine2"/>
        <w:rPr>
          <w:rFonts w:cstheme="minorBidi"/>
          <w:noProof/>
          <w:lang w:val="en-GB"/>
        </w:rPr>
      </w:pPr>
      <w:hyperlink w:anchor="_Toc115336022" w:history="1">
        <w:r w:rsidR="007A6032" w:rsidRPr="00A66F03">
          <w:rPr>
            <w:rStyle w:val="Hiperpovezava"/>
            <w:rFonts w:eastAsia="Times New Roman"/>
            <w:noProof/>
            <w:lang w:val="en-GB"/>
          </w:rPr>
          <w:t>4.5 Transfers from European territorial cooperation (Interreg) to the investment for jobs and growth</w:t>
        </w:r>
        <w:r w:rsidR="007A6032" w:rsidRPr="00A66F03">
          <w:rPr>
            <w:noProof/>
            <w:webHidden/>
            <w:lang w:val="en-GB"/>
          </w:rPr>
          <w:tab/>
        </w:r>
        <w:r w:rsidR="007A6032" w:rsidRPr="00A66F03">
          <w:rPr>
            <w:noProof/>
            <w:webHidden/>
            <w:lang w:val="en-GB"/>
          </w:rPr>
          <w:fldChar w:fldCharType="begin"/>
        </w:r>
        <w:r w:rsidR="007A6032" w:rsidRPr="00A66F03">
          <w:rPr>
            <w:noProof/>
            <w:webHidden/>
            <w:lang w:val="en-GB"/>
          </w:rPr>
          <w:instrText xml:space="preserve"> PAGEREF _Toc115336022 \h </w:instrText>
        </w:r>
        <w:r w:rsidR="007A6032" w:rsidRPr="00A66F03">
          <w:rPr>
            <w:noProof/>
            <w:webHidden/>
            <w:lang w:val="en-GB"/>
          </w:rPr>
        </w:r>
        <w:r w:rsidR="007A6032" w:rsidRPr="00A66F03">
          <w:rPr>
            <w:noProof/>
            <w:webHidden/>
            <w:lang w:val="en-GB"/>
          </w:rPr>
          <w:fldChar w:fldCharType="separate"/>
        </w:r>
        <w:r w:rsidR="002C3693">
          <w:rPr>
            <w:noProof/>
            <w:webHidden/>
            <w:lang w:val="en-GB"/>
          </w:rPr>
          <w:t>61</w:t>
        </w:r>
        <w:r w:rsidR="007A6032" w:rsidRPr="00A66F03">
          <w:rPr>
            <w:noProof/>
            <w:webHidden/>
            <w:lang w:val="en-GB"/>
          </w:rPr>
          <w:fldChar w:fldCharType="end"/>
        </w:r>
      </w:hyperlink>
    </w:p>
    <w:p w14:paraId="1E31FFF5" w14:textId="5B6C9D43" w:rsidR="007A6032" w:rsidRPr="00A66F03" w:rsidRDefault="00976636">
      <w:pPr>
        <w:pStyle w:val="Kazalovsebine1"/>
        <w:rPr>
          <w:rFonts w:cstheme="minorBidi"/>
          <w:noProof/>
          <w:lang w:val="en-GB"/>
        </w:rPr>
      </w:pPr>
      <w:hyperlink w:anchor="_Toc115336023" w:history="1">
        <w:r w:rsidR="007A6032" w:rsidRPr="00A66F03">
          <w:rPr>
            <w:rStyle w:val="Hiperpovezava"/>
            <w:rFonts w:eastAsia="Times New Roman"/>
            <w:bCs/>
            <w:noProof/>
            <w:lang w:val="en-GB"/>
          </w:rPr>
          <w:t>5.   Form of Union contribution for technical assistance</w:t>
        </w:r>
        <w:r w:rsidR="007A6032" w:rsidRPr="00A66F03">
          <w:rPr>
            <w:noProof/>
            <w:webHidden/>
            <w:lang w:val="en-GB"/>
          </w:rPr>
          <w:tab/>
        </w:r>
        <w:r w:rsidR="007A6032" w:rsidRPr="00A66F03">
          <w:rPr>
            <w:noProof/>
            <w:webHidden/>
            <w:lang w:val="en-GB"/>
          </w:rPr>
          <w:fldChar w:fldCharType="begin"/>
        </w:r>
        <w:r w:rsidR="007A6032" w:rsidRPr="00A66F03">
          <w:rPr>
            <w:noProof/>
            <w:webHidden/>
            <w:lang w:val="en-GB"/>
          </w:rPr>
          <w:instrText xml:space="preserve"> PAGEREF _Toc115336023 \h </w:instrText>
        </w:r>
        <w:r w:rsidR="007A6032" w:rsidRPr="00A66F03">
          <w:rPr>
            <w:noProof/>
            <w:webHidden/>
            <w:lang w:val="en-GB"/>
          </w:rPr>
        </w:r>
        <w:r w:rsidR="007A6032" w:rsidRPr="00A66F03">
          <w:rPr>
            <w:noProof/>
            <w:webHidden/>
            <w:lang w:val="en-GB"/>
          </w:rPr>
          <w:fldChar w:fldCharType="separate"/>
        </w:r>
        <w:r w:rsidR="002C3693">
          <w:rPr>
            <w:noProof/>
            <w:webHidden/>
            <w:lang w:val="en-GB"/>
          </w:rPr>
          <w:t>61</w:t>
        </w:r>
        <w:r w:rsidR="007A6032" w:rsidRPr="00A66F03">
          <w:rPr>
            <w:noProof/>
            <w:webHidden/>
            <w:lang w:val="en-GB"/>
          </w:rPr>
          <w:fldChar w:fldCharType="end"/>
        </w:r>
      </w:hyperlink>
    </w:p>
    <w:p w14:paraId="7F351B43" w14:textId="4BF61DE4" w:rsidR="007A6032" w:rsidRPr="00A66F03" w:rsidRDefault="00976636">
      <w:pPr>
        <w:pStyle w:val="Kazalovsebine1"/>
        <w:rPr>
          <w:rFonts w:cstheme="minorBidi"/>
          <w:noProof/>
          <w:lang w:val="en-GB"/>
        </w:rPr>
      </w:pPr>
      <w:hyperlink w:anchor="_Toc115336024" w:history="1">
        <w:r w:rsidR="007A6032" w:rsidRPr="00A66F03">
          <w:rPr>
            <w:rStyle w:val="Hiperpovezava"/>
            <w:rFonts w:eastAsia="Times New Roman"/>
            <w:bCs/>
            <w:noProof/>
            <w:lang w:val="en-GB"/>
          </w:rPr>
          <w:t>6.   Thematic concentration</w:t>
        </w:r>
        <w:r w:rsidR="007A6032" w:rsidRPr="00A66F03">
          <w:rPr>
            <w:noProof/>
            <w:webHidden/>
            <w:lang w:val="en-GB"/>
          </w:rPr>
          <w:tab/>
        </w:r>
        <w:r w:rsidR="007A6032" w:rsidRPr="00A66F03">
          <w:rPr>
            <w:noProof/>
            <w:webHidden/>
            <w:lang w:val="en-GB"/>
          </w:rPr>
          <w:fldChar w:fldCharType="begin"/>
        </w:r>
        <w:r w:rsidR="007A6032" w:rsidRPr="00A66F03">
          <w:rPr>
            <w:noProof/>
            <w:webHidden/>
            <w:lang w:val="en-GB"/>
          </w:rPr>
          <w:instrText xml:space="preserve"> PAGEREF _Toc115336024 \h </w:instrText>
        </w:r>
        <w:r w:rsidR="007A6032" w:rsidRPr="00A66F03">
          <w:rPr>
            <w:noProof/>
            <w:webHidden/>
            <w:lang w:val="en-GB"/>
          </w:rPr>
        </w:r>
        <w:r w:rsidR="007A6032" w:rsidRPr="00A66F03">
          <w:rPr>
            <w:noProof/>
            <w:webHidden/>
            <w:lang w:val="en-GB"/>
          </w:rPr>
          <w:fldChar w:fldCharType="separate"/>
        </w:r>
        <w:r w:rsidR="002C3693">
          <w:rPr>
            <w:noProof/>
            <w:webHidden/>
            <w:lang w:val="en-GB"/>
          </w:rPr>
          <w:t>63</w:t>
        </w:r>
        <w:r w:rsidR="007A6032" w:rsidRPr="00A66F03">
          <w:rPr>
            <w:noProof/>
            <w:webHidden/>
            <w:lang w:val="en-GB"/>
          </w:rPr>
          <w:fldChar w:fldCharType="end"/>
        </w:r>
      </w:hyperlink>
    </w:p>
    <w:p w14:paraId="3363E190" w14:textId="33092C63" w:rsidR="007A6032" w:rsidRPr="00A66F03" w:rsidRDefault="00976636">
      <w:pPr>
        <w:pStyle w:val="Kazalovsebine1"/>
        <w:rPr>
          <w:rFonts w:cstheme="minorBidi"/>
          <w:noProof/>
          <w:lang w:val="en-GB"/>
        </w:rPr>
      </w:pPr>
      <w:hyperlink w:anchor="_Toc115336025" w:history="1">
        <w:r w:rsidR="007A6032" w:rsidRPr="00A66F03">
          <w:rPr>
            <w:rStyle w:val="Hiperpovezava"/>
            <w:rFonts w:eastAsia="Times New Roman"/>
            <w:bCs/>
            <w:noProof/>
            <w:lang w:val="en-GB"/>
          </w:rPr>
          <w:t>7.   Preliminary financial allocation from each fund covered by the Partnership Agreement, by policy objective, JTF-specific objective and technical assistance, at national and where appropriate regional level</w:t>
        </w:r>
        <w:r w:rsidR="007A6032" w:rsidRPr="00A66F03">
          <w:rPr>
            <w:noProof/>
            <w:webHidden/>
            <w:lang w:val="en-GB"/>
          </w:rPr>
          <w:tab/>
        </w:r>
        <w:r w:rsidR="007A6032" w:rsidRPr="00A66F03">
          <w:rPr>
            <w:noProof/>
            <w:webHidden/>
            <w:lang w:val="en-GB"/>
          </w:rPr>
          <w:fldChar w:fldCharType="begin"/>
        </w:r>
        <w:r w:rsidR="007A6032" w:rsidRPr="00A66F03">
          <w:rPr>
            <w:noProof/>
            <w:webHidden/>
            <w:lang w:val="en-GB"/>
          </w:rPr>
          <w:instrText xml:space="preserve"> PAGEREF _Toc115336025 \h </w:instrText>
        </w:r>
        <w:r w:rsidR="007A6032" w:rsidRPr="00A66F03">
          <w:rPr>
            <w:noProof/>
            <w:webHidden/>
            <w:lang w:val="en-GB"/>
          </w:rPr>
        </w:r>
        <w:r w:rsidR="007A6032" w:rsidRPr="00A66F03">
          <w:rPr>
            <w:noProof/>
            <w:webHidden/>
            <w:lang w:val="en-GB"/>
          </w:rPr>
          <w:fldChar w:fldCharType="separate"/>
        </w:r>
        <w:r w:rsidR="002C3693">
          <w:rPr>
            <w:noProof/>
            <w:webHidden/>
            <w:lang w:val="en-GB"/>
          </w:rPr>
          <w:t>64</w:t>
        </w:r>
        <w:r w:rsidR="007A6032" w:rsidRPr="00A66F03">
          <w:rPr>
            <w:noProof/>
            <w:webHidden/>
            <w:lang w:val="en-GB"/>
          </w:rPr>
          <w:fldChar w:fldCharType="end"/>
        </w:r>
      </w:hyperlink>
    </w:p>
    <w:p w14:paraId="19D10D7C" w14:textId="753D8EB2" w:rsidR="007A6032" w:rsidRPr="00A66F03" w:rsidRDefault="00976636">
      <w:pPr>
        <w:pStyle w:val="Kazalovsebine1"/>
        <w:rPr>
          <w:rFonts w:cstheme="minorBidi"/>
          <w:noProof/>
          <w:lang w:val="en-GB"/>
        </w:rPr>
      </w:pPr>
      <w:hyperlink w:anchor="_Toc115336026" w:history="1">
        <w:r w:rsidR="007A6032" w:rsidRPr="00A66F03">
          <w:rPr>
            <w:rStyle w:val="Hiperpovezava"/>
            <w:rFonts w:eastAsia="Times New Roman"/>
            <w:bCs/>
            <w:noProof/>
            <w:lang w:val="en-GB"/>
          </w:rPr>
          <w:t>8.   List of planned programmes under the funds covered by the Partnership Agreement with the respective preliminary financial allocations by fund and the corresponding contribution by category of region</w:t>
        </w:r>
        <w:r w:rsidR="007A6032" w:rsidRPr="00A66F03">
          <w:rPr>
            <w:noProof/>
            <w:webHidden/>
            <w:lang w:val="en-GB"/>
          </w:rPr>
          <w:tab/>
        </w:r>
        <w:r w:rsidR="007A6032" w:rsidRPr="00A66F03">
          <w:rPr>
            <w:noProof/>
            <w:webHidden/>
            <w:lang w:val="en-GB"/>
          </w:rPr>
          <w:fldChar w:fldCharType="begin"/>
        </w:r>
        <w:r w:rsidR="007A6032" w:rsidRPr="00A66F03">
          <w:rPr>
            <w:noProof/>
            <w:webHidden/>
            <w:lang w:val="en-GB"/>
          </w:rPr>
          <w:instrText xml:space="preserve"> PAGEREF _Toc115336026 \h </w:instrText>
        </w:r>
        <w:r w:rsidR="007A6032" w:rsidRPr="00A66F03">
          <w:rPr>
            <w:noProof/>
            <w:webHidden/>
            <w:lang w:val="en-GB"/>
          </w:rPr>
        </w:r>
        <w:r w:rsidR="007A6032" w:rsidRPr="00A66F03">
          <w:rPr>
            <w:noProof/>
            <w:webHidden/>
            <w:lang w:val="en-GB"/>
          </w:rPr>
          <w:fldChar w:fldCharType="separate"/>
        </w:r>
        <w:r w:rsidR="002C3693">
          <w:rPr>
            <w:noProof/>
            <w:webHidden/>
            <w:lang w:val="en-GB"/>
          </w:rPr>
          <w:t>67</w:t>
        </w:r>
        <w:r w:rsidR="007A6032" w:rsidRPr="00A66F03">
          <w:rPr>
            <w:noProof/>
            <w:webHidden/>
            <w:lang w:val="en-GB"/>
          </w:rPr>
          <w:fldChar w:fldCharType="end"/>
        </w:r>
      </w:hyperlink>
    </w:p>
    <w:p w14:paraId="03FEFC0F" w14:textId="33D32DE2" w:rsidR="007A6032" w:rsidRPr="00A66F03" w:rsidRDefault="00976636">
      <w:pPr>
        <w:pStyle w:val="Kazalovsebine1"/>
        <w:rPr>
          <w:rFonts w:cstheme="minorBidi"/>
          <w:noProof/>
          <w:lang w:val="en-GB"/>
        </w:rPr>
      </w:pPr>
      <w:hyperlink w:anchor="_Toc115336027" w:history="1">
        <w:r w:rsidR="007A6032" w:rsidRPr="00A66F03">
          <w:rPr>
            <w:rStyle w:val="Hiperpovezava"/>
            <w:rFonts w:eastAsia="Times New Roman"/>
            <w:bCs/>
            <w:noProof/>
            <w:lang w:val="en-GB"/>
          </w:rPr>
          <w:t>9.   Summary of actions planned to reinforce administrative capacity for the implementation of the funds covered by the Partnership Agreement</w:t>
        </w:r>
        <w:r w:rsidR="007A6032" w:rsidRPr="00A66F03">
          <w:rPr>
            <w:noProof/>
            <w:webHidden/>
            <w:lang w:val="en-GB"/>
          </w:rPr>
          <w:tab/>
        </w:r>
        <w:r w:rsidR="007A6032" w:rsidRPr="00A66F03">
          <w:rPr>
            <w:noProof/>
            <w:webHidden/>
            <w:lang w:val="en-GB"/>
          </w:rPr>
          <w:fldChar w:fldCharType="begin"/>
        </w:r>
        <w:r w:rsidR="007A6032" w:rsidRPr="00A66F03">
          <w:rPr>
            <w:noProof/>
            <w:webHidden/>
            <w:lang w:val="en-GB"/>
          </w:rPr>
          <w:instrText xml:space="preserve"> PAGEREF _Toc115336027 \h </w:instrText>
        </w:r>
        <w:r w:rsidR="007A6032" w:rsidRPr="00A66F03">
          <w:rPr>
            <w:noProof/>
            <w:webHidden/>
            <w:lang w:val="en-GB"/>
          </w:rPr>
        </w:r>
        <w:r w:rsidR="007A6032" w:rsidRPr="00A66F03">
          <w:rPr>
            <w:noProof/>
            <w:webHidden/>
            <w:lang w:val="en-GB"/>
          </w:rPr>
          <w:fldChar w:fldCharType="separate"/>
        </w:r>
        <w:r w:rsidR="002C3693">
          <w:rPr>
            <w:noProof/>
            <w:webHidden/>
            <w:lang w:val="en-GB"/>
          </w:rPr>
          <w:t>68</w:t>
        </w:r>
        <w:r w:rsidR="007A6032" w:rsidRPr="00A66F03">
          <w:rPr>
            <w:noProof/>
            <w:webHidden/>
            <w:lang w:val="en-GB"/>
          </w:rPr>
          <w:fldChar w:fldCharType="end"/>
        </w:r>
      </w:hyperlink>
    </w:p>
    <w:p w14:paraId="68186CCA" w14:textId="034C0849" w:rsidR="007A6032" w:rsidRPr="00A66F03" w:rsidRDefault="00976636">
      <w:pPr>
        <w:pStyle w:val="Kazalovsebine1"/>
        <w:rPr>
          <w:rFonts w:cstheme="minorBidi"/>
          <w:noProof/>
          <w:lang w:val="en-GB"/>
        </w:rPr>
      </w:pPr>
      <w:hyperlink w:anchor="_Toc115336028" w:history="1">
        <w:r w:rsidR="007A6032" w:rsidRPr="00A66F03">
          <w:rPr>
            <w:rStyle w:val="Hiperpovezava"/>
            <w:rFonts w:eastAsia="Times New Roman"/>
            <w:bCs/>
            <w:noProof/>
            <w:lang w:val="en-GB"/>
          </w:rPr>
          <w:t>10.   An integrated approach to address the demographic challenges and/or specific needs of regions and areas (where appropriate)</w:t>
        </w:r>
        <w:r w:rsidR="007A6032" w:rsidRPr="00A66F03">
          <w:rPr>
            <w:noProof/>
            <w:webHidden/>
            <w:lang w:val="en-GB"/>
          </w:rPr>
          <w:tab/>
        </w:r>
        <w:r w:rsidR="007A6032" w:rsidRPr="00A66F03">
          <w:rPr>
            <w:noProof/>
            <w:webHidden/>
            <w:lang w:val="en-GB"/>
          </w:rPr>
          <w:fldChar w:fldCharType="begin"/>
        </w:r>
        <w:r w:rsidR="007A6032" w:rsidRPr="00A66F03">
          <w:rPr>
            <w:noProof/>
            <w:webHidden/>
            <w:lang w:val="en-GB"/>
          </w:rPr>
          <w:instrText xml:space="preserve"> PAGEREF _Toc115336028 \h </w:instrText>
        </w:r>
        <w:r w:rsidR="007A6032" w:rsidRPr="00A66F03">
          <w:rPr>
            <w:noProof/>
            <w:webHidden/>
            <w:lang w:val="en-GB"/>
          </w:rPr>
        </w:r>
        <w:r w:rsidR="007A6032" w:rsidRPr="00A66F03">
          <w:rPr>
            <w:noProof/>
            <w:webHidden/>
            <w:lang w:val="en-GB"/>
          </w:rPr>
          <w:fldChar w:fldCharType="separate"/>
        </w:r>
        <w:r w:rsidR="002C3693">
          <w:rPr>
            <w:noProof/>
            <w:webHidden/>
            <w:lang w:val="en-GB"/>
          </w:rPr>
          <w:t>70</w:t>
        </w:r>
        <w:r w:rsidR="007A6032" w:rsidRPr="00A66F03">
          <w:rPr>
            <w:noProof/>
            <w:webHidden/>
            <w:lang w:val="en-GB"/>
          </w:rPr>
          <w:fldChar w:fldCharType="end"/>
        </w:r>
      </w:hyperlink>
    </w:p>
    <w:p w14:paraId="0C127B12" w14:textId="5120C2FB" w:rsidR="007A6032" w:rsidRPr="00A66F03" w:rsidRDefault="00976636">
      <w:pPr>
        <w:pStyle w:val="Kazalovsebine1"/>
        <w:rPr>
          <w:rFonts w:cstheme="minorBidi"/>
          <w:noProof/>
          <w:lang w:val="en-GB"/>
        </w:rPr>
      </w:pPr>
      <w:hyperlink w:anchor="_Toc115336029" w:history="1">
        <w:r w:rsidR="007A6032" w:rsidRPr="00A66F03">
          <w:rPr>
            <w:rStyle w:val="Hiperpovezava"/>
            <w:rFonts w:eastAsia="Times New Roman"/>
            <w:bCs/>
            <w:noProof/>
            <w:lang w:val="en-GB"/>
          </w:rPr>
          <w:t>12.   Preliminary climate contribution target</w:t>
        </w:r>
        <w:r w:rsidR="007A6032" w:rsidRPr="00A66F03">
          <w:rPr>
            <w:noProof/>
            <w:webHidden/>
            <w:lang w:val="en-GB"/>
          </w:rPr>
          <w:tab/>
        </w:r>
        <w:r w:rsidR="007A6032" w:rsidRPr="00A66F03">
          <w:rPr>
            <w:noProof/>
            <w:webHidden/>
            <w:lang w:val="en-GB"/>
          </w:rPr>
          <w:fldChar w:fldCharType="begin"/>
        </w:r>
        <w:r w:rsidR="007A6032" w:rsidRPr="00A66F03">
          <w:rPr>
            <w:noProof/>
            <w:webHidden/>
            <w:lang w:val="en-GB"/>
          </w:rPr>
          <w:instrText xml:space="preserve"> PAGEREF _Toc115336029 \h </w:instrText>
        </w:r>
        <w:r w:rsidR="007A6032" w:rsidRPr="00A66F03">
          <w:rPr>
            <w:noProof/>
            <w:webHidden/>
            <w:lang w:val="en-GB"/>
          </w:rPr>
        </w:r>
        <w:r w:rsidR="007A6032" w:rsidRPr="00A66F03">
          <w:rPr>
            <w:noProof/>
            <w:webHidden/>
            <w:lang w:val="en-GB"/>
          </w:rPr>
          <w:fldChar w:fldCharType="separate"/>
        </w:r>
        <w:r w:rsidR="002C3693">
          <w:rPr>
            <w:noProof/>
            <w:webHidden/>
            <w:lang w:val="en-GB"/>
          </w:rPr>
          <w:t>73</w:t>
        </w:r>
        <w:r w:rsidR="007A6032" w:rsidRPr="00A66F03">
          <w:rPr>
            <w:noProof/>
            <w:webHidden/>
            <w:lang w:val="en-GB"/>
          </w:rPr>
          <w:fldChar w:fldCharType="end"/>
        </w:r>
      </w:hyperlink>
    </w:p>
    <w:p w14:paraId="31C0D702" w14:textId="77777777" w:rsidR="00874C8B" w:rsidRPr="00A66F03" w:rsidRDefault="00976636" w:rsidP="00B72629">
      <w:pPr>
        <w:spacing w:after="0" w:line="276" w:lineRule="auto"/>
        <w:rPr>
          <w:rFonts w:ascii="Times New Roman" w:eastAsia="Times New Roman" w:hAnsi="Times New Roman" w:cs="Times New Roman"/>
          <w:sz w:val="24"/>
          <w:szCs w:val="24"/>
          <w:lang w:val="en-GB"/>
        </w:rPr>
      </w:pPr>
      <w:r w:rsidRPr="00A66F03">
        <w:rPr>
          <w:rFonts w:ascii="Times New Roman" w:eastAsia="Times New Roman" w:hAnsi="Times New Roman" w:cs="Times New Roman"/>
          <w:sz w:val="24"/>
          <w:szCs w:val="24"/>
          <w:lang w:val="en-GB"/>
        </w:rPr>
        <w:fldChar w:fldCharType="end"/>
      </w:r>
    </w:p>
    <w:p w14:paraId="479D4CEC" w14:textId="7081770B" w:rsidR="009A5DF8" w:rsidRPr="00A66F03" w:rsidRDefault="00976636" w:rsidP="00B72629">
      <w:pPr>
        <w:spacing w:after="0" w:line="276" w:lineRule="auto"/>
        <w:rPr>
          <w:rFonts w:ascii="Times New Roman" w:hAnsi="Times New Roman" w:cs="Times New Roman"/>
          <w:b/>
          <w:noProof/>
          <w:u w:val="single"/>
          <w:lang w:val="en-GB"/>
        </w:rPr>
      </w:pPr>
      <w:r w:rsidRPr="00A66F03">
        <w:rPr>
          <w:rFonts w:ascii="Times New Roman" w:hAnsi="Times New Roman" w:cs="Times New Roman"/>
          <w:b/>
          <w:bCs/>
          <w:noProof/>
          <w:u w:val="single"/>
          <w:lang w:val="en-GB"/>
        </w:rPr>
        <w:t>LIST OF</w:t>
      </w:r>
      <w:r w:rsidRPr="00A66F03">
        <w:rPr>
          <w:rFonts w:ascii="Times New Roman" w:hAnsi="Times New Roman" w:cs="Times New Roman"/>
          <w:b/>
          <w:bCs/>
          <w:noProof/>
          <w:u w:val="single"/>
          <w:lang w:val="en-GB"/>
        </w:rPr>
        <w:t xml:space="preserve"> ABBREVIATIONS</w:t>
      </w:r>
    </w:p>
    <w:p w14:paraId="789CC76F" w14:textId="77777777" w:rsidR="009A5DF8" w:rsidRPr="00A66F03" w:rsidRDefault="009A5DF8" w:rsidP="00B72629">
      <w:pPr>
        <w:spacing w:after="0" w:line="276" w:lineRule="auto"/>
        <w:rPr>
          <w:rFonts w:ascii="Times New Roman" w:hAnsi="Times New Roman" w:cs="Times New Roman"/>
          <w:b/>
          <w:noProof/>
          <w:u w:val="single"/>
          <w:lang w:val="en-GB"/>
        </w:rPr>
      </w:pPr>
    </w:p>
    <w:p w14:paraId="319BD507" w14:textId="77777777" w:rsidR="009A5DF8" w:rsidRPr="00A66F03" w:rsidRDefault="00976636" w:rsidP="00B72629">
      <w:pPr>
        <w:autoSpaceDE w:val="0"/>
        <w:autoSpaceDN w:val="0"/>
        <w:adjustRightInd w:val="0"/>
        <w:spacing w:after="0" w:line="276" w:lineRule="auto"/>
        <w:rPr>
          <w:rFonts w:ascii="Times New Roman" w:hAnsi="Times New Roman" w:cs="Times New Roman"/>
          <w:noProof/>
          <w:lang w:val="en-GB"/>
        </w:rPr>
      </w:pPr>
      <w:r w:rsidRPr="00A66F03">
        <w:rPr>
          <w:rFonts w:ascii="Times New Roman" w:hAnsi="Times New Roman" w:cs="Times New Roman"/>
          <w:noProof/>
          <w:lang w:val="en-GB"/>
        </w:rPr>
        <w:t>AMIF – Asylum, Migration and Integration Fund</w:t>
      </w:r>
    </w:p>
    <w:p w14:paraId="42483001" w14:textId="77777777" w:rsidR="00BD4370" w:rsidRPr="00A66F03" w:rsidRDefault="00976636" w:rsidP="00B72629">
      <w:pPr>
        <w:spacing w:after="0" w:line="276" w:lineRule="auto"/>
        <w:rPr>
          <w:rFonts w:ascii="Times New Roman" w:hAnsi="Times New Roman" w:cs="Times New Roman"/>
          <w:noProof/>
          <w:lang w:val="en-GB"/>
        </w:rPr>
      </w:pPr>
      <w:r w:rsidRPr="00A66F03">
        <w:rPr>
          <w:rFonts w:ascii="Times New Roman" w:hAnsi="Times New Roman" w:cs="Times New Roman"/>
          <w:noProof/>
          <w:lang w:val="en-GB"/>
        </w:rPr>
        <w:t xml:space="preserve">CLLD – Community-Led Local Development </w:t>
      </w:r>
    </w:p>
    <w:p w14:paraId="6666749F" w14:textId="77777777" w:rsidR="00BD4370" w:rsidRPr="00A66F03" w:rsidRDefault="00976636" w:rsidP="00B72629">
      <w:pPr>
        <w:spacing w:after="0" w:line="276" w:lineRule="auto"/>
        <w:rPr>
          <w:rFonts w:ascii="Times New Roman" w:hAnsi="Times New Roman" w:cs="Times New Roman"/>
          <w:noProof/>
          <w:lang w:val="en-GB"/>
        </w:rPr>
      </w:pPr>
      <w:r w:rsidRPr="00A66F03">
        <w:rPr>
          <w:rFonts w:ascii="Times New Roman" w:hAnsi="Times New Roman" w:cs="Times New Roman"/>
          <w:noProof/>
          <w:lang w:val="en-GB"/>
        </w:rPr>
        <w:t>ITI – Integrated Territorial Investments</w:t>
      </w:r>
    </w:p>
    <w:p w14:paraId="0394E4F0" w14:textId="77777777" w:rsidR="00E01A2C" w:rsidRPr="00A66F03" w:rsidRDefault="00976636" w:rsidP="00B72629">
      <w:pPr>
        <w:spacing w:after="0" w:line="276" w:lineRule="auto"/>
        <w:rPr>
          <w:rFonts w:ascii="Times New Roman" w:hAnsi="Times New Roman" w:cs="Times New Roman"/>
          <w:noProof/>
          <w:lang w:val="en-GB"/>
        </w:rPr>
      </w:pPr>
      <w:r w:rsidRPr="00A66F03">
        <w:rPr>
          <w:rFonts w:ascii="Times New Roman" w:hAnsi="Times New Roman" w:cs="Times New Roman"/>
          <w:noProof/>
          <w:lang w:val="en-GB"/>
        </w:rPr>
        <w:t>CzK – Centre for Creativity</w:t>
      </w:r>
    </w:p>
    <w:p w14:paraId="021F7141" w14:textId="77777777" w:rsidR="009A5DF8" w:rsidRPr="00A66F03" w:rsidRDefault="00976636" w:rsidP="00B72629">
      <w:pPr>
        <w:autoSpaceDE w:val="0"/>
        <w:autoSpaceDN w:val="0"/>
        <w:adjustRightInd w:val="0"/>
        <w:spacing w:after="0" w:line="276" w:lineRule="auto"/>
        <w:rPr>
          <w:rFonts w:ascii="Times New Roman" w:hAnsi="Times New Roman" w:cs="Times New Roman"/>
          <w:noProof/>
          <w:lang w:val="en-GB"/>
        </w:rPr>
      </w:pPr>
      <w:r w:rsidRPr="00A66F03">
        <w:rPr>
          <w:rFonts w:ascii="Times New Roman" w:hAnsi="Times New Roman" w:cs="Times New Roman"/>
          <w:noProof/>
          <w:lang w:val="en-GB"/>
        </w:rPr>
        <w:t>EaSI – EU Employment and Social Innovation Programme</w:t>
      </w:r>
    </w:p>
    <w:p w14:paraId="0B488895" w14:textId="77777777" w:rsidR="00E815DC" w:rsidRPr="00A66F03" w:rsidRDefault="00976636" w:rsidP="00B72629">
      <w:pPr>
        <w:autoSpaceDE w:val="0"/>
        <w:autoSpaceDN w:val="0"/>
        <w:adjustRightInd w:val="0"/>
        <w:spacing w:after="0" w:line="276" w:lineRule="auto"/>
        <w:rPr>
          <w:rFonts w:ascii="Times New Roman" w:hAnsi="Times New Roman" w:cs="Times New Roman"/>
          <w:noProof/>
          <w:lang w:val="en-GB"/>
        </w:rPr>
      </w:pPr>
      <w:r w:rsidRPr="00A66F03">
        <w:rPr>
          <w:rFonts w:ascii="Times New Roman" w:hAnsi="Times New Roman" w:cs="Times New Roman"/>
          <w:noProof/>
          <w:lang w:val="en-GB"/>
        </w:rPr>
        <w:t>EESSI – Electronic Exchange of S</w:t>
      </w:r>
      <w:r w:rsidRPr="00A66F03">
        <w:rPr>
          <w:rFonts w:ascii="Times New Roman" w:hAnsi="Times New Roman" w:cs="Times New Roman"/>
          <w:noProof/>
          <w:lang w:val="en-GB"/>
        </w:rPr>
        <w:t>ocial Security Information</w:t>
      </w:r>
    </w:p>
    <w:p w14:paraId="78AC77EC" w14:textId="77777777" w:rsidR="00A02B36" w:rsidRPr="00A66F03" w:rsidRDefault="00976636" w:rsidP="00B72629">
      <w:pPr>
        <w:autoSpaceDE w:val="0"/>
        <w:autoSpaceDN w:val="0"/>
        <w:adjustRightInd w:val="0"/>
        <w:spacing w:after="0" w:line="276" w:lineRule="auto"/>
        <w:rPr>
          <w:rFonts w:ascii="Times New Roman" w:hAnsi="Times New Roman" w:cs="Times New Roman"/>
          <w:noProof/>
          <w:lang w:val="en-GB"/>
        </w:rPr>
      </w:pPr>
      <w:r w:rsidRPr="00A66F03">
        <w:rPr>
          <w:rFonts w:ascii="Times New Roman" w:hAnsi="Times New Roman" w:cs="Times New Roman"/>
          <w:noProof/>
          <w:lang w:val="en-GB"/>
        </w:rPr>
        <w:t>ESI – European Structural and Investment Funds (ERDF, CF, ESF+ and JTF)</w:t>
      </w:r>
    </w:p>
    <w:p w14:paraId="0B81879F" w14:textId="77777777" w:rsidR="009A5DF8" w:rsidRPr="00A66F03" w:rsidRDefault="00976636" w:rsidP="00B72629">
      <w:pPr>
        <w:autoSpaceDE w:val="0"/>
        <w:autoSpaceDN w:val="0"/>
        <w:adjustRightInd w:val="0"/>
        <w:spacing w:after="0" w:line="276" w:lineRule="auto"/>
        <w:rPr>
          <w:rFonts w:ascii="Times New Roman" w:hAnsi="Times New Roman" w:cs="Times New Roman"/>
          <w:noProof/>
          <w:lang w:val="en-GB"/>
        </w:rPr>
      </w:pPr>
      <w:r w:rsidRPr="00A66F03">
        <w:rPr>
          <w:rFonts w:ascii="Times New Roman" w:hAnsi="Times New Roman" w:cs="Times New Roman"/>
          <w:noProof/>
          <w:lang w:val="en-GB"/>
        </w:rPr>
        <w:t>ERDF – European Regional Development Fund</w:t>
      </w:r>
    </w:p>
    <w:p w14:paraId="033CA2E0" w14:textId="77777777" w:rsidR="009A5DF8" w:rsidRPr="00A66F03" w:rsidRDefault="00976636" w:rsidP="00B72629">
      <w:pPr>
        <w:autoSpaceDE w:val="0"/>
        <w:autoSpaceDN w:val="0"/>
        <w:adjustRightInd w:val="0"/>
        <w:spacing w:after="0" w:line="276" w:lineRule="auto"/>
        <w:rPr>
          <w:rFonts w:ascii="Times New Roman" w:hAnsi="Times New Roman" w:cs="Times New Roman"/>
          <w:noProof/>
          <w:lang w:val="en-GB"/>
        </w:rPr>
      </w:pPr>
      <w:r w:rsidRPr="00A66F03">
        <w:rPr>
          <w:rFonts w:ascii="Times New Roman" w:hAnsi="Times New Roman" w:cs="Times New Roman"/>
          <w:noProof/>
          <w:lang w:val="en-GB"/>
        </w:rPr>
        <w:t>ESF+ – European Social Fund</w:t>
      </w:r>
    </w:p>
    <w:p w14:paraId="4841231F" w14:textId="77777777" w:rsidR="009A5DF8" w:rsidRPr="00A66F03" w:rsidRDefault="00976636" w:rsidP="00B72629">
      <w:pPr>
        <w:autoSpaceDE w:val="0"/>
        <w:autoSpaceDN w:val="0"/>
        <w:adjustRightInd w:val="0"/>
        <w:spacing w:after="0" w:line="276" w:lineRule="auto"/>
        <w:rPr>
          <w:rFonts w:ascii="Times New Roman" w:hAnsi="Times New Roman" w:cs="Times New Roman"/>
          <w:noProof/>
          <w:lang w:val="en-GB"/>
        </w:rPr>
      </w:pPr>
      <w:r w:rsidRPr="00A66F03">
        <w:rPr>
          <w:rFonts w:ascii="Times New Roman" w:hAnsi="Times New Roman" w:cs="Times New Roman"/>
          <w:noProof/>
          <w:lang w:val="en-GB"/>
        </w:rPr>
        <w:t>EMFAF – European Maritime, Fisheries and Aquaculture Fund</w:t>
      </w:r>
    </w:p>
    <w:p w14:paraId="05ED3B80" w14:textId="77777777" w:rsidR="009A5DF8" w:rsidRPr="00A66F03" w:rsidRDefault="00976636" w:rsidP="00B72629">
      <w:pPr>
        <w:spacing w:after="0" w:line="276" w:lineRule="auto"/>
        <w:rPr>
          <w:rFonts w:ascii="Times New Roman" w:hAnsi="Times New Roman" w:cs="Times New Roman"/>
          <w:noProof/>
          <w:lang w:val="en-GB"/>
        </w:rPr>
      </w:pPr>
      <w:r w:rsidRPr="00A66F03">
        <w:rPr>
          <w:rFonts w:ascii="Times New Roman" w:hAnsi="Times New Roman" w:cs="Times New Roman"/>
          <w:noProof/>
          <w:lang w:val="en-GB"/>
        </w:rPr>
        <w:t>EAFRD – European Agricultural</w:t>
      </w:r>
      <w:r w:rsidRPr="00A66F03">
        <w:rPr>
          <w:rFonts w:ascii="Times New Roman" w:hAnsi="Times New Roman" w:cs="Times New Roman"/>
          <w:noProof/>
          <w:lang w:val="en-GB"/>
        </w:rPr>
        <w:t xml:space="preserve"> Fund for Rural Development</w:t>
      </w:r>
    </w:p>
    <w:p w14:paraId="791062CE" w14:textId="77777777" w:rsidR="009A5DF8" w:rsidRPr="00A66F03" w:rsidRDefault="00976636" w:rsidP="00B72629">
      <w:pPr>
        <w:autoSpaceDE w:val="0"/>
        <w:autoSpaceDN w:val="0"/>
        <w:adjustRightInd w:val="0"/>
        <w:spacing w:after="0" w:line="276" w:lineRule="auto"/>
        <w:rPr>
          <w:rFonts w:ascii="Times New Roman" w:hAnsi="Times New Roman" w:cs="Times New Roman"/>
          <w:noProof/>
          <w:lang w:val="en-GB"/>
        </w:rPr>
      </w:pPr>
      <w:r w:rsidRPr="00A66F03">
        <w:rPr>
          <w:rFonts w:ascii="Times New Roman" w:hAnsi="Times New Roman" w:cs="Times New Roman"/>
          <w:noProof/>
          <w:lang w:val="en-GB"/>
        </w:rPr>
        <w:t>ETC – European territorial cooperation programmes</w:t>
      </w:r>
    </w:p>
    <w:p w14:paraId="04AB79B7" w14:textId="77777777" w:rsidR="00733E7D" w:rsidRPr="00A66F03" w:rsidRDefault="00976636" w:rsidP="00B72629">
      <w:pPr>
        <w:autoSpaceDE w:val="0"/>
        <w:autoSpaceDN w:val="0"/>
        <w:adjustRightInd w:val="0"/>
        <w:spacing w:after="0" w:line="276" w:lineRule="auto"/>
        <w:rPr>
          <w:rFonts w:ascii="Times New Roman" w:eastAsia="Times New Roman" w:hAnsi="Times New Roman" w:cs="Times New Roman"/>
          <w:iCs/>
          <w:lang w:val="en-GB"/>
        </w:rPr>
      </w:pPr>
      <w:r w:rsidRPr="00A66F03">
        <w:rPr>
          <w:rFonts w:ascii="Times New Roman" w:eastAsia="Times New Roman" w:hAnsi="Times New Roman" w:cs="Times New Roman"/>
          <w:lang w:val="en-GB"/>
        </w:rPr>
        <w:t xml:space="preserve">EUMSS – EU Maritime Security Strategy </w:t>
      </w:r>
    </w:p>
    <w:p w14:paraId="41692524" w14:textId="77777777" w:rsidR="00AE1F5D" w:rsidRPr="00A66F03" w:rsidRDefault="00976636" w:rsidP="00B72629">
      <w:pPr>
        <w:autoSpaceDE w:val="0"/>
        <w:autoSpaceDN w:val="0"/>
        <w:adjustRightInd w:val="0"/>
        <w:spacing w:after="0" w:line="276" w:lineRule="auto"/>
        <w:rPr>
          <w:rFonts w:ascii="Times New Roman" w:eastAsia="Times New Roman" w:hAnsi="Times New Roman" w:cs="Times New Roman"/>
          <w:iCs/>
          <w:lang w:val="en-GB"/>
        </w:rPr>
      </w:pPr>
      <w:r w:rsidRPr="00A66F03">
        <w:rPr>
          <w:rFonts w:ascii="Times New Roman" w:eastAsia="Times New Roman" w:hAnsi="Times New Roman" w:cs="Times New Roman"/>
          <w:lang w:val="en-GB"/>
        </w:rPr>
        <w:t>EUSAIR – EU Strategy for the Adriatic and Ionian Region</w:t>
      </w:r>
    </w:p>
    <w:p w14:paraId="79C2B0BD" w14:textId="77777777" w:rsidR="00AE1F5D" w:rsidRPr="00A66F03" w:rsidRDefault="00976636" w:rsidP="00B72629">
      <w:pPr>
        <w:autoSpaceDE w:val="0"/>
        <w:autoSpaceDN w:val="0"/>
        <w:adjustRightInd w:val="0"/>
        <w:spacing w:after="0" w:line="276" w:lineRule="auto"/>
        <w:rPr>
          <w:rFonts w:ascii="Times New Roman" w:eastAsia="Times New Roman" w:hAnsi="Times New Roman" w:cs="Times New Roman"/>
          <w:iCs/>
          <w:lang w:val="en-GB"/>
        </w:rPr>
      </w:pPr>
      <w:r w:rsidRPr="00A66F03">
        <w:rPr>
          <w:rFonts w:ascii="Times New Roman" w:eastAsia="Times New Roman" w:hAnsi="Times New Roman" w:cs="Times New Roman"/>
          <w:lang w:val="en-GB"/>
        </w:rPr>
        <w:t>EUSALP – EU Strategy for the Alpine Region</w:t>
      </w:r>
    </w:p>
    <w:p w14:paraId="3D033A9F" w14:textId="77777777" w:rsidR="00AE1F5D" w:rsidRPr="00A66F03" w:rsidRDefault="00976636" w:rsidP="00B72629">
      <w:pPr>
        <w:autoSpaceDE w:val="0"/>
        <w:autoSpaceDN w:val="0"/>
        <w:adjustRightInd w:val="0"/>
        <w:spacing w:after="0" w:line="276" w:lineRule="auto"/>
        <w:rPr>
          <w:rFonts w:ascii="Times New Roman" w:eastAsia="Times New Roman" w:hAnsi="Times New Roman" w:cs="Times New Roman"/>
          <w:iCs/>
          <w:lang w:val="en-GB"/>
        </w:rPr>
      </w:pPr>
      <w:r w:rsidRPr="00A66F03">
        <w:rPr>
          <w:rFonts w:ascii="Times New Roman" w:eastAsia="Times New Roman" w:hAnsi="Times New Roman" w:cs="Times New Roman"/>
          <w:lang w:val="en-GB"/>
        </w:rPr>
        <w:t>EUSDR</w:t>
      </w:r>
      <w:r w:rsidRPr="00A66F03">
        <w:rPr>
          <w:rFonts w:ascii="Times New Roman" w:eastAsia="Times New Roman" w:hAnsi="Times New Roman" w:cs="Times New Roman"/>
          <w:lang w:val="en-GB"/>
        </w:rPr>
        <w:t xml:space="preserve"> – EU Strategy for the Danube Region</w:t>
      </w:r>
    </w:p>
    <w:p w14:paraId="3FECB842" w14:textId="77777777" w:rsidR="00EF4F7D" w:rsidRPr="00A66F03" w:rsidRDefault="00976636" w:rsidP="00B72629">
      <w:pPr>
        <w:autoSpaceDE w:val="0"/>
        <w:autoSpaceDN w:val="0"/>
        <w:adjustRightInd w:val="0"/>
        <w:spacing w:after="0" w:line="276" w:lineRule="auto"/>
        <w:rPr>
          <w:rFonts w:ascii="Times New Roman" w:eastAsia="Times New Roman" w:hAnsi="Times New Roman" w:cs="Times New Roman"/>
          <w:iCs/>
          <w:lang w:val="en-GB"/>
        </w:rPr>
      </w:pPr>
      <w:r w:rsidRPr="00A66F03">
        <w:rPr>
          <w:rFonts w:ascii="Times New Roman" w:eastAsia="Times New Roman" w:hAnsi="Times New Roman" w:cs="Times New Roman"/>
          <w:lang w:val="en-GB"/>
        </w:rPr>
        <w:t>GFCM – General Fisheries Commission for the Mediterranean</w:t>
      </w:r>
    </w:p>
    <w:p w14:paraId="7765954A" w14:textId="77777777" w:rsidR="009A5DF8" w:rsidRPr="00A66F03" w:rsidRDefault="00976636" w:rsidP="00B72629">
      <w:pPr>
        <w:autoSpaceDE w:val="0"/>
        <w:autoSpaceDN w:val="0"/>
        <w:adjustRightInd w:val="0"/>
        <w:spacing w:after="0" w:line="276" w:lineRule="auto"/>
        <w:rPr>
          <w:rFonts w:ascii="Times New Roman" w:hAnsi="Times New Roman" w:cs="Times New Roman"/>
          <w:noProof/>
          <w:lang w:val="en-GB"/>
        </w:rPr>
      </w:pPr>
      <w:r w:rsidRPr="00A66F03">
        <w:rPr>
          <w:rFonts w:ascii="Times New Roman" w:hAnsi="Times New Roman" w:cs="Times New Roman"/>
          <w:noProof/>
          <w:lang w:val="en-GB"/>
        </w:rPr>
        <w:t>CEF – Connecting Europe Facility</w:t>
      </w:r>
    </w:p>
    <w:p w14:paraId="0F1D2582" w14:textId="77777777" w:rsidR="00D636AF" w:rsidRPr="00A66F03" w:rsidRDefault="00976636" w:rsidP="00B72629">
      <w:pPr>
        <w:autoSpaceDE w:val="0"/>
        <w:autoSpaceDN w:val="0"/>
        <w:adjustRightInd w:val="0"/>
        <w:spacing w:after="0" w:line="276" w:lineRule="auto"/>
        <w:rPr>
          <w:rFonts w:ascii="Times New Roman" w:hAnsi="Times New Roman" w:cs="Times New Roman"/>
          <w:noProof/>
          <w:lang w:val="en-GB"/>
        </w:rPr>
      </w:pPr>
      <w:r w:rsidRPr="00A66F03">
        <w:rPr>
          <w:rFonts w:ascii="Times New Roman" w:hAnsi="Times New Roman" w:cs="Times New Roman"/>
          <w:noProof/>
          <w:lang w:val="en-GB"/>
        </w:rPr>
        <w:t>DRI –</w:t>
      </w:r>
      <w:r w:rsidRPr="00A66F03">
        <w:rPr>
          <w:rFonts w:ascii="Times New Roman" w:hAnsi="Times New Roman" w:cs="Times New Roman"/>
          <w:lang w:val="en-GB"/>
        </w:rPr>
        <w:t>Development Risk Index</w:t>
      </w:r>
    </w:p>
    <w:p w14:paraId="6C3495CF" w14:textId="77777777" w:rsidR="009A5DF8" w:rsidRPr="00A66F03" w:rsidRDefault="00976636" w:rsidP="00B72629">
      <w:pPr>
        <w:autoSpaceDE w:val="0"/>
        <w:autoSpaceDN w:val="0"/>
        <w:adjustRightInd w:val="0"/>
        <w:spacing w:after="0" w:line="276" w:lineRule="auto"/>
        <w:rPr>
          <w:rFonts w:ascii="Times New Roman" w:hAnsi="Times New Roman" w:cs="Times New Roman"/>
          <w:noProof/>
          <w:lang w:val="en-GB"/>
        </w:rPr>
      </w:pPr>
      <w:r w:rsidRPr="00A66F03">
        <w:rPr>
          <w:rFonts w:ascii="Times New Roman" w:hAnsi="Times New Roman" w:cs="Times New Roman"/>
          <w:noProof/>
          <w:lang w:val="en-GB"/>
        </w:rPr>
        <w:t>MBVI – Instrument for Financial Support for Border Management and Visa Policy</w:t>
      </w:r>
    </w:p>
    <w:p w14:paraId="38641F22" w14:textId="77777777" w:rsidR="00A02B36" w:rsidRPr="00A66F03" w:rsidRDefault="00976636" w:rsidP="00B72629">
      <w:pPr>
        <w:autoSpaceDE w:val="0"/>
        <w:autoSpaceDN w:val="0"/>
        <w:adjustRightInd w:val="0"/>
        <w:spacing w:after="0" w:line="276" w:lineRule="auto"/>
        <w:rPr>
          <w:rFonts w:ascii="Times New Roman" w:hAnsi="Times New Roman" w:cs="Times New Roman"/>
          <w:noProof/>
          <w:lang w:val="en-GB"/>
        </w:rPr>
      </w:pPr>
      <w:r w:rsidRPr="00A66F03">
        <w:rPr>
          <w:rFonts w:ascii="Times New Roman" w:hAnsi="Times New Roman" w:cs="Times New Roman"/>
          <w:noProof/>
          <w:lang w:val="en-GB"/>
        </w:rPr>
        <w:t xml:space="preserve">KET – Key enabling </w:t>
      </w:r>
      <w:r w:rsidRPr="00A66F03">
        <w:rPr>
          <w:rFonts w:ascii="Times New Roman" w:hAnsi="Times New Roman" w:cs="Times New Roman"/>
          <w:noProof/>
          <w:lang w:val="en-GB"/>
        </w:rPr>
        <w:t>technology</w:t>
      </w:r>
    </w:p>
    <w:p w14:paraId="740B3BC8" w14:textId="77777777" w:rsidR="009A5DF8" w:rsidRPr="00A66F03" w:rsidRDefault="00976636" w:rsidP="00B72629">
      <w:pPr>
        <w:spacing w:after="0" w:line="276" w:lineRule="auto"/>
        <w:rPr>
          <w:rFonts w:ascii="Times New Roman" w:hAnsi="Times New Roman" w:cs="Times New Roman"/>
          <w:noProof/>
          <w:lang w:val="en-GB"/>
        </w:rPr>
      </w:pPr>
      <w:r w:rsidRPr="00A66F03">
        <w:rPr>
          <w:rFonts w:ascii="Times New Roman" w:hAnsi="Times New Roman" w:cs="Times New Roman"/>
          <w:noProof/>
          <w:lang w:val="en-GB"/>
        </w:rPr>
        <w:t>CF – Cohesion Fund</w:t>
      </w:r>
    </w:p>
    <w:p w14:paraId="6E015F17" w14:textId="77777777" w:rsidR="009A5DF8" w:rsidRPr="00A66F03" w:rsidRDefault="00976636" w:rsidP="00B72629">
      <w:pPr>
        <w:spacing w:after="0" w:line="276" w:lineRule="auto"/>
        <w:rPr>
          <w:rFonts w:ascii="Times New Roman" w:hAnsi="Times New Roman" w:cs="Times New Roman"/>
          <w:noProof/>
          <w:lang w:val="en-GB"/>
        </w:rPr>
      </w:pPr>
      <w:r w:rsidRPr="00A66F03">
        <w:rPr>
          <w:rFonts w:ascii="Times New Roman" w:hAnsi="Times New Roman" w:cs="Times New Roman"/>
          <w:noProof/>
          <w:lang w:val="en-GB"/>
        </w:rPr>
        <w:t>ESCR – Eastern Slovenia Cohesion Region</w:t>
      </w:r>
    </w:p>
    <w:p w14:paraId="45A9E3E0" w14:textId="77777777" w:rsidR="009A5DF8" w:rsidRPr="00A66F03" w:rsidRDefault="00976636" w:rsidP="00B72629">
      <w:pPr>
        <w:spacing w:after="0" w:line="276" w:lineRule="auto"/>
        <w:rPr>
          <w:rFonts w:ascii="Times New Roman" w:hAnsi="Times New Roman" w:cs="Times New Roman"/>
          <w:noProof/>
          <w:lang w:val="en-GB"/>
        </w:rPr>
      </w:pPr>
      <w:r w:rsidRPr="00A66F03">
        <w:rPr>
          <w:rFonts w:ascii="Times New Roman" w:hAnsi="Times New Roman" w:cs="Times New Roman"/>
          <w:noProof/>
          <w:lang w:val="en-GB"/>
        </w:rPr>
        <w:t>WSCR – Western Slovenia Cohesion Region</w:t>
      </w:r>
    </w:p>
    <w:p w14:paraId="2197DF38" w14:textId="77777777" w:rsidR="00A02B36" w:rsidRPr="00A66F03" w:rsidRDefault="00976636" w:rsidP="00B72629">
      <w:pPr>
        <w:spacing w:after="0" w:line="276" w:lineRule="auto"/>
        <w:rPr>
          <w:rFonts w:ascii="Times New Roman" w:hAnsi="Times New Roman" w:cs="Times New Roman"/>
          <w:noProof/>
          <w:lang w:val="en-GB"/>
        </w:rPr>
      </w:pPr>
      <w:r w:rsidRPr="00A66F03">
        <w:rPr>
          <w:rFonts w:ascii="Times New Roman" w:hAnsi="Times New Roman" w:cs="Times New Roman"/>
          <w:noProof/>
          <w:lang w:val="en-GB"/>
        </w:rPr>
        <w:t>KTO – Knowledge Transfer Office</w:t>
      </w:r>
    </w:p>
    <w:p w14:paraId="5A5B2ED3" w14:textId="77777777" w:rsidR="00BD4370" w:rsidRPr="00A66F03" w:rsidRDefault="00976636" w:rsidP="00B72629">
      <w:pPr>
        <w:spacing w:after="0" w:line="276" w:lineRule="auto"/>
        <w:rPr>
          <w:rFonts w:ascii="Times New Roman" w:hAnsi="Times New Roman" w:cs="Times New Roman"/>
          <w:noProof/>
          <w:lang w:val="en-GB"/>
        </w:rPr>
      </w:pPr>
      <w:r w:rsidRPr="00A66F03">
        <w:rPr>
          <w:rFonts w:ascii="Times New Roman" w:hAnsi="Times New Roman" w:cs="Times New Roman"/>
          <w:noProof/>
          <w:lang w:val="en-GB"/>
        </w:rPr>
        <w:t>LAG – Local action groups</w:t>
      </w:r>
    </w:p>
    <w:p w14:paraId="7720396E" w14:textId="77777777" w:rsidR="009A1AB0" w:rsidRPr="00A66F03" w:rsidRDefault="00976636" w:rsidP="00B72629">
      <w:pPr>
        <w:spacing w:after="0" w:line="276" w:lineRule="auto"/>
        <w:rPr>
          <w:rFonts w:ascii="Times New Roman" w:hAnsi="Times New Roman" w:cs="Times New Roman"/>
          <w:noProof/>
          <w:lang w:val="en-GB"/>
        </w:rPr>
      </w:pPr>
      <w:r w:rsidRPr="00A66F03">
        <w:rPr>
          <w:rFonts w:ascii="Times New Roman" w:hAnsi="Times New Roman" w:cs="Times New Roman"/>
          <w:noProof/>
          <w:lang w:val="en-GB"/>
        </w:rPr>
        <w:t>MDDSZ – Ministry of Labour, Family, Social Affairs and Equal Opportunities</w:t>
      </w:r>
    </w:p>
    <w:p w14:paraId="2A481691" w14:textId="77777777" w:rsidR="009A1AB0" w:rsidRPr="00A66F03" w:rsidRDefault="00976636" w:rsidP="00B72629">
      <w:pPr>
        <w:spacing w:after="0" w:line="276" w:lineRule="auto"/>
        <w:rPr>
          <w:rFonts w:ascii="Times New Roman" w:hAnsi="Times New Roman" w:cs="Times New Roman"/>
          <w:noProof/>
          <w:lang w:val="en-GB"/>
        </w:rPr>
      </w:pPr>
      <w:r w:rsidRPr="00A66F03">
        <w:rPr>
          <w:rFonts w:ascii="Times New Roman" w:hAnsi="Times New Roman" w:cs="Times New Roman"/>
          <w:noProof/>
          <w:lang w:val="en-GB"/>
        </w:rPr>
        <w:t xml:space="preserve">MGRT – </w:t>
      </w:r>
      <w:r w:rsidRPr="00A66F03">
        <w:rPr>
          <w:rFonts w:ascii="Times New Roman" w:hAnsi="Times New Roman" w:cs="Times New Roman"/>
          <w:noProof/>
          <w:lang w:val="en-GB"/>
        </w:rPr>
        <w:t>Ministry of Economic Development and Technology</w:t>
      </w:r>
    </w:p>
    <w:p w14:paraId="2A9677D8" w14:textId="77777777" w:rsidR="009A1AB0" w:rsidRPr="00A66F03" w:rsidRDefault="00976636" w:rsidP="00B72629">
      <w:pPr>
        <w:spacing w:after="0" w:line="276" w:lineRule="auto"/>
        <w:rPr>
          <w:rFonts w:ascii="Times New Roman" w:hAnsi="Times New Roman" w:cs="Times New Roman"/>
          <w:noProof/>
          <w:lang w:val="en-GB"/>
        </w:rPr>
      </w:pPr>
      <w:r w:rsidRPr="00A66F03">
        <w:rPr>
          <w:rFonts w:ascii="Times New Roman" w:hAnsi="Times New Roman" w:cs="Times New Roman"/>
          <w:noProof/>
          <w:lang w:val="en-GB"/>
        </w:rPr>
        <w:t>MIZŠ – Ministry of Education, Science and Sport</w:t>
      </w:r>
    </w:p>
    <w:p w14:paraId="698051AA" w14:textId="77777777" w:rsidR="009A1AB0" w:rsidRPr="00A66F03" w:rsidRDefault="00976636" w:rsidP="00B72629">
      <w:pPr>
        <w:spacing w:after="0" w:line="276" w:lineRule="auto"/>
        <w:rPr>
          <w:rFonts w:ascii="Times New Roman" w:hAnsi="Times New Roman" w:cs="Times New Roman"/>
          <w:noProof/>
          <w:lang w:val="en-GB"/>
        </w:rPr>
      </w:pPr>
      <w:r w:rsidRPr="00A66F03">
        <w:rPr>
          <w:rFonts w:ascii="Times New Roman" w:hAnsi="Times New Roman" w:cs="Times New Roman"/>
          <w:noProof/>
          <w:lang w:val="en-GB"/>
        </w:rPr>
        <w:t>MKGP – Ministry of Agriculture, Forestry and Food</w:t>
      </w:r>
    </w:p>
    <w:p w14:paraId="7AC9C96F" w14:textId="77777777" w:rsidR="009A1AB0" w:rsidRPr="00A66F03" w:rsidRDefault="00976636" w:rsidP="00B72629">
      <w:pPr>
        <w:spacing w:after="0" w:line="276" w:lineRule="auto"/>
        <w:rPr>
          <w:rFonts w:ascii="Times New Roman" w:hAnsi="Times New Roman" w:cs="Times New Roman"/>
          <w:noProof/>
          <w:lang w:val="en-GB"/>
        </w:rPr>
      </w:pPr>
      <w:r w:rsidRPr="00A66F03">
        <w:rPr>
          <w:rFonts w:ascii="Times New Roman" w:hAnsi="Times New Roman" w:cs="Times New Roman"/>
          <w:noProof/>
          <w:lang w:val="en-GB"/>
        </w:rPr>
        <w:t>MOP – Ministry of the Environment and Spatial Planning</w:t>
      </w:r>
    </w:p>
    <w:p w14:paraId="2A41AFFF" w14:textId="77777777" w:rsidR="009A1AB0" w:rsidRPr="00A66F03" w:rsidRDefault="00976636" w:rsidP="00B72629">
      <w:pPr>
        <w:spacing w:after="0" w:line="276" w:lineRule="auto"/>
        <w:rPr>
          <w:rFonts w:ascii="Times New Roman" w:hAnsi="Times New Roman" w:cs="Times New Roman"/>
          <w:noProof/>
          <w:lang w:val="en-GB"/>
        </w:rPr>
      </w:pPr>
      <w:r w:rsidRPr="00A66F03">
        <w:rPr>
          <w:rFonts w:ascii="Times New Roman" w:hAnsi="Times New Roman" w:cs="Times New Roman"/>
          <w:noProof/>
          <w:lang w:val="en-GB"/>
        </w:rPr>
        <w:t>SME – Small and medium-sized enterprises</w:t>
      </w:r>
    </w:p>
    <w:p w14:paraId="3509891A" w14:textId="77777777" w:rsidR="00167583" w:rsidRPr="00A66F03" w:rsidRDefault="00976636" w:rsidP="00B72629">
      <w:pPr>
        <w:spacing w:after="0" w:line="276" w:lineRule="auto"/>
        <w:rPr>
          <w:rFonts w:ascii="Times New Roman" w:hAnsi="Times New Roman" w:cs="Times New Roman"/>
          <w:lang w:val="en-GB"/>
        </w:rPr>
      </w:pPr>
      <w:r w:rsidRPr="00A66F03">
        <w:rPr>
          <w:rFonts w:ascii="Times New Roman" w:hAnsi="Times New Roman" w:cs="Times New Roman"/>
          <w:noProof/>
          <w:lang w:val="en-GB"/>
        </w:rPr>
        <w:t xml:space="preserve">MSY – </w:t>
      </w:r>
      <w:r w:rsidRPr="00A66F03">
        <w:rPr>
          <w:rFonts w:ascii="Times New Roman" w:hAnsi="Times New Roman" w:cs="Times New Roman"/>
          <w:lang w:val="en-GB"/>
        </w:rPr>
        <w:t xml:space="preserve">Maximum </w:t>
      </w:r>
      <w:r w:rsidRPr="00A66F03">
        <w:rPr>
          <w:rFonts w:ascii="Times New Roman" w:hAnsi="Times New Roman" w:cs="Times New Roman"/>
          <w:lang w:val="en-GB"/>
        </w:rPr>
        <w:t xml:space="preserve">sustainable yield  </w:t>
      </w:r>
    </w:p>
    <w:p w14:paraId="49DD7E84" w14:textId="77777777" w:rsidR="009A1AB0" w:rsidRPr="00A66F03" w:rsidRDefault="00976636" w:rsidP="00B72629">
      <w:pPr>
        <w:spacing w:after="0" w:line="276" w:lineRule="auto"/>
        <w:rPr>
          <w:rFonts w:ascii="Times New Roman" w:hAnsi="Times New Roman" w:cs="Times New Roman"/>
          <w:lang w:val="en-GB"/>
        </w:rPr>
      </w:pPr>
      <w:r w:rsidRPr="00A66F03">
        <w:rPr>
          <w:rFonts w:ascii="Times New Roman" w:hAnsi="Times New Roman" w:cs="Times New Roman"/>
          <w:lang w:val="en-GB"/>
        </w:rPr>
        <w:t>MZI – Ministry of Infrastructure</w:t>
      </w:r>
    </w:p>
    <w:p w14:paraId="514B6026" w14:textId="77777777" w:rsidR="009A5DF8" w:rsidRPr="00A66F03" w:rsidRDefault="00976636" w:rsidP="00B72629">
      <w:pPr>
        <w:spacing w:after="0" w:line="276" w:lineRule="auto"/>
        <w:rPr>
          <w:rFonts w:ascii="Times New Roman" w:hAnsi="Times New Roman" w:cs="Times New Roman"/>
          <w:lang w:val="en-GB"/>
        </w:rPr>
      </w:pPr>
      <w:r w:rsidRPr="00A66F03">
        <w:rPr>
          <w:rFonts w:ascii="Times New Roman" w:hAnsi="Times New Roman" w:cs="Times New Roman"/>
          <w:lang w:val="en-GB"/>
        </w:rPr>
        <w:t>NECP – Integrated National Energy and Climate Plan of the Republic of Slovenia 2030</w:t>
      </w:r>
    </w:p>
    <w:p w14:paraId="53B4759C" w14:textId="77777777" w:rsidR="009A5DF8" w:rsidRPr="00A66F03" w:rsidRDefault="00976636" w:rsidP="00B72629">
      <w:pPr>
        <w:spacing w:after="0" w:line="276" w:lineRule="auto"/>
        <w:rPr>
          <w:rFonts w:ascii="Times New Roman" w:hAnsi="Times New Roman" w:cs="Times New Roman"/>
          <w:noProof/>
          <w:lang w:val="en-GB"/>
        </w:rPr>
      </w:pPr>
      <w:r w:rsidRPr="00A66F03">
        <w:rPr>
          <w:rFonts w:ascii="Times New Roman" w:hAnsi="Times New Roman" w:cs="Times New Roman"/>
          <w:lang w:val="en-GB"/>
        </w:rPr>
        <w:t xml:space="preserve">RRP – </w:t>
      </w:r>
      <w:r w:rsidRPr="00A66F03">
        <w:rPr>
          <w:rFonts w:ascii="Times New Roman" w:hAnsi="Times New Roman" w:cs="Times New Roman"/>
          <w:noProof/>
          <w:lang w:val="en-GB"/>
        </w:rPr>
        <w:t>Recovery and Resilience Plan</w:t>
      </w:r>
    </w:p>
    <w:p w14:paraId="4D10B96A" w14:textId="77777777" w:rsidR="003A0E6F" w:rsidRPr="00A66F03" w:rsidRDefault="00976636" w:rsidP="00B72629">
      <w:pPr>
        <w:spacing w:after="0" w:line="276" w:lineRule="auto"/>
        <w:rPr>
          <w:rFonts w:ascii="Times New Roman" w:hAnsi="Times New Roman" w:cs="Times New Roman"/>
          <w:lang w:val="en-GB"/>
        </w:rPr>
      </w:pPr>
      <w:r w:rsidRPr="00A66F03">
        <w:rPr>
          <w:rFonts w:ascii="Times New Roman" w:hAnsi="Times New Roman" w:cs="Times New Roman"/>
          <w:noProof/>
          <w:lang w:val="en-GB"/>
        </w:rPr>
        <w:t xml:space="preserve">RES – </w:t>
      </w:r>
      <w:r w:rsidRPr="00A66F03">
        <w:rPr>
          <w:rFonts w:ascii="Times New Roman" w:hAnsi="Times New Roman" w:cs="Times New Roman"/>
          <w:lang w:val="en-GB"/>
        </w:rPr>
        <w:t>Renewable energy sources</w:t>
      </w:r>
    </w:p>
    <w:p w14:paraId="15A5E5E3" w14:textId="77777777" w:rsidR="009A5DF8" w:rsidRPr="00A66F03" w:rsidRDefault="00976636" w:rsidP="00B72629">
      <w:pPr>
        <w:spacing w:after="0" w:line="276" w:lineRule="auto"/>
        <w:rPr>
          <w:rFonts w:ascii="Times New Roman" w:hAnsi="Times New Roman" w:cs="Times New Roman"/>
          <w:lang w:val="en-GB"/>
        </w:rPr>
      </w:pPr>
      <w:r w:rsidRPr="00A66F03">
        <w:rPr>
          <w:rFonts w:ascii="Times New Roman" w:hAnsi="Times New Roman" w:cs="Times New Roman"/>
          <w:noProof/>
          <w:lang w:val="en-GB"/>
        </w:rPr>
        <w:t xml:space="preserve">MFAP – Maritime, </w:t>
      </w:r>
      <w:r w:rsidRPr="00A66F03">
        <w:rPr>
          <w:rFonts w:ascii="Times New Roman" w:hAnsi="Times New Roman" w:cs="Times New Roman"/>
          <w:lang w:val="en-GB"/>
        </w:rPr>
        <w:t>Fisheries and Aquaculture Programme</w:t>
      </w:r>
    </w:p>
    <w:p w14:paraId="1870E8CB" w14:textId="77777777" w:rsidR="00A02B36" w:rsidRPr="00A66F03" w:rsidRDefault="00976636" w:rsidP="00B72629">
      <w:pPr>
        <w:spacing w:after="0" w:line="276" w:lineRule="auto"/>
        <w:rPr>
          <w:rFonts w:ascii="Times New Roman" w:hAnsi="Times New Roman" w:cs="Times New Roman"/>
          <w:lang w:val="en-GB"/>
        </w:rPr>
      </w:pPr>
      <w:r w:rsidRPr="00A66F03">
        <w:rPr>
          <w:rFonts w:ascii="Times New Roman" w:hAnsi="Times New Roman" w:cs="Times New Roman"/>
          <w:lang w:val="en-GB"/>
        </w:rPr>
        <w:t>PE – Population equivalent</w:t>
      </w:r>
    </w:p>
    <w:p w14:paraId="3E9F777B" w14:textId="77777777" w:rsidR="00054E91" w:rsidRPr="00A66F03" w:rsidRDefault="00976636" w:rsidP="00B72629">
      <w:pPr>
        <w:spacing w:after="0" w:line="276" w:lineRule="auto"/>
        <w:rPr>
          <w:rFonts w:ascii="Times New Roman" w:hAnsi="Times New Roman" w:cs="Times New Roman"/>
          <w:lang w:val="en-GB"/>
        </w:rPr>
      </w:pPr>
      <w:r w:rsidRPr="00A66F03">
        <w:rPr>
          <w:rFonts w:ascii="Times New Roman" w:hAnsi="Times New Roman" w:cs="Times New Roman"/>
          <w:lang w:val="en-GB"/>
        </w:rPr>
        <w:t xml:space="preserve">RAS – </w:t>
      </w:r>
      <w:r w:rsidRPr="00A66F03">
        <w:rPr>
          <w:rFonts w:ascii="Times New Roman" w:hAnsi="Times New Roman" w:cs="Times New Roman"/>
          <w:noProof/>
          <w:lang w:val="en-GB"/>
        </w:rPr>
        <w:t>Recirculating aquaculture systems</w:t>
      </w:r>
    </w:p>
    <w:p w14:paraId="06B78B52" w14:textId="77777777" w:rsidR="009A5DF8" w:rsidRPr="00A66F03" w:rsidRDefault="00976636" w:rsidP="00B72629">
      <w:pPr>
        <w:spacing w:after="0" w:line="276" w:lineRule="auto"/>
        <w:rPr>
          <w:rFonts w:ascii="Times New Roman" w:hAnsi="Times New Roman" w:cs="Times New Roman"/>
          <w:lang w:val="en-GB"/>
        </w:rPr>
      </w:pPr>
      <w:r w:rsidRPr="00A66F03">
        <w:rPr>
          <w:rFonts w:ascii="Times New Roman" w:hAnsi="Times New Roman" w:cs="Times New Roman"/>
          <w:lang w:val="en-GB"/>
        </w:rPr>
        <w:t>R&amp;D – Research and development</w:t>
      </w:r>
    </w:p>
    <w:p w14:paraId="4A686FE7" w14:textId="77777777" w:rsidR="00BD4370" w:rsidRPr="00A66F03" w:rsidRDefault="00976636" w:rsidP="00B72629">
      <w:pPr>
        <w:spacing w:after="0" w:line="276" w:lineRule="auto"/>
        <w:rPr>
          <w:rFonts w:ascii="Times New Roman" w:hAnsi="Times New Roman" w:cs="Times New Roman"/>
          <w:iCs/>
          <w:noProof/>
          <w:lang w:val="en-GB"/>
        </w:rPr>
      </w:pPr>
      <w:r w:rsidRPr="00A66F03">
        <w:rPr>
          <w:rFonts w:ascii="Times New Roman" w:hAnsi="Times New Roman" w:cs="Times New Roman"/>
          <w:noProof/>
          <w:lang w:val="en-GB"/>
        </w:rPr>
        <w:t>RDP – Regional development programme</w:t>
      </w:r>
    </w:p>
    <w:p w14:paraId="2399C3B7" w14:textId="77777777" w:rsidR="00BD4370" w:rsidRPr="00A66F03" w:rsidRDefault="00976636" w:rsidP="00B72629">
      <w:pPr>
        <w:spacing w:after="0" w:line="276" w:lineRule="auto"/>
        <w:rPr>
          <w:rFonts w:ascii="Times New Roman" w:hAnsi="Times New Roman" w:cs="Times New Roman"/>
          <w:noProof/>
          <w:lang w:val="en-GB"/>
        </w:rPr>
      </w:pPr>
      <w:r w:rsidRPr="00A66F03">
        <w:rPr>
          <w:rFonts w:ascii="Times New Roman" w:hAnsi="Times New Roman" w:cs="Times New Roman"/>
          <w:noProof/>
          <w:lang w:val="en-GB"/>
        </w:rPr>
        <w:t>LDS – Local development strategy</w:t>
      </w:r>
    </w:p>
    <w:p w14:paraId="5CF6124E" w14:textId="77777777" w:rsidR="009A5DF8" w:rsidRPr="00A66F03" w:rsidRDefault="00976636" w:rsidP="00B72629">
      <w:pPr>
        <w:autoSpaceDE w:val="0"/>
        <w:autoSpaceDN w:val="0"/>
        <w:adjustRightInd w:val="0"/>
        <w:spacing w:after="0" w:line="276" w:lineRule="auto"/>
        <w:rPr>
          <w:rFonts w:ascii="Times New Roman" w:hAnsi="Times New Roman" w:cs="Times New Roman"/>
          <w:noProof/>
          <w:lang w:val="en-GB"/>
        </w:rPr>
      </w:pPr>
      <w:r w:rsidRPr="00A66F03">
        <w:rPr>
          <w:rFonts w:ascii="Times New Roman" w:hAnsi="Times New Roman" w:cs="Times New Roman"/>
          <w:noProof/>
          <w:lang w:val="en-GB"/>
        </w:rPr>
        <w:lastRenderedPageBreak/>
        <w:t>SNV – Slovenian National Internal Security Programme</w:t>
      </w:r>
    </w:p>
    <w:p w14:paraId="67291778" w14:textId="77777777" w:rsidR="00A02B36" w:rsidRPr="00A66F03" w:rsidRDefault="00976636" w:rsidP="00B72629">
      <w:pPr>
        <w:autoSpaceDE w:val="0"/>
        <w:autoSpaceDN w:val="0"/>
        <w:adjustRightInd w:val="0"/>
        <w:spacing w:after="0" w:line="276" w:lineRule="auto"/>
        <w:rPr>
          <w:rFonts w:ascii="Times New Roman" w:hAnsi="Times New Roman" w:cs="Times New Roman"/>
          <w:noProof/>
          <w:lang w:val="en-GB"/>
        </w:rPr>
      </w:pPr>
      <w:r w:rsidRPr="00A66F03">
        <w:rPr>
          <w:rFonts w:ascii="Times New Roman" w:hAnsi="Times New Roman" w:cs="Times New Roman"/>
          <w:noProof/>
          <w:lang w:val="en-GB"/>
        </w:rPr>
        <w:t>SPOT – Slovenian Business Points</w:t>
      </w:r>
    </w:p>
    <w:p w14:paraId="2E764E55" w14:textId="77777777" w:rsidR="009A5DF8" w:rsidRPr="00A66F03" w:rsidRDefault="00976636" w:rsidP="00B72629">
      <w:pPr>
        <w:spacing w:after="0" w:line="276" w:lineRule="auto"/>
        <w:rPr>
          <w:rFonts w:ascii="Times New Roman" w:hAnsi="Times New Roman" w:cs="Times New Roman"/>
          <w:lang w:val="en-GB"/>
        </w:rPr>
      </w:pPr>
      <w:r w:rsidRPr="00A66F03">
        <w:rPr>
          <w:rFonts w:ascii="Times New Roman" w:hAnsi="Times New Roman" w:cs="Times New Roman"/>
          <w:lang w:val="en-GB"/>
        </w:rPr>
        <w:t xml:space="preserve">JTF </w:t>
      </w:r>
      <w:r w:rsidRPr="00A66F03">
        <w:rPr>
          <w:rFonts w:ascii="Times New Roman" w:hAnsi="Times New Roman" w:cs="Times New Roman"/>
          <w:noProof/>
          <w:lang w:val="en-GB"/>
        </w:rPr>
        <w:t>– Just Transition Fund</w:t>
      </w:r>
      <w:r w:rsidRPr="00A66F03">
        <w:rPr>
          <w:rFonts w:ascii="Times New Roman" w:hAnsi="Times New Roman" w:cs="Times New Roman"/>
          <w:lang w:val="en-GB"/>
        </w:rPr>
        <w:t xml:space="preserve"> </w:t>
      </w:r>
    </w:p>
    <w:p w14:paraId="0BA7D066" w14:textId="77777777" w:rsidR="005F4B85" w:rsidRPr="00A66F03" w:rsidRDefault="00976636" w:rsidP="00B72629">
      <w:pPr>
        <w:spacing w:after="0" w:line="276" w:lineRule="auto"/>
        <w:rPr>
          <w:rFonts w:ascii="Times New Roman" w:hAnsi="Times New Roman" w:cs="Times New Roman"/>
          <w:lang w:val="en-GB"/>
        </w:rPr>
      </w:pPr>
      <w:r w:rsidRPr="00A66F03">
        <w:rPr>
          <w:rFonts w:ascii="Times New Roman" w:hAnsi="Times New Roman" w:cs="Times New Roman"/>
          <w:lang w:val="en-GB"/>
        </w:rPr>
        <w:t>SRIP – Strategic Research and Innovation Partnership</w:t>
      </w:r>
    </w:p>
    <w:p w14:paraId="3FF29167" w14:textId="77777777" w:rsidR="009A5DF8" w:rsidRPr="00A66F03" w:rsidRDefault="00976636" w:rsidP="00B72629">
      <w:pPr>
        <w:spacing w:after="0" w:line="276" w:lineRule="auto"/>
        <w:rPr>
          <w:rFonts w:ascii="Times New Roman" w:hAnsi="Times New Roman" w:cs="Times New Roman"/>
          <w:lang w:val="en-GB"/>
        </w:rPr>
      </w:pPr>
      <w:r w:rsidRPr="00A66F03">
        <w:rPr>
          <w:rFonts w:ascii="Times New Roman" w:hAnsi="Times New Roman" w:cs="Times New Roman"/>
          <w:lang w:val="en-GB"/>
        </w:rPr>
        <w:t>SDS 2030 – Slovenian Development Strategy 2030</w:t>
      </w:r>
    </w:p>
    <w:p w14:paraId="57C0E6AC" w14:textId="77777777" w:rsidR="00A02B36" w:rsidRPr="00A66F03" w:rsidRDefault="00976636" w:rsidP="00B72629">
      <w:pPr>
        <w:spacing w:after="0" w:line="276" w:lineRule="auto"/>
        <w:rPr>
          <w:rFonts w:ascii="Times New Roman" w:hAnsi="Times New Roman" w:cs="Times New Roman"/>
          <w:lang w:val="en-GB"/>
        </w:rPr>
      </w:pPr>
      <w:r w:rsidRPr="00A66F03">
        <w:rPr>
          <w:rFonts w:ascii="Times New Roman" w:hAnsi="Times New Roman" w:cs="Times New Roman"/>
          <w:lang w:val="en-GB"/>
        </w:rPr>
        <w:t>SVDP – Government Office for Digital Transformation</w:t>
      </w:r>
    </w:p>
    <w:p w14:paraId="1E5E2E8D" w14:textId="77777777" w:rsidR="009A5DF8" w:rsidRPr="00A66F03" w:rsidRDefault="00976636" w:rsidP="00B72629">
      <w:pPr>
        <w:spacing w:after="0" w:line="276" w:lineRule="auto"/>
        <w:rPr>
          <w:rFonts w:ascii="Times New Roman" w:hAnsi="Times New Roman" w:cs="Times New Roman"/>
          <w:noProof/>
          <w:lang w:val="en-GB"/>
        </w:rPr>
      </w:pPr>
      <w:r w:rsidRPr="00A66F03">
        <w:rPr>
          <w:rFonts w:ascii="Times New Roman" w:hAnsi="Times New Roman" w:cs="Times New Roman"/>
          <w:noProof/>
          <w:lang w:val="en-GB"/>
        </w:rPr>
        <w:t>S4 – Slovenian Smart Specialisation Strategy</w:t>
      </w:r>
    </w:p>
    <w:p w14:paraId="1E2C9770" w14:textId="77777777" w:rsidR="009A1AB0" w:rsidRPr="00A66F03" w:rsidRDefault="00976636" w:rsidP="00B72629">
      <w:pPr>
        <w:spacing w:after="0" w:line="276" w:lineRule="auto"/>
        <w:rPr>
          <w:rFonts w:ascii="Times New Roman" w:hAnsi="Times New Roman" w:cs="Times New Roman"/>
          <w:noProof/>
          <w:lang w:val="en-GB"/>
        </w:rPr>
      </w:pPr>
      <w:r w:rsidRPr="00A66F03">
        <w:rPr>
          <w:rFonts w:ascii="Times New Roman" w:hAnsi="Times New Roman" w:cs="Times New Roman"/>
          <w:noProof/>
          <w:lang w:val="en-GB"/>
        </w:rPr>
        <w:t xml:space="preserve">S5 – Smart Specialisation </w:t>
      </w:r>
      <w:r w:rsidRPr="00A66F03">
        <w:rPr>
          <w:rFonts w:ascii="Times New Roman" w:hAnsi="Times New Roman" w:cs="Times New Roman"/>
          <w:noProof/>
          <w:lang w:val="en-GB"/>
        </w:rPr>
        <w:t>Strategy 2030</w:t>
      </w:r>
    </w:p>
    <w:p w14:paraId="2FBA70B7" w14:textId="77777777" w:rsidR="009A1AB0" w:rsidRPr="00A66F03" w:rsidRDefault="00976636" w:rsidP="00B72629">
      <w:pPr>
        <w:spacing w:after="0" w:line="276" w:lineRule="auto"/>
        <w:rPr>
          <w:rFonts w:ascii="Times New Roman" w:hAnsi="Times New Roman" w:cs="Times New Roman"/>
          <w:noProof/>
          <w:lang w:val="en-GB"/>
        </w:rPr>
      </w:pPr>
      <w:r w:rsidRPr="00A66F03">
        <w:rPr>
          <w:rFonts w:ascii="Times New Roman" w:hAnsi="Times New Roman" w:cs="Times New Roman"/>
          <w:noProof/>
          <w:lang w:val="en-GB"/>
        </w:rPr>
        <w:t>SVRK – Government Office for Development and European Cohesion Policy</w:t>
      </w:r>
    </w:p>
    <w:p w14:paraId="1E82EBD5" w14:textId="77777777" w:rsidR="00A02B36" w:rsidRPr="00A66F03" w:rsidRDefault="00976636" w:rsidP="00B72629">
      <w:pPr>
        <w:spacing w:after="0" w:line="276" w:lineRule="auto"/>
        <w:rPr>
          <w:rFonts w:ascii="Times New Roman" w:hAnsi="Times New Roman" w:cs="Times New Roman"/>
          <w:noProof/>
          <w:lang w:val="en-GB"/>
        </w:rPr>
      </w:pPr>
      <w:r w:rsidRPr="00A66F03">
        <w:rPr>
          <w:rFonts w:ascii="Times New Roman" w:hAnsi="Times New Roman" w:cs="Times New Roman"/>
          <w:noProof/>
          <w:lang w:val="en-GB"/>
        </w:rPr>
        <w:t>TEN-T – Trans-European Transport Network</w:t>
      </w:r>
    </w:p>
    <w:p w14:paraId="1F9E0B92" w14:textId="77777777" w:rsidR="00E01A2C" w:rsidRPr="00A66F03" w:rsidRDefault="00976636" w:rsidP="00B72629">
      <w:pPr>
        <w:spacing w:after="0" w:line="276" w:lineRule="auto"/>
        <w:rPr>
          <w:rFonts w:ascii="Times New Roman" w:hAnsi="Times New Roman" w:cs="Times New Roman"/>
          <w:noProof/>
          <w:lang w:val="en-GB"/>
        </w:rPr>
      </w:pPr>
      <w:r w:rsidRPr="00A66F03">
        <w:rPr>
          <w:rFonts w:ascii="Times New Roman" w:hAnsi="Times New Roman" w:cs="Times New Roman"/>
          <w:noProof/>
          <w:lang w:val="en-GB"/>
        </w:rPr>
        <w:t>TRL – Technology readiness level</w:t>
      </w:r>
    </w:p>
    <w:p w14:paraId="0D2E9491" w14:textId="77777777" w:rsidR="00BD4370" w:rsidRPr="00A66F03" w:rsidRDefault="00976636" w:rsidP="00B72629">
      <w:pPr>
        <w:spacing w:after="0" w:line="276" w:lineRule="auto"/>
        <w:rPr>
          <w:rFonts w:ascii="Times New Roman" w:hAnsi="Times New Roman" w:cs="Times New Roman"/>
          <w:iCs/>
          <w:noProof/>
          <w:lang w:val="en-GB"/>
        </w:rPr>
      </w:pPr>
      <w:r w:rsidRPr="00A66F03">
        <w:rPr>
          <w:rFonts w:ascii="Times New Roman" w:hAnsi="Times New Roman" w:cs="Times New Roman"/>
          <w:noProof/>
          <w:lang w:val="en-GB"/>
        </w:rPr>
        <w:t xml:space="preserve">SUS – Sustainable Urban Strategy </w:t>
      </w:r>
    </w:p>
    <w:p w14:paraId="4F063ED0" w14:textId="77777777" w:rsidR="003D1B9C" w:rsidRPr="00A66F03" w:rsidRDefault="00976636" w:rsidP="003D1B9C">
      <w:pPr>
        <w:spacing w:after="0" w:line="276" w:lineRule="auto"/>
        <w:rPr>
          <w:rFonts w:ascii="Times New Roman" w:hAnsi="Times New Roman" w:cs="Times New Roman"/>
          <w:noProof/>
          <w:lang w:val="en-GB"/>
        </w:rPr>
      </w:pPr>
      <w:r w:rsidRPr="00A66F03">
        <w:rPr>
          <w:rFonts w:ascii="Times New Roman" w:hAnsi="Times New Roman" w:cs="Times New Roman"/>
          <w:noProof/>
          <w:lang w:val="en-GB"/>
        </w:rPr>
        <w:t>ZMOS – Association of Urban Municipalities of Slovenia</w:t>
      </w:r>
    </w:p>
    <w:p w14:paraId="3DA49DFC" w14:textId="77777777" w:rsidR="003D1B9C" w:rsidRPr="00A66F03" w:rsidRDefault="003D1B9C" w:rsidP="00B72629">
      <w:pPr>
        <w:spacing w:after="0" w:line="276" w:lineRule="auto"/>
        <w:rPr>
          <w:rFonts w:ascii="Times New Roman" w:hAnsi="Times New Roman" w:cs="Times New Roman"/>
          <w:noProof/>
          <w:lang w:val="en-GB"/>
        </w:rPr>
      </w:pPr>
    </w:p>
    <w:p w14:paraId="6F4DA004" w14:textId="77777777" w:rsidR="00BD4370" w:rsidRPr="00A66F03" w:rsidRDefault="00BD4370" w:rsidP="00B72629">
      <w:pPr>
        <w:spacing w:after="0" w:line="276" w:lineRule="auto"/>
        <w:rPr>
          <w:rFonts w:ascii="Times New Roman" w:hAnsi="Times New Roman" w:cs="Times New Roman"/>
          <w:noProof/>
          <w:lang w:val="en-GB"/>
        </w:rPr>
      </w:pPr>
    </w:p>
    <w:p w14:paraId="1000A0A2" w14:textId="77777777" w:rsidR="001A1BB4" w:rsidRPr="00A66F03" w:rsidRDefault="001A1BB4" w:rsidP="00B72629">
      <w:pPr>
        <w:spacing w:after="0" w:line="276" w:lineRule="auto"/>
        <w:rPr>
          <w:rFonts w:ascii="Times New Roman" w:hAnsi="Times New Roman" w:cs="Times New Roman"/>
          <w:noProof/>
          <w:lang w:val="en-GB"/>
        </w:rPr>
      </w:pPr>
    </w:p>
    <w:p w14:paraId="031F1EFA" w14:textId="77777777" w:rsidR="001A1BB4" w:rsidRPr="00A66F03" w:rsidRDefault="001A1BB4" w:rsidP="00B72629">
      <w:pPr>
        <w:spacing w:after="0" w:line="276" w:lineRule="auto"/>
        <w:rPr>
          <w:rFonts w:ascii="Times New Roman" w:hAnsi="Times New Roman" w:cs="Times New Roman"/>
          <w:noProof/>
          <w:lang w:val="en-GB"/>
        </w:rPr>
      </w:pPr>
    </w:p>
    <w:p w14:paraId="5BF4122B" w14:textId="77777777" w:rsidR="001A1BB4" w:rsidRPr="00A66F03" w:rsidRDefault="001A1BB4" w:rsidP="00B72629">
      <w:pPr>
        <w:spacing w:after="0" w:line="276" w:lineRule="auto"/>
        <w:rPr>
          <w:rFonts w:ascii="Times New Roman" w:hAnsi="Times New Roman" w:cs="Times New Roman"/>
          <w:noProof/>
          <w:lang w:val="en-GB"/>
        </w:rPr>
      </w:pPr>
    </w:p>
    <w:p w14:paraId="3D69E20D" w14:textId="77777777" w:rsidR="001A1BB4" w:rsidRPr="00A66F03" w:rsidRDefault="001A1BB4" w:rsidP="00B72629">
      <w:pPr>
        <w:spacing w:after="0" w:line="276" w:lineRule="auto"/>
        <w:rPr>
          <w:rFonts w:ascii="Times New Roman" w:hAnsi="Times New Roman" w:cs="Times New Roman"/>
          <w:noProof/>
          <w:lang w:val="en-GB"/>
        </w:rPr>
      </w:pPr>
    </w:p>
    <w:p w14:paraId="2211E2D1" w14:textId="77777777" w:rsidR="001A1BB4" w:rsidRPr="00A66F03" w:rsidRDefault="00976636" w:rsidP="00B72629">
      <w:pPr>
        <w:spacing w:after="0" w:line="276" w:lineRule="auto"/>
        <w:rPr>
          <w:rFonts w:ascii="Times New Roman" w:hAnsi="Times New Roman" w:cs="Times New Roman"/>
          <w:noProof/>
          <w:lang w:val="en-GB"/>
        </w:rPr>
      </w:pPr>
      <w:r w:rsidRPr="00A66F03">
        <w:rPr>
          <w:rFonts w:ascii="Times New Roman" w:hAnsi="Times New Roman" w:cs="Times New Roman"/>
          <w:noProof/>
          <w:lang w:val="en-GB"/>
        </w:rPr>
        <w:t>Note</w:t>
      </w:r>
    </w:p>
    <w:p w14:paraId="23373A74" w14:textId="77777777" w:rsidR="00B17EC3" w:rsidRPr="00A66F03" w:rsidRDefault="00B17EC3" w:rsidP="00B72629">
      <w:pPr>
        <w:spacing w:after="0" w:line="276" w:lineRule="auto"/>
        <w:rPr>
          <w:rFonts w:ascii="Times New Roman" w:hAnsi="Times New Roman" w:cs="Times New Roman"/>
          <w:noProof/>
          <w:lang w:val="en-GB"/>
        </w:rPr>
      </w:pPr>
    </w:p>
    <w:p w14:paraId="18CA3568" w14:textId="77777777" w:rsidR="009B6218" w:rsidRPr="00A66F03" w:rsidRDefault="00976636" w:rsidP="00B17EC3">
      <w:pPr>
        <w:spacing w:after="0" w:line="276" w:lineRule="auto"/>
        <w:jc w:val="both"/>
        <w:rPr>
          <w:rFonts w:ascii="Times New Roman" w:hAnsi="Times New Roman" w:cs="Times New Roman"/>
          <w:color w:val="000000"/>
          <w:lang w:val="en-GB"/>
        </w:rPr>
      </w:pPr>
      <w:r w:rsidRPr="00A66F03">
        <w:rPr>
          <w:rFonts w:ascii="Times New Roman" w:hAnsi="Times New Roman" w:cs="Times New Roman"/>
          <w:color w:val="000000"/>
          <w:lang w:val="en-GB"/>
        </w:rPr>
        <w:t>For investments supported by the resources of funds governed by the Common Provisions Regulation (CPR), Slovenia and the competent authorities undertake to comply with the horizontal principles contained in the Charter of Fundamental Rights of the Eu</w:t>
      </w:r>
      <w:r w:rsidRPr="00A66F03">
        <w:rPr>
          <w:rFonts w:ascii="Times New Roman" w:hAnsi="Times New Roman" w:cs="Times New Roman"/>
          <w:color w:val="000000"/>
          <w:lang w:val="en-GB"/>
        </w:rPr>
        <w:t xml:space="preserve">ropean Union and with the principles set out in Articles 9(1), (2) and (3) of the CPR when selecting and carrying out operations. Accessibility to the built infrastructure and services that receive support from Union funds is ensured throughout the period </w:t>
      </w:r>
      <w:r w:rsidRPr="00A66F03">
        <w:rPr>
          <w:rFonts w:ascii="Times New Roman" w:hAnsi="Times New Roman" w:cs="Times New Roman"/>
          <w:color w:val="000000"/>
          <w:lang w:val="en-GB"/>
        </w:rPr>
        <w:t xml:space="preserve">of preparation and implementation of programmes, with persons with disabilities and reduced mobility being granted the same level of access to all infrastructure, services and goods.     </w:t>
      </w:r>
    </w:p>
    <w:p w14:paraId="206F9247" w14:textId="77777777" w:rsidR="00B17EC3" w:rsidRPr="00A66F03" w:rsidRDefault="00B17EC3" w:rsidP="00B17EC3">
      <w:pPr>
        <w:spacing w:after="0" w:line="276" w:lineRule="auto"/>
        <w:jc w:val="both"/>
        <w:rPr>
          <w:rFonts w:ascii="Times New Roman" w:hAnsi="Times New Roman" w:cs="Times New Roman"/>
          <w:color w:val="000000"/>
          <w:lang w:val="en-GB"/>
        </w:rPr>
      </w:pPr>
    </w:p>
    <w:p w14:paraId="734B69CF" w14:textId="77777777" w:rsidR="00E07DEA" w:rsidRPr="00A66F03" w:rsidRDefault="00976636" w:rsidP="00B72629">
      <w:pPr>
        <w:spacing w:after="0" w:line="276" w:lineRule="auto"/>
        <w:rPr>
          <w:rFonts w:ascii="Times New Roman" w:hAnsi="Times New Roman" w:cs="Times New Roman"/>
          <w:lang w:val="en-GB"/>
        </w:rPr>
      </w:pPr>
      <w:r w:rsidRPr="00A66F03">
        <w:rPr>
          <w:rFonts w:ascii="Times New Roman" w:hAnsi="Times New Roman" w:cs="Times New Roman"/>
          <w:lang w:val="en-GB"/>
        </w:rPr>
        <w:br w:type="page"/>
      </w:r>
    </w:p>
    <w:p w14:paraId="2F2716FF" w14:textId="77777777" w:rsidR="00A76FF9" w:rsidRPr="00A66F03" w:rsidRDefault="00976636" w:rsidP="00B72629">
      <w:pPr>
        <w:pStyle w:val="Naslov1"/>
        <w:spacing w:before="0" w:line="276" w:lineRule="auto"/>
        <w:rPr>
          <w:rFonts w:cs="Times New Roman"/>
          <w:lang w:val="en-GB"/>
        </w:rPr>
      </w:pPr>
      <w:bookmarkStart w:id="1" w:name="_Toc115336006"/>
      <w:r w:rsidRPr="00A66F03">
        <w:rPr>
          <w:rFonts w:cs="Times New Roman"/>
          <w:bCs/>
          <w:lang w:val="en-GB"/>
        </w:rPr>
        <w:lastRenderedPageBreak/>
        <w:t>1.   Selected policy objectives and the JTF-specific objective</w:t>
      </w:r>
      <w:bookmarkEnd w:id="1"/>
    </w:p>
    <w:p w14:paraId="09AA0497" w14:textId="77777777" w:rsidR="00016FD7" w:rsidRPr="00A66F03" w:rsidRDefault="00016FD7" w:rsidP="00B72629">
      <w:pPr>
        <w:shd w:val="clear" w:color="auto" w:fill="FFFFFF"/>
        <w:spacing w:after="0" w:line="276" w:lineRule="auto"/>
        <w:jc w:val="both"/>
        <w:rPr>
          <w:rFonts w:ascii="Times New Roman" w:eastAsia="Times New Roman" w:hAnsi="Times New Roman" w:cs="Times New Roman"/>
          <w:b/>
          <w:bCs/>
          <w:color w:val="5B9BD5" w:themeColor="accent1"/>
          <w:sz w:val="27"/>
          <w:szCs w:val="27"/>
          <w:lang w:val="en-GB"/>
        </w:rPr>
      </w:pP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268"/>
        <w:gridCol w:w="1277"/>
        <w:gridCol w:w="849"/>
        <w:gridCol w:w="5662"/>
      </w:tblGrid>
      <w:tr w:rsidR="00143DBE" w:rsidRPr="00A66F03" w14:paraId="2E9E744D" w14:textId="77777777" w:rsidTr="002C3693">
        <w:tc>
          <w:tcPr>
            <w:tcW w:w="700" w:type="pct"/>
            <w:tcBorders>
              <w:top w:val="single" w:sz="6" w:space="0" w:color="000000"/>
              <w:left w:val="single" w:sz="6" w:space="0" w:color="000000"/>
              <w:bottom w:val="single" w:sz="6" w:space="0" w:color="000000"/>
              <w:right w:val="single" w:sz="6" w:space="0" w:color="000000"/>
            </w:tcBorders>
            <w:shd w:val="clear" w:color="auto" w:fill="auto"/>
            <w:hideMark/>
          </w:tcPr>
          <w:p w14:paraId="5A7EC110" w14:textId="77777777" w:rsidR="00A76FF9" w:rsidRPr="00A66F03" w:rsidRDefault="00976636" w:rsidP="00B72629">
            <w:pPr>
              <w:spacing w:after="0" w:line="276" w:lineRule="auto"/>
              <w:ind w:right="195"/>
              <w:rPr>
                <w:rFonts w:ascii="Times New Roman" w:eastAsia="Times New Roman" w:hAnsi="Times New Roman" w:cs="Times New Roman"/>
                <w:b/>
                <w:bCs/>
                <w:lang w:val="en-GB"/>
              </w:rPr>
            </w:pPr>
            <w:r w:rsidRPr="00A66F03">
              <w:rPr>
                <w:rFonts w:ascii="Times New Roman" w:eastAsia="Times New Roman" w:hAnsi="Times New Roman" w:cs="Times New Roman"/>
                <w:b/>
                <w:bCs/>
                <w:lang w:val="en-GB"/>
              </w:rPr>
              <w:t>Selected objective</w:t>
            </w:r>
          </w:p>
        </w:tc>
        <w:tc>
          <w:tcPr>
            <w:tcW w:w="705" w:type="pct"/>
            <w:tcBorders>
              <w:top w:val="single" w:sz="6" w:space="0" w:color="000000"/>
              <w:left w:val="single" w:sz="6" w:space="0" w:color="000000"/>
              <w:bottom w:val="single" w:sz="6" w:space="0" w:color="000000"/>
              <w:right w:val="single" w:sz="6" w:space="0" w:color="000000"/>
            </w:tcBorders>
            <w:shd w:val="clear" w:color="auto" w:fill="auto"/>
            <w:hideMark/>
          </w:tcPr>
          <w:p w14:paraId="4BC16318" w14:textId="77777777" w:rsidR="00A76FF9" w:rsidRPr="00A66F03" w:rsidRDefault="00976636" w:rsidP="002C3693">
            <w:pPr>
              <w:spacing w:after="0" w:line="276" w:lineRule="auto"/>
              <w:rPr>
                <w:rFonts w:ascii="Times New Roman" w:eastAsia="Times New Roman" w:hAnsi="Times New Roman" w:cs="Times New Roman"/>
                <w:b/>
                <w:bCs/>
                <w:lang w:val="en-GB"/>
              </w:rPr>
            </w:pPr>
            <w:r w:rsidRPr="00A66F03">
              <w:rPr>
                <w:rFonts w:ascii="Times New Roman" w:eastAsia="Times New Roman" w:hAnsi="Times New Roman" w:cs="Times New Roman"/>
                <w:b/>
                <w:bCs/>
                <w:lang w:val="en-GB"/>
              </w:rPr>
              <w:t>Programme</w:t>
            </w:r>
          </w:p>
        </w:tc>
        <w:tc>
          <w:tcPr>
            <w:tcW w:w="469" w:type="pct"/>
            <w:tcBorders>
              <w:top w:val="single" w:sz="6" w:space="0" w:color="000000"/>
              <w:left w:val="single" w:sz="6" w:space="0" w:color="000000"/>
              <w:bottom w:val="single" w:sz="6" w:space="0" w:color="000000"/>
              <w:right w:val="single" w:sz="6" w:space="0" w:color="000000"/>
            </w:tcBorders>
            <w:shd w:val="clear" w:color="auto" w:fill="auto"/>
            <w:hideMark/>
          </w:tcPr>
          <w:p w14:paraId="55037938" w14:textId="77777777" w:rsidR="00A76FF9" w:rsidRPr="00A66F03" w:rsidRDefault="00976636" w:rsidP="002C3693">
            <w:pPr>
              <w:spacing w:after="0" w:line="276" w:lineRule="auto"/>
              <w:rPr>
                <w:rFonts w:ascii="Times New Roman" w:eastAsia="Times New Roman" w:hAnsi="Times New Roman" w:cs="Times New Roman"/>
                <w:b/>
                <w:bCs/>
                <w:lang w:val="en-GB"/>
              </w:rPr>
            </w:pPr>
            <w:r w:rsidRPr="00A66F03">
              <w:rPr>
                <w:rFonts w:ascii="Times New Roman" w:eastAsia="Times New Roman" w:hAnsi="Times New Roman" w:cs="Times New Roman"/>
                <w:b/>
                <w:bCs/>
                <w:lang w:val="en-GB"/>
              </w:rPr>
              <w:t>Fund</w:t>
            </w:r>
          </w:p>
        </w:tc>
        <w:tc>
          <w:tcPr>
            <w:tcW w:w="3126" w:type="pct"/>
            <w:tcBorders>
              <w:top w:val="single" w:sz="6" w:space="0" w:color="000000"/>
              <w:left w:val="single" w:sz="6" w:space="0" w:color="000000"/>
              <w:bottom w:val="single" w:sz="6" w:space="0" w:color="000000"/>
              <w:right w:val="single" w:sz="6" w:space="0" w:color="000000"/>
            </w:tcBorders>
            <w:shd w:val="clear" w:color="auto" w:fill="auto"/>
            <w:hideMark/>
          </w:tcPr>
          <w:p w14:paraId="014E2999" w14:textId="77777777" w:rsidR="00A76FF9" w:rsidRPr="00A66F03" w:rsidRDefault="00976636" w:rsidP="00B72629">
            <w:pPr>
              <w:spacing w:after="0" w:line="276" w:lineRule="auto"/>
              <w:ind w:right="195"/>
              <w:rPr>
                <w:rFonts w:ascii="Times New Roman" w:eastAsia="Times New Roman" w:hAnsi="Times New Roman" w:cs="Times New Roman"/>
                <w:b/>
                <w:bCs/>
                <w:lang w:val="en-GB"/>
              </w:rPr>
            </w:pPr>
            <w:r w:rsidRPr="00A66F03">
              <w:rPr>
                <w:rFonts w:ascii="Times New Roman" w:eastAsia="Times New Roman" w:hAnsi="Times New Roman" w:cs="Times New Roman"/>
                <w:b/>
                <w:bCs/>
                <w:lang w:val="en-GB"/>
              </w:rPr>
              <w:t>Justification for the selection of a policy objective or JTF-specific objective</w:t>
            </w:r>
          </w:p>
        </w:tc>
      </w:tr>
      <w:tr w:rsidR="00143DBE" w:rsidRPr="00A66F03" w14:paraId="13EAB833" w14:textId="77777777" w:rsidTr="002C3693">
        <w:tc>
          <w:tcPr>
            <w:tcW w:w="700" w:type="pct"/>
            <w:tcBorders>
              <w:top w:val="single" w:sz="6" w:space="0" w:color="000000"/>
              <w:left w:val="single" w:sz="6" w:space="0" w:color="000000"/>
              <w:bottom w:val="single" w:sz="6" w:space="0" w:color="000000"/>
              <w:right w:val="single" w:sz="6" w:space="0" w:color="000000"/>
            </w:tcBorders>
            <w:shd w:val="clear" w:color="auto" w:fill="auto"/>
            <w:hideMark/>
          </w:tcPr>
          <w:p w14:paraId="0FE07DC7" w14:textId="77777777" w:rsidR="00A76FF9" w:rsidRPr="00A66F03" w:rsidRDefault="00976636" w:rsidP="00B72629">
            <w:pPr>
              <w:tabs>
                <w:tab w:val="center" w:pos="647"/>
              </w:tabs>
              <w:spacing w:after="0" w:line="276" w:lineRule="auto"/>
              <w:rPr>
                <w:rFonts w:ascii="Times New Roman" w:eastAsia="Times New Roman" w:hAnsi="Times New Roman" w:cs="Times New Roman"/>
                <w:lang w:val="en-GB"/>
              </w:rPr>
            </w:pPr>
            <w:r w:rsidRPr="00A66F03">
              <w:rPr>
                <w:rFonts w:ascii="Times New Roman" w:eastAsia="Times New Roman" w:hAnsi="Times New Roman" w:cs="Times New Roman"/>
                <w:lang w:val="en-GB"/>
              </w:rPr>
              <w:t>PO1: A more competitive and smarter Europe by promoting innovative and smart economic transformation and regional ICT connectivity</w:t>
            </w:r>
          </w:p>
        </w:tc>
        <w:tc>
          <w:tcPr>
            <w:tcW w:w="705" w:type="pct"/>
            <w:tcBorders>
              <w:top w:val="single" w:sz="6" w:space="0" w:color="000000"/>
              <w:left w:val="single" w:sz="6" w:space="0" w:color="000000"/>
              <w:bottom w:val="single" w:sz="6" w:space="0" w:color="000000"/>
              <w:right w:val="single" w:sz="6" w:space="0" w:color="000000"/>
            </w:tcBorders>
            <w:shd w:val="clear" w:color="auto" w:fill="auto"/>
            <w:hideMark/>
          </w:tcPr>
          <w:p w14:paraId="3245E511" w14:textId="77777777" w:rsidR="00A76FF9" w:rsidRPr="00A66F03" w:rsidRDefault="00976636" w:rsidP="002C3693">
            <w:pPr>
              <w:spacing w:after="0" w:line="276" w:lineRule="auto"/>
              <w:rPr>
                <w:rFonts w:ascii="Times New Roman" w:eastAsia="Times New Roman" w:hAnsi="Times New Roman" w:cs="Times New Roman"/>
                <w:lang w:val="en-GB"/>
              </w:rPr>
            </w:pPr>
            <w:r w:rsidRPr="00A66F03">
              <w:rPr>
                <w:rFonts w:ascii="Times New Roman" w:eastAsia="Times New Roman" w:hAnsi="Times New Roman" w:cs="Times New Roman"/>
                <w:lang w:val="en-GB"/>
              </w:rPr>
              <w:t>ECP</w:t>
            </w:r>
            <w:r w:rsidRPr="00A66F03">
              <w:rPr>
                <w:rFonts w:ascii="Times New Roman" w:eastAsia="Times New Roman" w:hAnsi="Times New Roman" w:cs="Times New Roman"/>
                <w:lang w:val="en-GB"/>
              </w:rPr>
              <w:t xml:space="preserve"> 2021–2027 programme</w:t>
            </w:r>
          </w:p>
        </w:tc>
        <w:tc>
          <w:tcPr>
            <w:tcW w:w="469" w:type="pct"/>
            <w:tcBorders>
              <w:top w:val="single" w:sz="6" w:space="0" w:color="000000"/>
              <w:left w:val="single" w:sz="6" w:space="0" w:color="000000"/>
              <w:bottom w:val="single" w:sz="6" w:space="0" w:color="000000"/>
              <w:right w:val="single" w:sz="6" w:space="0" w:color="000000"/>
            </w:tcBorders>
            <w:shd w:val="clear" w:color="auto" w:fill="auto"/>
            <w:hideMark/>
          </w:tcPr>
          <w:p w14:paraId="3E718DFD" w14:textId="77777777" w:rsidR="00A76FF9" w:rsidRPr="00A66F03" w:rsidRDefault="00976636" w:rsidP="002C3693">
            <w:pPr>
              <w:spacing w:after="0" w:line="276" w:lineRule="auto"/>
              <w:rPr>
                <w:rFonts w:ascii="Times New Roman" w:eastAsia="Times New Roman" w:hAnsi="Times New Roman" w:cs="Times New Roman"/>
                <w:lang w:val="en-GB"/>
              </w:rPr>
            </w:pPr>
            <w:r w:rsidRPr="00A66F03">
              <w:rPr>
                <w:rFonts w:ascii="Times New Roman" w:eastAsia="Times New Roman" w:hAnsi="Times New Roman" w:cs="Times New Roman"/>
                <w:lang w:val="en-GB"/>
              </w:rPr>
              <w:t> ERDF</w:t>
            </w:r>
          </w:p>
        </w:tc>
        <w:tc>
          <w:tcPr>
            <w:tcW w:w="3126" w:type="pct"/>
            <w:tcBorders>
              <w:top w:val="single" w:sz="6" w:space="0" w:color="000000"/>
              <w:left w:val="single" w:sz="6" w:space="0" w:color="000000"/>
              <w:bottom w:val="single" w:sz="6" w:space="0" w:color="000000"/>
              <w:right w:val="single" w:sz="6" w:space="0" w:color="000000"/>
            </w:tcBorders>
            <w:shd w:val="clear" w:color="auto" w:fill="auto"/>
            <w:hideMark/>
          </w:tcPr>
          <w:p w14:paraId="2560E5B6" w14:textId="77777777" w:rsidR="00CC28C7" w:rsidRPr="00A66F03" w:rsidRDefault="00976636" w:rsidP="00B72629">
            <w:pPr>
              <w:spacing w:after="0" w:line="276" w:lineRule="auto"/>
              <w:ind w:right="195"/>
              <w:jc w:val="both"/>
              <w:rPr>
                <w:rFonts w:ascii="Times New Roman" w:eastAsia="Times New Roman" w:hAnsi="Times New Roman" w:cs="Times New Roman"/>
                <w:i/>
                <w:lang w:val="en-GB"/>
              </w:rPr>
            </w:pPr>
            <w:r w:rsidRPr="00A66F03">
              <w:rPr>
                <w:rFonts w:ascii="Times New Roman" w:eastAsia="Times New Roman" w:hAnsi="Times New Roman" w:cs="Times New Roman"/>
                <w:lang w:val="en-GB"/>
              </w:rPr>
              <w:t>Improvements to the research, development and innovation ecosystem are key to achieving economic stability in Slovenia. Support measures are often insufficiently coordinated, while the limited support available for technology tra</w:t>
            </w:r>
            <w:r w:rsidRPr="00A66F03">
              <w:rPr>
                <w:rFonts w:ascii="Times New Roman" w:eastAsia="Times New Roman" w:hAnsi="Times New Roman" w:cs="Times New Roman"/>
                <w:lang w:val="en-GB"/>
              </w:rPr>
              <w:t>nsfer and the generally poor level of cooperation between science and business make it difficult to set up and expand innovative businesses. Most small and medium-sized enterprises (SMEs) in Slovenia have low innovation capacity, while the share of innovat</w:t>
            </w:r>
            <w:r w:rsidRPr="00A66F03">
              <w:rPr>
                <w:rFonts w:ascii="Times New Roman" w:eastAsia="Times New Roman" w:hAnsi="Times New Roman" w:cs="Times New Roman"/>
                <w:lang w:val="en-GB"/>
              </w:rPr>
              <w:t>ive enterprises is actually falling and is below the EU average. The country’s slow digital transformation is limiting productivity growth and, after making progress, Slovenia has fallen back in its efforts to achieve the 2020 R&amp;D spending target.</w:t>
            </w:r>
          </w:p>
          <w:p w14:paraId="11593B28" w14:textId="77777777" w:rsidR="00CC28C7" w:rsidRPr="00A66F03" w:rsidRDefault="00976636" w:rsidP="00B72629">
            <w:pPr>
              <w:spacing w:after="0" w:line="276" w:lineRule="auto"/>
              <w:ind w:right="195"/>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t xml:space="preserve">The key </w:t>
            </w:r>
            <w:r w:rsidRPr="00A66F03">
              <w:rPr>
                <w:rFonts w:ascii="Times New Roman" w:eastAsia="Times New Roman" w:hAnsi="Times New Roman" w:cs="Times New Roman"/>
                <w:lang w:val="en-GB"/>
              </w:rPr>
              <w:t>challenges for the industrial transformation and further economic and social development of Slovenia, the achievement of the sustainable development goals with a view to making progress towards the objectives of the Slovenian Development Strategy (SDS 2030</w:t>
            </w:r>
            <w:r w:rsidRPr="00A66F03">
              <w:rPr>
                <w:rFonts w:ascii="Times New Roman" w:eastAsia="Times New Roman" w:hAnsi="Times New Roman" w:cs="Times New Roman"/>
                <w:lang w:val="en-GB"/>
              </w:rPr>
              <w:t>) and the fulfilment of the EU Council recommendations of 2019 and 2020 are:</w:t>
            </w:r>
          </w:p>
          <w:p w14:paraId="273F1E50" w14:textId="77777777" w:rsidR="00CC28C7" w:rsidRPr="00A66F03" w:rsidRDefault="00CC28C7" w:rsidP="00B72629">
            <w:pPr>
              <w:spacing w:after="0" w:line="276" w:lineRule="auto"/>
              <w:ind w:right="195"/>
              <w:jc w:val="both"/>
              <w:rPr>
                <w:rFonts w:ascii="Times New Roman" w:eastAsia="Times New Roman" w:hAnsi="Times New Roman" w:cs="Times New Roman"/>
                <w:i/>
                <w:lang w:val="en-GB"/>
              </w:rPr>
            </w:pPr>
          </w:p>
          <w:p w14:paraId="3B7AA00E" w14:textId="77777777" w:rsidR="00CC28C7" w:rsidRPr="00A66F03" w:rsidRDefault="00976636" w:rsidP="00B72629">
            <w:pPr>
              <w:spacing w:after="0" w:line="276" w:lineRule="auto"/>
              <w:ind w:right="195"/>
              <w:jc w:val="both"/>
              <w:rPr>
                <w:rFonts w:ascii="Times New Roman" w:eastAsia="Times New Roman" w:hAnsi="Times New Roman" w:cs="Times New Roman"/>
                <w:b/>
                <w:lang w:val="en-GB"/>
              </w:rPr>
            </w:pPr>
            <w:r w:rsidRPr="00A66F03">
              <w:rPr>
                <w:rFonts w:ascii="Times New Roman" w:eastAsia="Times New Roman" w:hAnsi="Times New Roman" w:cs="Times New Roman"/>
                <w:b/>
                <w:bCs/>
                <w:lang w:val="en-GB"/>
              </w:rPr>
              <w:t>Development and improvement of research and innovation capacities and the deployment of advanced technologies</w:t>
            </w:r>
          </w:p>
          <w:p w14:paraId="6A5B0D61" w14:textId="77777777" w:rsidR="00CC28C7" w:rsidRPr="00A66F03" w:rsidRDefault="00976636" w:rsidP="00B72629">
            <w:pPr>
              <w:spacing w:after="0" w:line="276" w:lineRule="auto"/>
              <w:ind w:right="195"/>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t xml:space="preserve">Slovenia has been classified as a moderately innovative country for </w:t>
            </w:r>
            <w:r w:rsidRPr="00A66F03">
              <w:rPr>
                <w:rFonts w:ascii="Times New Roman" w:eastAsia="Times New Roman" w:hAnsi="Times New Roman" w:cs="Times New Roman"/>
                <w:lang w:val="en-GB"/>
              </w:rPr>
              <w:t>the last four years.</w:t>
            </w:r>
            <w:r w:rsidRPr="00A66F03">
              <w:rPr>
                <w:rStyle w:val="Sprotnaopomba-sklic"/>
                <w:rFonts w:ascii="Times New Roman" w:eastAsia="Times New Roman" w:hAnsi="Times New Roman" w:cs="Times New Roman"/>
                <w:lang w:val="en-GB"/>
              </w:rPr>
              <w:footnoteReference w:id="1"/>
            </w:r>
            <w:r w:rsidRPr="00A66F03">
              <w:rPr>
                <w:rFonts w:ascii="Times New Roman" w:eastAsia="Times New Roman" w:hAnsi="Times New Roman" w:cs="Times New Roman"/>
                <w:lang w:val="en-GB"/>
              </w:rPr>
              <w:t xml:space="preserve"> The decline in innovation performance is largely related to relatively low public investments in R&amp;D, which are below the EU average,</w:t>
            </w:r>
            <w:r w:rsidRPr="00A66F03">
              <w:rPr>
                <w:rFonts w:ascii="Times New Roman" w:eastAsia="Times New Roman" w:hAnsi="Times New Roman" w:cs="Times New Roman"/>
                <w:vertAlign w:val="superscript"/>
                <w:lang w:val="en-GB"/>
              </w:rPr>
              <w:footnoteReference w:id="2"/>
            </w:r>
            <w:r w:rsidRPr="00A66F03">
              <w:rPr>
                <w:rFonts w:ascii="Times New Roman" w:eastAsia="Times New Roman" w:hAnsi="Times New Roman" w:cs="Times New Roman"/>
                <w:lang w:val="en-GB"/>
              </w:rPr>
              <w:t xml:space="preserve"> and to the resulting lack of human resources for R&amp;D, reduced cooperation between innovation stakeh</w:t>
            </w:r>
            <w:r w:rsidRPr="00A66F03">
              <w:rPr>
                <w:rFonts w:ascii="Times New Roman" w:eastAsia="Times New Roman" w:hAnsi="Times New Roman" w:cs="Times New Roman"/>
                <w:lang w:val="en-GB"/>
              </w:rPr>
              <w:t>olders and a reduction in the innovation capacities of companies.</w:t>
            </w:r>
            <w:r w:rsidRPr="00A66F03">
              <w:rPr>
                <w:rFonts w:ascii="Times New Roman" w:eastAsia="Times New Roman" w:hAnsi="Times New Roman" w:cs="Times New Roman"/>
                <w:vertAlign w:val="superscript"/>
                <w:lang w:val="en-GB"/>
              </w:rPr>
              <w:footnoteReference w:id="3"/>
            </w:r>
            <w:r w:rsidRPr="00A66F03">
              <w:rPr>
                <w:rFonts w:ascii="Times New Roman" w:eastAsia="Times New Roman" w:hAnsi="Times New Roman" w:cs="Times New Roman"/>
                <w:lang w:val="en-GB"/>
              </w:rPr>
              <w:t xml:space="preserve"> In line with S5, inadequate research infrastructure is one of the challenges in this area and has led to a lack of a support environment for enterprise and innovation and, consequently, pre</w:t>
            </w:r>
            <w:r w:rsidRPr="00A66F03">
              <w:rPr>
                <w:rFonts w:ascii="Times New Roman" w:eastAsia="Times New Roman" w:hAnsi="Times New Roman" w:cs="Times New Roman"/>
                <w:lang w:val="en-GB"/>
              </w:rPr>
              <w:t>vented an increase in the enterprise index. Slovenia is also below the EU average when it comes to the Eco-Innovation Index.</w:t>
            </w:r>
            <w:r w:rsidRPr="00A66F03">
              <w:rPr>
                <w:rStyle w:val="Sprotnaopomba-sklic"/>
                <w:rFonts w:ascii="Times New Roman" w:eastAsia="Times New Roman" w:hAnsi="Times New Roman" w:cs="Times New Roman"/>
                <w:lang w:val="en-GB"/>
              </w:rPr>
              <w:footnoteReference w:id="4"/>
            </w:r>
            <w:r w:rsidRPr="00A66F03">
              <w:rPr>
                <w:rFonts w:ascii="Times New Roman" w:eastAsia="Times New Roman" w:hAnsi="Times New Roman" w:cs="Times New Roman"/>
                <w:lang w:val="en-GB"/>
              </w:rPr>
              <w:t xml:space="preserve"> Despite the presence of innovation hubs in both cohesion regions, the Western Slovenia Cohesion Region (WSCR) is more successful i</w:t>
            </w:r>
            <w:r w:rsidRPr="00A66F03">
              <w:rPr>
                <w:rFonts w:ascii="Times New Roman" w:eastAsia="Times New Roman" w:hAnsi="Times New Roman" w:cs="Times New Roman"/>
                <w:lang w:val="en-GB"/>
              </w:rPr>
              <w:t xml:space="preserve">n innovation terms than the Eastern Slovenia Cohesion Region (ESCR). The ESCR accounts for only just </w:t>
            </w:r>
            <w:r w:rsidRPr="00A66F03">
              <w:rPr>
                <w:rFonts w:ascii="Times New Roman" w:eastAsia="Times New Roman" w:hAnsi="Times New Roman" w:cs="Times New Roman"/>
                <w:lang w:val="en-GB"/>
              </w:rPr>
              <w:lastRenderedPageBreak/>
              <w:t>over a quarter of the country’s R&amp;D researchers,</w:t>
            </w:r>
            <w:r w:rsidRPr="00A66F03">
              <w:rPr>
                <w:rStyle w:val="Sprotnaopomba-sklic"/>
                <w:rFonts w:ascii="Times New Roman" w:eastAsia="Times New Roman" w:hAnsi="Times New Roman" w:cs="Times New Roman"/>
                <w:lang w:val="en-GB"/>
              </w:rPr>
              <w:footnoteReference w:id="5"/>
            </w:r>
            <w:r w:rsidRPr="00A66F03">
              <w:rPr>
                <w:rFonts w:ascii="Times New Roman" w:eastAsia="Times New Roman" w:hAnsi="Times New Roman" w:cs="Times New Roman"/>
                <w:lang w:val="en-GB"/>
              </w:rPr>
              <w:t xml:space="preserve"> produces fewer scientific publications, makes lower public and private investments in R&amp;D, and has fewer </w:t>
            </w:r>
            <w:r w:rsidRPr="00A66F03">
              <w:rPr>
                <w:rFonts w:ascii="Times New Roman" w:eastAsia="Times New Roman" w:hAnsi="Times New Roman" w:cs="Times New Roman"/>
                <w:lang w:val="en-GB"/>
              </w:rPr>
              <w:t>people employed in high-tech and knowledge-based services.</w:t>
            </w:r>
            <w:r w:rsidRPr="00A66F03">
              <w:rPr>
                <w:rStyle w:val="Sprotnaopomba-sklic"/>
                <w:rFonts w:ascii="Times New Roman" w:eastAsia="Times New Roman" w:hAnsi="Times New Roman" w:cs="Times New Roman"/>
                <w:lang w:val="en-GB"/>
              </w:rPr>
              <w:footnoteReference w:id="6"/>
            </w:r>
          </w:p>
          <w:p w14:paraId="421D2957" w14:textId="77777777" w:rsidR="00CC28C7" w:rsidRPr="00A66F03" w:rsidRDefault="00CC28C7" w:rsidP="00B72629">
            <w:pPr>
              <w:spacing w:after="0" w:line="276" w:lineRule="auto"/>
              <w:ind w:right="195"/>
              <w:jc w:val="both"/>
              <w:rPr>
                <w:rFonts w:ascii="Times New Roman" w:eastAsia="Times New Roman" w:hAnsi="Times New Roman" w:cs="Times New Roman"/>
                <w:lang w:val="en-GB"/>
              </w:rPr>
            </w:pPr>
          </w:p>
          <w:p w14:paraId="73C7C60B" w14:textId="77777777" w:rsidR="00CC28C7" w:rsidRPr="00A66F03" w:rsidRDefault="00976636" w:rsidP="00B72629">
            <w:pPr>
              <w:spacing w:after="0" w:line="276" w:lineRule="auto"/>
              <w:ind w:right="195"/>
              <w:jc w:val="both"/>
              <w:rPr>
                <w:rFonts w:ascii="Times New Roman" w:eastAsia="Times New Roman" w:hAnsi="Times New Roman" w:cs="Times New Roman"/>
                <w:b/>
                <w:lang w:val="en-GB"/>
              </w:rPr>
            </w:pPr>
            <w:r w:rsidRPr="00A66F03">
              <w:rPr>
                <w:rFonts w:ascii="Times New Roman" w:eastAsia="Times New Roman" w:hAnsi="Times New Roman" w:cs="Times New Roman"/>
                <w:b/>
                <w:bCs/>
                <w:lang w:val="en-GB"/>
              </w:rPr>
              <w:t>Strengthening the sustainable growth and competitiveness of SMEs and creating jobs</w:t>
            </w:r>
          </w:p>
          <w:p w14:paraId="52059339" w14:textId="77777777" w:rsidR="00043D06" w:rsidRPr="00A66F03" w:rsidRDefault="00976636" w:rsidP="00B72629">
            <w:pPr>
              <w:spacing w:after="0" w:line="276" w:lineRule="auto"/>
              <w:ind w:right="195"/>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t>The enterprise activity of companies (particularly SMEs) in the initial stages remains untapped.</w:t>
            </w:r>
            <w:r w:rsidRPr="00A66F03">
              <w:rPr>
                <w:rFonts w:ascii="Times New Roman" w:eastAsia="Times New Roman" w:hAnsi="Times New Roman" w:cs="Times New Roman"/>
                <w:vertAlign w:val="superscript"/>
                <w:lang w:val="en-GB"/>
              </w:rPr>
              <w:footnoteReference w:id="7"/>
            </w:r>
            <w:r w:rsidRPr="00A66F03">
              <w:rPr>
                <w:rFonts w:ascii="Times New Roman" w:eastAsia="Times New Roman" w:hAnsi="Times New Roman" w:cs="Times New Roman"/>
                <w:vertAlign w:val="superscript"/>
                <w:lang w:val="en-GB"/>
              </w:rPr>
              <w:t>,</w:t>
            </w:r>
            <w:r w:rsidRPr="00A66F03">
              <w:rPr>
                <w:rFonts w:ascii="Times New Roman" w:eastAsia="Times New Roman" w:hAnsi="Times New Roman" w:cs="Times New Roman"/>
                <w:vertAlign w:val="superscript"/>
                <w:lang w:val="en-GB"/>
              </w:rPr>
              <w:footnoteReference w:id="8"/>
            </w:r>
            <w:r w:rsidRPr="00A66F03">
              <w:rPr>
                <w:rFonts w:ascii="Times New Roman" w:eastAsia="Times New Roman" w:hAnsi="Times New Roman" w:cs="Times New Roman"/>
                <w:lang w:val="en-GB"/>
              </w:rPr>
              <w:t>. This activi</w:t>
            </w:r>
            <w:r w:rsidRPr="00A66F03">
              <w:rPr>
                <w:rFonts w:ascii="Times New Roman" w:eastAsia="Times New Roman" w:hAnsi="Times New Roman" w:cs="Times New Roman"/>
                <w:lang w:val="en-GB"/>
              </w:rPr>
              <w:t>ty further fell as a result of the pandemic in 2020.</w:t>
            </w:r>
            <w:r w:rsidRPr="00A66F03">
              <w:rPr>
                <w:rStyle w:val="Sprotnaopomba-sklic"/>
                <w:rFonts w:ascii="Times New Roman" w:eastAsia="Times New Roman" w:hAnsi="Times New Roman" w:cs="Times New Roman"/>
                <w:lang w:val="en-GB"/>
              </w:rPr>
              <w:footnoteReference w:id="9"/>
            </w:r>
            <w:r w:rsidRPr="00A66F03">
              <w:rPr>
                <w:rFonts w:ascii="Times New Roman" w:eastAsia="Times New Roman" w:hAnsi="Times New Roman" w:cs="Times New Roman"/>
                <w:lang w:val="en-GB"/>
              </w:rPr>
              <w:t xml:space="preserve"> Newly established companies with more than ten employees represent a particular challenge. Business innovation activity has been steadily falling in Slovenia since 2010 and, despite improvements in the </w:t>
            </w:r>
            <w:r w:rsidRPr="00A66F03">
              <w:rPr>
                <w:rFonts w:ascii="Times New Roman" w:eastAsia="Times New Roman" w:hAnsi="Times New Roman" w:cs="Times New Roman"/>
                <w:lang w:val="en-GB"/>
              </w:rPr>
              <w:t>2016–2018 period, remains below the EU average due to the fact that SMEs are struggling to catch up.</w:t>
            </w:r>
            <w:r w:rsidRPr="00A66F03">
              <w:rPr>
                <w:rStyle w:val="Sprotnaopomba-sklic"/>
                <w:rFonts w:ascii="Times New Roman" w:eastAsia="Calibri" w:hAnsi="Times New Roman" w:cs="Times New Roman"/>
                <w:lang w:val="en-GB"/>
              </w:rPr>
              <w:footnoteReference w:id="10"/>
            </w:r>
            <w:r w:rsidRPr="00A66F03">
              <w:rPr>
                <w:rFonts w:ascii="Times New Roman" w:eastAsia="Times New Roman" w:hAnsi="Times New Roman" w:cs="Times New Roman"/>
                <w:lang w:val="en-GB"/>
              </w:rPr>
              <w:t xml:space="preserve"> The gap between Slovenia and the EU average therefore continues to widen.</w:t>
            </w:r>
            <w:r w:rsidRPr="00A66F03">
              <w:rPr>
                <w:rFonts w:ascii="Times New Roman" w:eastAsia="Times New Roman" w:hAnsi="Times New Roman" w:cs="Times New Roman"/>
                <w:vertAlign w:val="superscript"/>
                <w:lang w:val="en-GB"/>
              </w:rPr>
              <w:footnoteReference w:id="11"/>
            </w:r>
            <w:r w:rsidRPr="00A66F03">
              <w:rPr>
                <w:rFonts w:ascii="Times New Roman" w:eastAsia="Times New Roman" w:hAnsi="Times New Roman" w:cs="Times New Roman"/>
                <w:lang w:val="en-GB"/>
              </w:rPr>
              <w:t xml:space="preserve"> Slovenian SMEs lag behind chiefly in relation to the uptake of innovative produ</w:t>
            </w:r>
            <w:r w:rsidRPr="00A66F03">
              <w:rPr>
                <w:rFonts w:ascii="Times New Roman" w:eastAsia="Times New Roman" w:hAnsi="Times New Roman" w:cs="Times New Roman"/>
                <w:lang w:val="en-GB"/>
              </w:rPr>
              <w:t>cts and services, as well as the introduction of process and organisational innovations, although the WSCR performs slightly better than the ESCR in this regard.</w:t>
            </w:r>
            <w:r w:rsidRPr="00A66F03">
              <w:rPr>
                <w:rFonts w:ascii="Times New Roman" w:eastAsia="Times New Roman" w:hAnsi="Times New Roman" w:cs="Times New Roman"/>
                <w:vertAlign w:val="superscript"/>
                <w:lang w:val="en-GB"/>
              </w:rPr>
              <w:footnoteReference w:id="12"/>
            </w:r>
            <w:r w:rsidRPr="00A66F03">
              <w:rPr>
                <w:rFonts w:ascii="Times New Roman" w:eastAsia="Times New Roman" w:hAnsi="Times New Roman" w:cs="Times New Roman"/>
                <w:vertAlign w:val="superscript"/>
                <w:lang w:val="en-GB"/>
              </w:rPr>
              <w:t xml:space="preserve"> </w:t>
            </w:r>
            <w:r w:rsidRPr="00A66F03">
              <w:rPr>
                <w:rFonts w:ascii="Times New Roman" w:eastAsia="Times New Roman" w:hAnsi="Times New Roman" w:cs="Times New Roman"/>
                <w:vertAlign w:val="superscript"/>
                <w:lang w:val="en-GB"/>
              </w:rPr>
              <w:footnoteReference w:id="13"/>
            </w:r>
            <w:r w:rsidRPr="00A66F03">
              <w:rPr>
                <w:rFonts w:ascii="Times New Roman" w:eastAsia="Times New Roman" w:hAnsi="Times New Roman" w:cs="Times New Roman"/>
                <w:lang w:val="en-GB"/>
              </w:rPr>
              <w:t xml:space="preserve"> After several years of growth, there was a fall in 2020 to 908 fast-growing enterprises wit</w:t>
            </w:r>
            <w:r w:rsidRPr="00A66F03">
              <w:rPr>
                <w:rFonts w:ascii="Times New Roman" w:eastAsia="Times New Roman" w:hAnsi="Times New Roman" w:cs="Times New Roman"/>
                <w:lang w:val="en-GB"/>
              </w:rPr>
              <w:t xml:space="preserve">h a total of 48,554 employees (58% in the WSCR and 42% in the WSCR). </w:t>
            </w:r>
            <w:r w:rsidRPr="00A66F03">
              <w:rPr>
                <w:rStyle w:val="Sprotnaopomba-sklic"/>
                <w:rFonts w:ascii="Times New Roman" w:eastAsia="Times New Roman" w:hAnsi="Times New Roman" w:cs="Times New Roman"/>
                <w:lang w:val="en-GB"/>
              </w:rPr>
              <w:footnoteReference w:id="14"/>
            </w:r>
            <w:r w:rsidRPr="00A66F03">
              <w:rPr>
                <w:rStyle w:val="Sprotnaopomba-sklic"/>
                <w:rFonts w:ascii="Times New Roman" w:eastAsia="Times New Roman" w:hAnsi="Times New Roman" w:cs="Times New Roman"/>
                <w:lang w:val="en-GB"/>
              </w:rPr>
              <w:footnoteReference w:id="15"/>
            </w:r>
          </w:p>
          <w:p w14:paraId="3AEDDC08" w14:textId="77777777" w:rsidR="00CC28C7" w:rsidRPr="00A66F03" w:rsidRDefault="00CC28C7" w:rsidP="00B72629">
            <w:pPr>
              <w:spacing w:after="0" w:line="276" w:lineRule="auto"/>
              <w:ind w:right="195"/>
              <w:jc w:val="both"/>
              <w:rPr>
                <w:rFonts w:ascii="Times New Roman" w:eastAsia="Times New Roman" w:hAnsi="Times New Roman" w:cs="Times New Roman"/>
                <w:lang w:val="en-GB"/>
              </w:rPr>
            </w:pPr>
          </w:p>
          <w:p w14:paraId="521EEF14" w14:textId="77777777" w:rsidR="00CC28C7" w:rsidRPr="00A66F03" w:rsidRDefault="00976636" w:rsidP="00B72629">
            <w:pPr>
              <w:spacing w:after="0" w:line="276" w:lineRule="auto"/>
              <w:ind w:right="195"/>
              <w:jc w:val="both"/>
              <w:rPr>
                <w:rFonts w:ascii="Times New Roman" w:eastAsia="Times New Roman" w:hAnsi="Times New Roman" w:cs="Times New Roman"/>
                <w:b/>
                <w:lang w:val="en-GB"/>
              </w:rPr>
            </w:pPr>
            <w:r w:rsidRPr="00A66F03">
              <w:rPr>
                <w:rFonts w:ascii="Times New Roman" w:eastAsia="Times New Roman" w:hAnsi="Times New Roman" w:cs="Times New Roman"/>
                <w:b/>
                <w:bCs/>
                <w:lang w:val="en-GB"/>
              </w:rPr>
              <w:t>Developing knowledge and skills for smart specialisation, industrial transition and entrepreneurship</w:t>
            </w:r>
          </w:p>
          <w:p w14:paraId="07C6B9BF" w14:textId="77777777" w:rsidR="008706EF" w:rsidRPr="00A66F03" w:rsidRDefault="00976636" w:rsidP="00B72629">
            <w:pPr>
              <w:spacing w:after="0" w:line="276" w:lineRule="auto"/>
              <w:ind w:right="195"/>
              <w:jc w:val="both"/>
              <w:rPr>
                <w:lang w:val="en-GB"/>
              </w:rPr>
            </w:pPr>
            <w:r w:rsidRPr="00A66F03">
              <w:rPr>
                <w:rFonts w:ascii="Times New Roman" w:hAnsi="Times New Roman" w:cs="Times New Roman"/>
                <w:lang w:val="en-GB"/>
              </w:rPr>
              <w:t xml:space="preserve">While Slovenia has, in EU terms, an above-average share of the population who are </w:t>
            </w:r>
            <w:r w:rsidRPr="00A66F03">
              <w:rPr>
                <w:rFonts w:ascii="Times New Roman" w:hAnsi="Times New Roman" w:cs="Times New Roman"/>
                <w:lang w:val="en-GB"/>
              </w:rPr>
              <w:t>highly educated, it faces a growing mismatch between the supply of knowledge and skills on the one hand and the needs of society and the economy on the other; this is largely due to demographic changes, rapid technological progress and the structure of emp</w:t>
            </w:r>
            <w:r w:rsidRPr="00A66F03">
              <w:rPr>
                <w:rFonts w:ascii="Times New Roman" w:hAnsi="Times New Roman" w:cs="Times New Roman"/>
                <w:lang w:val="en-GB"/>
              </w:rPr>
              <w:t>loyment in the country.</w:t>
            </w:r>
            <w:r w:rsidRPr="00A66F03">
              <w:rPr>
                <w:rFonts w:ascii="Times New Roman" w:hAnsi="Times New Roman" w:cs="Times New Roman"/>
                <w:vertAlign w:val="superscript"/>
                <w:lang w:val="en-GB"/>
              </w:rPr>
              <w:footnoteReference w:id="16"/>
            </w:r>
            <w:r w:rsidRPr="00A66F03">
              <w:rPr>
                <w:rFonts w:ascii="Times New Roman" w:hAnsi="Times New Roman" w:cs="Times New Roman"/>
                <w:lang w:val="en-GB"/>
              </w:rPr>
              <w:t xml:space="preserve"> In the ESCR, 28.5% of the population aged between 25 and 64 have tertiary education. This figure is 38.7% in the </w:t>
            </w:r>
            <w:r w:rsidRPr="00A66F03">
              <w:rPr>
                <w:rFonts w:ascii="Times New Roman" w:hAnsi="Times New Roman" w:cs="Times New Roman"/>
                <w:lang w:val="en-GB"/>
              </w:rPr>
              <w:lastRenderedPageBreak/>
              <w:t>WSCR.</w:t>
            </w:r>
            <w:r w:rsidRPr="00A66F03">
              <w:rPr>
                <w:rStyle w:val="Sprotnaopomba-sklic"/>
                <w:rFonts w:ascii="Times New Roman" w:eastAsia="Times New Roman" w:hAnsi="Times New Roman" w:cs="Times New Roman"/>
                <w:lang w:val="en-GB"/>
              </w:rPr>
              <w:footnoteReference w:id="17"/>
            </w:r>
            <w:r w:rsidRPr="00A66F03">
              <w:rPr>
                <w:rFonts w:ascii="Times New Roman" w:hAnsi="Times New Roman" w:cs="Times New Roman"/>
                <w:lang w:val="en-GB"/>
              </w:rPr>
              <w:t xml:space="preserve"> Twenty-five per cent of jobs are highly vulnerable to automation and 27% to marked changes, which is well above</w:t>
            </w:r>
            <w:r w:rsidRPr="00A66F03">
              <w:rPr>
                <w:rFonts w:ascii="Times New Roman" w:hAnsi="Times New Roman" w:cs="Times New Roman"/>
                <w:lang w:val="en-GB"/>
              </w:rPr>
              <w:t xml:space="preserve"> the OECD average. The lack of relevant knowledge and skills is found among those with secondary and tertiary education</w:t>
            </w:r>
            <w:r w:rsidRPr="00A66F03">
              <w:rPr>
                <w:rFonts w:ascii="Times New Roman" w:hAnsi="Times New Roman" w:cs="Times New Roman"/>
                <w:vertAlign w:val="superscript"/>
                <w:lang w:val="en-GB"/>
              </w:rPr>
              <w:footnoteReference w:id="18"/>
            </w:r>
            <w:r w:rsidRPr="00A66F03">
              <w:rPr>
                <w:rFonts w:ascii="Times New Roman" w:hAnsi="Times New Roman" w:cs="Times New Roman"/>
                <w:lang w:val="en-GB"/>
              </w:rPr>
              <w:t xml:space="preserve"> and those already in employment. The fact that employees’ digital skills are lacking can be illustrated by the 2020 figures from the St</w:t>
            </w:r>
            <w:r w:rsidRPr="00A66F03">
              <w:rPr>
                <w:rFonts w:ascii="Times New Roman" w:hAnsi="Times New Roman" w:cs="Times New Roman"/>
                <w:lang w:val="en-GB"/>
              </w:rPr>
              <w:t>atistical Office, which show that 45% of companies with at least ten employees have a low digital index: 32% of companies have a very low digital index, 22% have a high index and 1% have a very high digital index. In terms of company size (number of employ</w:t>
            </w:r>
            <w:r w:rsidRPr="00A66F03">
              <w:rPr>
                <w:rFonts w:ascii="Times New Roman" w:hAnsi="Times New Roman" w:cs="Times New Roman"/>
                <w:lang w:val="en-GB"/>
              </w:rPr>
              <w:t>ees), the figures for digitalisation level show that small and medium-sized enterprises account for the highest number of enterprises with a low digital index (46% and 41%, respectively), while large enterprises are more likely to have a high digital index</w:t>
            </w:r>
            <w:r w:rsidRPr="00A66F03">
              <w:rPr>
                <w:rFonts w:ascii="Times New Roman" w:hAnsi="Times New Roman" w:cs="Times New Roman"/>
                <w:lang w:val="en-GB"/>
              </w:rPr>
              <w:t xml:space="preserve"> (56%).</w:t>
            </w:r>
          </w:p>
          <w:p w14:paraId="6DD081F1" w14:textId="77777777" w:rsidR="00CC28C7" w:rsidRPr="00A66F03" w:rsidRDefault="00CC28C7" w:rsidP="00B72629">
            <w:pPr>
              <w:spacing w:after="0" w:line="276" w:lineRule="auto"/>
              <w:ind w:right="195"/>
              <w:jc w:val="both"/>
              <w:rPr>
                <w:rFonts w:ascii="Times New Roman" w:eastAsia="Times New Roman" w:hAnsi="Times New Roman" w:cs="Times New Roman"/>
                <w:lang w:val="en-GB"/>
              </w:rPr>
            </w:pPr>
          </w:p>
          <w:p w14:paraId="7315E52C" w14:textId="77777777" w:rsidR="00CC28C7" w:rsidRPr="00A66F03" w:rsidRDefault="00976636" w:rsidP="00B72629">
            <w:pPr>
              <w:spacing w:after="0" w:line="276" w:lineRule="auto"/>
              <w:ind w:right="195"/>
              <w:jc w:val="both"/>
              <w:rPr>
                <w:rFonts w:ascii="Times New Roman" w:eastAsia="Times New Roman" w:hAnsi="Times New Roman" w:cs="Times New Roman"/>
                <w:b/>
                <w:lang w:val="en-GB"/>
              </w:rPr>
            </w:pPr>
            <w:r w:rsidRPr="00A66F03">
              <w:rPr>
                <w:rFonts w:ascii="Times New Roman" w:eastAsia="Times New Roman" w:hAnsi="Times New Roman" w:cs="Times New Roman"/>
                <w:b/>
                <w:bCs/>
                <w:lang w:val="en-GB"/>
              </w:rPr>
              <w:t>Digital transformation</w:t>
            </w:r>
          </w:p>
          <w:p w14:paraId="2A05B51C" w14:textId="77777777" w:rsidR="00043D06" w:rsidRPr="00A66F03" w:rsidRDefault="00976636" w:rsidP="00B72629">
            <w:pPr>
              <w:spacing w:after="0" w:line="276" w:lineRule="auto"/>
              <w:ind w:right="195"/>
              <w:jc w:val="both"/>
              <w:rPr>
                <w:rFonts w:ascii="Times New Roman" w:eastAsia="Times New Roman" w:hAnsi="Times New Roman" w:cs="Times New Roman"/>
                <w:lang w:val="en-GB"/>
              </w:rPr>
            </w:pPr>
            <w:r w:rsidRPr="00A66F03">
              <w:rPr>
                <w:rFonts w:ascii="Times New Roman" w:hAnsi="Times New Roman" w:cs="Times New Roman"/>
                <w:lang w:val="en-GB"/>
              </w:rPr>
              <w:t xml:space="preserve">According to the 2021 Digital Economy and Society Index (DESI), Slovenia ranks 13th among EU Member States. While progress has been made in recent years in the area of digital public services in particular, it remains below </w:t>
            </w:r>
            <w:r w:rsidRPr="00A66F03">
              <w:rPr>
                <w:rFonts w:ascii="Times New Roman" w:hAnsi="Times New Roman" w:cs="Times New Roman"/>
                <w:lang w:val="en-GB"/>
              </w:rPr>
              <w:t>the EU average. Slovenia has a medium-low penetration rate with an average level of digitalisation in public services. Public digital services for businesses remain problematic.</w:t>
            </w:r>
            <w:r w:rsidRPr="00A66F03">
              <w:rPr>
                <w:rStyle w:val="Sprotnaopomba-sklic"/>
                <w:rFonts w:ascii="Times New Roman" w:hAnsi="Times New Roman" w:cs="Times New Roman"/>
                <w:lang w:val="en-GB"/>
              </w:rPr>
              <w:footnoteReference w:id="19"/>
            </w:r>
            <w:r w:rsidRPr="00A66F03">
              <w:rPr>
                <w:rFonts w:ascii="Times New Roman" w:hAnsi="Times New Roman" w:cs="Times New Roman"/>
                <w:lang w:val="en-GB"/>
              </w:rPr>
              <w:t xml:space="preserve"> Slovenia is also lagging behind in productivity growth; this is due to insuff</w:t>
            </w:r>
            <w:r w:rsidRPr="00A66F03">
              <w:rPr>
                <w:rFonts w:ascii="Times New Roman" w:hAnsi="Times New Roman" w:cs="Times New Roman"/>
                <w:lang w:val="en-GB"/>
              </w:rPr>
              <w:t>icient use of advanced technologies and internet services and to a lack of investment in advanced digital technologies, particularly artificial intelligence, where we are one of the three lowest-ranked EU countries (despite the fact that we have proven sci</w:t>
            </w:r>
            <w:r w:rsidRPr="00A66F03">
              <w:rPr>
                <w:rFonts w:ascii="Times New Roman" w:hAnsi="Times New Roman" w:cs="Times New Roman"/>
                <w:lang w:val="en-GB"/>
              </w:rPr>
              <w:t xml:space="preserve">entific and innovation potential in this area). Slovenia also lags behind in terms of the provision of digital skills. </w:t>
            </w:r>
          </w:p>
          <w:p w14:paraId="3801AAD8" w14:textId="77777777" w:rsidR="00043D06" w:rsidRPr="00A66F03" w:rsidRDefault="00043D06" w:rsidP="00B72629">
            <w:pPr>
              <w:spacing w:after="0" w:line="276" w:lineRule="auto"/>
              <w:ind w:right="195"/>
              <w:jc w:val="both"/>
              <w:rPr>
                <w:rFonts w:ascii="Times New Roman" w:eastAsia="Times New Roman" w:hAnsi="Times New Roman" w:cs="Times New Roman"/>
                <w:lang w:val="en-GB"/>
              </w:rPr>
            </w:pPr>
          </w:p>
          <w:p w14:paraId="3303F8BC" w14:textId="77777777" w:rsidR="00043D06" w:rsidRPr="00A66F03" w:rsidRDefault="00976636" w:rsidP="00B72629">
            <w:pPr>
              <w:spacing w:after="0" w:line="276" w:lineRule="auto"/>
              <w:ind w:right="195"/>
              <w:jc w:val="both"/>
              <w:rPr>
                <w:rFonts w:ascii="Times New Roman" w:eastAsia="Times New Roman" w:hAnsi="Times New Roman" w:cs="Times New Roman"/>
                <w:b/>
                <w:lang w:val="en-GB"/>
              </w:rPr>
            </w:pPr>
            <w:r w:rsidRPr="00A66F03">
              <w:rPr>
                <w:rFonts w:ascii="Times New Roman" w:eastAsia="Times New Roman" w:hAnsi="Times New Roman" w:cs="Times New Roman"/>
                <w:b/>
                <w:bCs/>
                <w:lang w:val="en-GB"/>
              </w:rPr>
              <w:t>Improving digital connectivity</w:t>
            </w:r>
          </w:p>
          <w:p w14:paraId="3A6A1D16" w14:textId="77777777" w:rsidR="00A76FF9" w:rsidRPr="00A66F03" w:rsidRDefault="00976636" w:rsidP="00531F95">
            <w:pPr>
              <w:spacing w:after="0" w:line="276" w:lineRule="auto"/>
              <w:ind w:right="195"/>
              <w:jc w:val="both"/>
              <w:rPr>
                <w:rFonts w:ascii="Times New Roman" w:eastAsia="Calibri" w:hAnsi="Times New Roman" w:cs="Times New Roman"/>
                <w:lang w:val="en-GB"/>
              </w:rPr>
            </w:pPr>
            <w:r w:rsidRPr="00A66F03">
              <w:rPr>
                <w:rFonts w:ascii="Times New Roman" w:hAnsi="Times New Roman" w:cs="Times New Roman"/>
                <w:lang w:val="en-GB"/>
              </w:rPr>
              <w:t xml:space="preserve">The development of a knowledge society is also based on the widespread use of ICT infrastructure, where powerful electronic communications network infrastructure is crucial. According to the latest DESI (2021), Slovenia is ranked 9th in the EU in terms of </w:t>
            </w:r>
            <w:r w:rsidRPr="00A66F03">
              <w:rPr>
                <w:rFonts w:ascii="Times New Roman" w:hAnsi="Times New Roman" w:cs="Times New Roman"/>
                <w:lang w:val="en-GB"/>
              </w:rPr>
              <w:t>connectivity. According to estimates, fixed broadband is available in 88% of the WSCR and 59% of the ESCR.</w:t>
            </w:r>
            <w:r w:rsidRPr="00A66F03">
              <w:rPr>
                <w:rStyle w:val="Sprotnaopomba-sklic"/>
                <w:rFonts w:ascii="Times New Roman" w:eastAsia="Times New Roman" w:hAnsi="Times New Roman" w:cs="Times New Roman"/>
                <w:lang w:val="en-GB"/>
              </w:rPr>
              <w:footnoteReference w:id="20"/>
            </w:r>
            <w:r w:rsidRPr="00A66F03">
              <w:rPr>
                <w:rFonts w:ascii="Times New Roman" w:hAnsi="Times New Roman" w:cs="Times New Roman"/>
                <w:lang w:val="en-GB"/>
              </w:rPr>
              <w:t xml:space="preserve"> There is insufficient coverage in rural areas (a coverage rate of around 60%). While Slovenia’s broadband penetration of at least 100 Mbps improved </w:t>
            </w:r>
            <w:r w:rsidRPr="00A66F03">
              <w:rPr>
                <w:rFonts w:ascii="Times New Roman" w:hAnsi="Times New Roman" w:cs="Times New Roman"/>
                <w:lang w:val="en-GB"/>
              </w:rPr>
              <w:t xml:space="preserve">in 2020, but it still </w:t>
            </w:r>
            <w:r w:rsidRPr="00A66F03">
              <w:rPr>
                <w:rFonts w:ascii="Times New Roman" w:hAnsi="Times New Roman" w:cs="Times New Roman"/>
                <w:lang w:val="en-GB"/>
              </w:rPr>
              <w:lastRenderedPageBreak/>
              <w:t>lags behind the EU average.</w:t>
            </w:r>
            <w:r w:rsidRPr="00A66F03">
              <w:rPr>
                <w:rStyle w:val="Sprotnaopomba-sklic"/>
                <w:rFonts w:ascii="Times New Roman" w:hAnsi="Times New Roman" w:cs="Times New Roman"/>
                <w:lang w:val="en-GB"/>
              </w:rPr>
              <w:footnoteReference w:id="21"/>
            </w:r>
            <w:r w:rsidRPr="00A66F03">
              <w:rPr>
                <w:rFonts w:ascii="Times New Roman" w:hAnsi="Times New Roman" w:cs="Times New Roman"/>
                <w:color w:val="333333"/>
                <w:sz w:val="21"/>
                <w:szCs w:val="21"/>
                <w:shd w:val="clear" w:color="auto" w:fill="FFFFFF"/>
                <w:lang w:val="en-GB"/>
              </w:rPr>
              <w:t xml:space="preserve"> </w:t>
            </w:r>
            <w:r w:rsidRPr="00A66F03">
              <w:rPr>
                <w:rFonts w:ascii="Times New Roman" w:hAnsi="Times New Roman" w:cs="Times New Roman"/>
                <w:lang w:val="en-GB"/>
              </w:rPr>
              <w:t>In the first quarter of 2021, 93% of households with at least one person aged between 16 and 74 had access to the internet (2020: 90%). This figure was 95% in the WSCR (2020: 91%) and 91% in the ESCR</w:t>
            </w:r>
            <w:r w:rsidRPr="00A66F03">
              <w:rPr>
                <w:rFonts w:ascii="Times New Roman" w:hAnsi="Times New Roman" w:cs="Times New Roman"/>
                <w:lang w:val="en-GB"/>
              </w:rPr>
              <w:t xml:space="preserve"> (2020: 89%).</w:t>
            </w:r>
            <w:r w:rsidRPr="00A66F03">
              <w:rPr>
                <w:rStyle w:val="Sprotnaopomba-sklic"/>
                <w:rFonts w:ascii="Times New Roman" w:hAnsi="Times New Roman" w:cs="Times New Roman"/>
                <w:lang w:val="en-GB"/>
              </w:rPr>
              <w:footnoteReference w:id="22"/>
            </w:r>
            <w:r w:rsidRPr="00A66F03">
              <w:rPr>
                <w:rFonts w:ascii="Times New Roman" w:hAnsi="Times New Roman" w:cs="Times New Roman"/>
                <w:lang w:val="en-GB"/>
              </w:rPr>
              <w:t xml:space="preserve"> There is a particular need to increase interoperability between public IT systems, which are mostly designed as closed systems ( which prevents data exchange in support of service delivery). In the area of digital connectivity, we will build</w:t>
            </w:r>
            <w:r w:rsidRPr="00A66F03">
              <w:rPr>
                <w:rFonts w:ascii="Times New Roman" w:hAnsi="Times New Roman" w:cs="Times New Roman"/>
                <w:lang w:val="en-GB"/>
              </w:rPr>
              <w:t xml:space="preserve"> on the actual needs identified in the Gigabit Infrastructure Development Plan 2030, which will be fully in line with the EU’s digital objectives. </w:t>
            </w:r>
          </w:p>
        </w:tc>
      </w:tr>
      <w:tr w:rsidR="00143DBE" w:rsidRPr="00A66F03" w14:paraId="4A66AB6A" w14:textId="77777777" w:rsidTr="002C3693">
        <w:tc>
          <w:tcPr>
            <w:tcW w:w="700" w:type="pct"/>
            <w:tcBorders>
              <w:top w:val="single" w:sz="6" w:space="0" w:color="000000"/>
              <w:left w:val="single" w:sz="6" w:space="0" w:color="000000"/>
              <w:bottom w:val="single" w:sz="6" w:space="0" w:color="000000"/>
              <w:right w:val="single" w:sz="6" w:space="0" w:color="000000"/>
            </w:tcBorders>
            <w:shd w:val="clear" w:color="auto" w:fill="auto"/>
          </w:tcPr>
          <w:p w14:paraId="2EA942E3" w14:textId="77777777" w:rsidR="00CC28C7" w:rsidRPr="00A66F03" w:rsidRDefault="00976636" w:rsidP="00B72629">
            <w:pPr>
              <w:tabs>
                <w:tab w:val="center" w:pos="647"/>
              </w:tabs>
              <w:spacing w:after="0" w:line="276" w:lineRule="auto"/>
              <w:rPr>
                <w:rFonts w:ascii="Times New Roman" w:eastAsia="Times New Roman" w:hAnsi="Times New Roman" w:cs="Times New Roman"/>
                <w:lang w:val="en-GB"/>
              </w:rPr>
            </w:pPr>
            <w:r w:rsidRPr="00A66F03">
              <w:rPr>
                <w:rFonts w:ascii="Times New Roman" w:eastAsia="Times New Roman" w:hAnsi="Times New Roman" w:cs="Times New Roman"/>
                <w:lang w:val="en-GB"/>
              </w:rPr>
              <w:lastRenderedPageBreak/>
              <w:t>PO2: A greener, low-carbon Europe transitioning towards a net-zero carbon economy and resilient Europe by p</w:t>
            </w:r>
            <w:r w:rsidRPr="00A66F03">
              <w:rPr>
                <w:rFonts w:ascii="Times New Roman" w:eastAsia="Times New Roman" w:hAnsi="Times New Roman" w:cs="Times New Roman"/>
                <w:lang w:val="en-GB"/>
              </w:rPr>
              <w:t>romoting clean and fair energy transition, green and blue investments, the circular economy, climate change mitigation and adaptation, risk prevention and management, and sustainable urban mobility</w:t>
            </w:r>
          </w:p>
        </w:tc>
        <w:tc>
          <w:tcPr>
            <w:tcW w:w="705" w:type="pct"/>
            <w:tcBorders>
              <w:top w:val="single" w:sz="6" w:space="0" w:color="000000"/>
              <w:left w:val="single" w:sz="6" w:space="0" w:color="000000"/>
              <w:bottom w:val="single" w:sz="6" w:space="0" w:color="000000"/>
              <w:right w:val="single" w:sz="6" w:space="0" w:color="000000"/>
            </w:tcBorders>
            <w:shd w:val="clear" w:color="auto" w:fill="auto"/>
          </w:tcPr>
          <w:p w14:paraId="2E77C772" w14:textId="77777777" w:rsidR="00CC28C7" w:rsidRPr="00A66F03" w:rsidRDefault="00976636" w:rsidP="002C3693">
            <w:pPr>
              <w:spacing w:after="0" w:line="276" w:lineRule="auto"/>
              <w:rPr>
                <w:rFonts w:ascii="Times New Roman" w:hAnsi="Times New Roman" w:cs="Times New Roman"/>
                <w:lang w:val="en-GB"/>
              </w:rPr>
            </w:pPr>
            <w:r w:rsidRPr="00A66F03">
              <w:rPr>
                <w:rFonts w:ascii="Times New Roman" w:hAnsi="Times New Roman" w:cs="Times New Roman"/>
                <w:lang w:val="en-GB"/>
              </w:rPr>
              <w:t>ECP 2021–2027 programme</w:t>
            </w:r>
          </w:p>
          <w:p w14:paraId="442B371B" w14:textId="77777777" w:rsidR="00CC28C7" w:rsidRPr="00A66F03" w:rsidRDefault="00CC28C7" w:rsidP="002C3693">
            <w:pPr>
              <w:spacing w:after="0" w:line="276" w:lineRule="auto"/>
              <w:rPr>
                <w:rFonts w:ascii="Times New Roman" w:hAnsi="Times New Roman" w:cs="Times New Roman"/>
                <w:lang w:val="en-GB"/>
              </w:rPr>
            </w:pPr>
          </w:p>
          <w:p w14:paraId="48EDE6B7" w14:textId="77777777" w:rsidR="00CC28C7" w:rsidRPr="00A66F03" w:rsidRDefault="00976636" w:rsidP="002C3693">
            <w:pPr>
              <w:spacing w:after="0" w:line="276" w:lineRule="auto"/>
              <w:rPr>
                <w:rFonts w:ascii="Times New Roman" w:eastAsia="Times New Roman" w:hAnsi="Times New Roman" w:cs="Times New Roman"/>
                <w:lang w:val="en-GB"/>
              </w:rPr>
            </w:pPr>
            <w:r w:rsidRPr="00A66F03">
              <w:rPr>
                <w:rFonts w:ascii="Times New Roman" w:eastAsia="Times New Roman" w:hAnsi="Times New Roman" w:cs="Times New Roman"/>
                <w:lang w:val="en-GB"/>
              </w:rPr>
              <w:t>MFAP</w:t>
            </w:r>
          </w:p>
        </w:tc>
        <w:tc>
          <w:tcPr>
            <w:tcW w:w="469" w:type="pct"/>
            <w:tcBorders>
              <w:top w:val="single" w:sz="6" w:space="0" w:color="000000"/>
              <w:left w:val="single" w:sz="6" w:space="0" w:color="000000"/>
              <w:bottom w:val="single" w:sz="6" w:space="0" w:color="000000"/>
              <w:right w:val="single" w:sz="6" w:space="0" w:color="000000"/>
            </w:tcBorders>
            <w:shd w:val="clear" w:color="auto" w:fill="auto"/>
          </w:tcPr>
          <w:p w14:paraId="69B8E780" w14:textId="77777777" w:rsidR="00CC28C7" w:rsidRPr="00A66F03" w:rsidRDefault="00976636" w:rsidP="002C3693">
            <w:pPr>
              <w:spacing w:after="0" w:line="276" w:lineRule="auto"/>
              <w:rPr>
                <w:rFonts w:ascii="Times New Roman" w:eastAsia="Times New Roman" w:hAnsi="Times New Roman" w:cs="Times New Roman"/>
                <w:lang w:val="en-GB"/>
              </w:rPr>
            </w:pPr>
            <w:r w:rsidRPr="00A66F03">
              <w:rPr>
                <w:rFonts w:ascii="Times New Roman" w:eastAsia="Times New Roman" w:hAnsi="Times New Roman" w:cs="Times New Roman"/>
                <w:lang w:val="en-GB"/>
              </w:rPr>
              <w:t>ERDF CF EMFAF</w:t>
            </w:r>
          </w:p>
        </w:tc>
        <w:tc>
          <w:tcPr>
            <w:tcW w:w="3126" w:type="pct"/>
            <w:tcBorders>
              <w:top w:val="single" w:sz="6" w:space="0" w:color="000000"/>
              <w:left w:val="single" w:sz="6" w:space="0" w:color="000000"/>
              <w:bottom w:val="single" w:sz="6" w:space="0" w:color="000000"/>
              <w:right w:val="single" w:sz="6" w:space="0" w:color="000000"/>
            </w:tcBorders>
            <w:shd w:val="clear" w:color="auto" w:fill="auto"/>
          </w:tcPr>
          <w:p w14:paraId="7595FE5A" w14:textId="77777777" w:rsidR="00CC28C7" w:rsidRPr="00A66F03" w:rsidRDefault="00976636" w:rsidP="00B72629">
            <w:pPr>
              <w:spacing w:after="0" w:line="276" w:lineRule="auto"/>
              <w:ind w:right="195"/>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t xml:space="preserve">In order to </w:t>
            </w:r>
            <w:r w:rsidRPr="00A66F03">
              <w:rPr>
                <w:rFonts w:ascii="Times New Roman" w:eastAsia="Times New Roman" w:hAnsi="Times New Roman" w:cs="Times New Roman"/>
                <w:lang w:val="en-GB"/>
              </w:rPr>
              <w:t>make a successful transition to a low-carbon circular economy, it will be necessary to break the link between economic growth and growth in the consumption of raw materials and non-renewable energy sources, and the associated increased environmental burden</w:t>
            </w:r>
            <w:r w:rsidRPr="00A66F03">
              <w:rPr>
                <w:rFonts w:ascii="Times New Roman" w:eastAsia="Times New Roman" w:hAnsi="Times New Roman" w:cs="Times New Roman"/>
                <w:lang w:val="en-GB"/>
              </w:rPr>
              <w:t>. The key challenges that are faced by Slovenia and addressed in the Slovenian Development Strategy 2030, the National Energy and Climate Plan 2030 (NECP), the EU Council Recommendations of 2019 and 2020, and that will also contribute to achieving the obje</w:t>
            </w:r>
            <w:r w:rsidRPr="00A66F03">
              <w:rPr>
                <w:rFonts w:ascii="Times New Roman" w:eastAsia="Times New Roman" w:hAnsi="Times New Roman" w:cs="Times New Roman"/>
                <w:lang w:val="en-GB"/>
              </w:rPr>
              <w:t>ctives of the Paris Agreement and the European Green Deal, are:</w:t>
            </w:r>
          </w:p>
          <w:p w14:paraId="164BAF45" w14:textId="77777777" w:rsidR="00CC28C7" w:rsidRPr="00A66F03" w:rsidRDefault="00CC28C7" w:rsidP="00B72629">
            <w:pPr>
              <w:spacing w:after="0" w:line="276" w:lineRule="auto"/>
              <w:ind w:right="195"/>
              <w:jc w:val="both"/>
              <w:rPr>
                <w:rFonts w:ascii="Times New Roman" w:eastAsia="Times New Roman" w:hAnsi="Times New Roman" w:cs="Times New Roman"/>
                <w:lang w:val="en-GB"/>
              </w:rPr>
            </w:pPr>
          </w:p>
          <w:p w14:paraId="708FA52F" w14:textId="77777777" w:rsidR="00CC28C7" w:rsidRPr="00A66F03" w:rsidRDefault="00976636" w:rsidP="00B72629">
            <w:pPr>
              <w:spacing w:after="0" w:line="276" w:lineRule="auto"/>
              <w:ind w:right="195"/>
              <w:jc w:val="both"/>
              <w:rPr>
                <w:rFonts w:ascii="Times New Roman" w:eastAsia="Times New Roman" w:hAnsi="Times New Roman" w:cs="Times New Roman"/>
                <w:b/>
                <w:lang w:val="en-GB"/>
              </w:rPr>
            </w:pPr>
            <w:r w:rsidRPr="00A66F03">
              <w:rPr>
                <w:rFonts w:ascii="Times New Roman" w:eastAsia="Times New Roman" w:hAnsi="Times New Roman" w:cs="Times New Roman"/>
                <w:b/>
                <w:bCs/>
                <w:lang w:val="en-GB"/>
              </w:rPr>
              <w:t>Reducing greenhouse gas emissions</w:t>
            </w:r>
          </w:p>
          <w:p w14:paraId="51C0E1FA" w14:textId="77777777" w:rsidR="00AE4583" w:rsidRPr="00A66F03" w:rsidRDefault="00976636" w:rsidP="00B72629">
            <w:pPr>
              <w:spacing w:after="0" w:line="276" w:lineRule="auto"/>
              <w:ind w:right="195"/>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t xml:space="preserve">While Slovenia is, for the moment, managing to control greenhouse gas emissions, activities will need to be stepped up in this area if the objectives are to </w:t>
            </w:r>
            <w:r w:rsidRPr="00A66F03">
              <w:rPr>
                <w:rFonts w:ascii="Times New Roman" w:eastAsia="Times New Roman" w:hAnsi="Times New Roman" w:cs="Times New Roman"/>
                <w:lang w:val="en-GB"/>
              </w:rPr>
              <w:t>be achieved. The transport sector represents the biggest challenge, with the share of transport emissions in the non-ETS growing, peaking at 52% in 2019. Emission estimates for 2020 show a sharp decrease resulting from reduced transport activity during the</w:t>
            </w:r>
            <w:r w:rsidRPr="00A66F03">
              <w:rPr>
                <w:rFonts w:ascii="Times New Roman" w:eastAsia="Times New Roman" w:hAnsi="Times New Roman" w:cs="Times New Roman"/>
                <w:lang w:val="en-GB"/>
              </w:rPr>
              <w:t xml:space="preserve"> coronavirus pandemic. Although Slovenia is exceeding its annual targets, this does not mean that emissions are under control over the long term.</w:t>
            </w:r>
            <w:r w:rsidRPr="00A66F03">
              <w:rPr>
                <w:rStyle w:val="Sprotnaopomba-sklic"/>
                <w:rFonts w:ascii="Times New Roman" w:eastAsia="Times New Roman" w:hAnsi="Times New Roman" w:cs="Times New Roman"/>
                <w:lang w:val="en-GB"/>
              </w:rPr>
              <w:footnoteReference w:id="23"/>
            </w:r>
            <w:r w:rsidRPr="00A66F03">
              <w:rPr>
                <w:rFonts w:ascii="Times New Roman" w:eastAsia="Times New Roman" w:hAnsi="Times New Roman" w:cs="Times New Roman"/>
                <w:lang w:val="en-GB"/>
              </w:rPr>
              <w:t xml:space="preserve"> The share of renewable energy sources (RES) in end-use energy consumption has barely increased in Slovenia ov</w:t>
            </w:r>
            <w:r w:rsidRPr="00A66F03">
              <w:rPr>
                <w:rFonts w:ascii="Times New Roman" w:eastAsia="Times New Roman" w:hAnsi="Times New Roman" w:cs="Times New Roman"/>
                <w:lang w:val="en-GB"/>
              </w:rPr>
              <w:t>er the last decade. It was below the planned levels in 2019, while estimates for 2020 indicate a significant increase. However, this will not be sufficient to reach the 2020 target of 25%,</w:t>
            </w:r>
            <w:r w:rsidRPr="00A66F03">
              <w:rPr>
                <w:rStyle w:val="Sprotnaopomba-sklic"/>
                <w:rFonts w:ascii="Times New Roman" w:eastAsia="Times New Roman" w:hAnsi="Times New Roman" w:cs="Times New Roman"/>
                <w:lang w:val="en-GB"/>
              </w:rPr>
              <w:footnoteReference w:id="24"/>
            </w:r>
            <w:r w:rsidRPr="00A66F03">
              <w:rPr>
                <w:rFonts w:ascii="Times New Roman" w:eastAsia="Times New Roman" w:hAnsi="Times New Roman" w:cs="Times New Roman"/>
                <w:lang w:val="en-GB"/>
              </w:rPr>
              <w:t xml:space="preserve"> and the country has a long way to go if the target of 27% set out </w:t>
            </w:r>
            <w:r w:rsidRPr="00A66F03">
              <w:rPr>
                <w:rFonts w:ascii="Times New Roman" w:eastAsia="Times New Roman" w:hAnsi="Times New Roman" w:cs="Times New Roman"/>
                <w:lang w:val="en-GB"/>
              </w:rPr>
              <w:t>in the Slovenian Development Strategy 2030 is to be reached.</w:t>
            </w:r>
            <w:r w:rsidRPr="00A66F03">
              <w:rPr>
                <w:rFonts w:ascii="Times New Roman" w:eastAsia="Times New Roman" w:hAnsi="Times New Roman" w:cs="Times New Roman"/>
                <w:vertAlign w:val="superscript"/>
                <w:lang w:val="en-GB"/>
              </w:rPr>
              <w:footnoteReference w:id="25"/>
            </w:r>
            <w:r w:rsidRPr="00A66F03">
              <w:rPr>
                <w:rFonts w:ascii="Times New Roman" w:eastAsia="Times New Roman" w:hAnsi="Times New Roman" w:cs="Times New Roman"/>
                <w:lang w:val="en-GB"/>
              </w:rPr>
              <w:t xml:space="preserve"> Slovenia aims to improve energy efficiency by at least 35% by 2030, i.e. if the adopted policies and measures are systematically implemented, end-</w:t>
            </w:r>
            <w:r w:rsidRPr="00A66F03">
              <w:rPr>
                <w:rFonts w:ascii="Times New Roman" w:eastAsia="Times New Roman" w:hAnsi="Times New Roman" w:cs="Times New Roman"/>
                <w:lang w:val="en-GB"/>
              </w:rPr>
              <w:lastRenderedPageBreak/>
              <w:t>use energy consumption will not exceed 54.9 TWh</w:t>
            </w:r>
            <w:r w:rsidRPr="00A66F03">
              <w:rPr>
                <w:rFonts w:ascii="Times New Roman" w:eastAsia="Times New Roman" w:hAnsi="Times New Roman" w:cs="Times New Roman"/>
                <w:lang w:val="en-GB"/>
              </w:rPr>
              <w:t xml:space="preserve"> (4,717 ktoe) in 2030. The implementation of measures under the ECP 2021–2027 programme will, through its objectives, contribute to the achievement of the National Energy and Climate Plan (NECP) decarbonisation, RES and energy efficiency objectives at leve</w:t>
            </w:r>
            <w:r w:rsidRPr="00A66F03">
              <w:rPr>
                <w:rFonts w:ascii="Times New Roman" w:eastAsia="Times New Roman" w:hAnsi="Times New Roman" w:cs="Times New Roman"/>
                <w:lang w:val="en-GB"/>
              </w:rPr>
              <w:t>ls compatible with the targets and commitments set by the EU for 2030. Energy and material efficiency in relation to sustainable use and local energy supply is modern society’s most important developmental segment. The accelerated development of these area</w:t>
            </w:r>
            <w:r w:rsidRPr="00A66F03">
              <w:rPr>
                <w:rFonts w:ascii="Times New Roman" w:eastAsia="Times New Roman" w:hAnsi="Times New Roman" w:cs="Times New Roman"/>
                <w:lang w:val="en-GB"/>
              </w:rPr>
              <w:t xml:space="preserve">s, which is based on increasing the quality of energy services in tandem with reducing energy input, is one of the cornerstones of the transition towards a climate-neutral society. For Slovenia, the accelerated development of energy-efficient technologies </w:t>
            </w:r>
            <w:r w:rsidRPr="00A66F03">
              <w:rPr>
                <w:rFonts w:ascii="Times New Roman" w:eastAsia="Times New Roman" w:hAnsi="Times New Roman" w:cs="Times New Roman"/>
                <w:lang w:val="en-GB"/>
              </w:rPr>
              <w:t>also means reducing energy dependency, which will contribute not only to the achievement of environmental and climate objectives, but also an increase in security of energy supply and other positive national economic effects. First and foremost, efforts wi</w:t>
            </w:r>
            <w:r w:rsidRPr="00A66F03">
              <w:rPr>
                <w:rFonts w:ascii="Times New Roman" w:eastAsia="Times New Roman" w:hAnsi="Times New Roman" w:cs="Times New Roman"/>
                <w:lang w:val="en-GB"/>
              </w:rPr>
              <w:t>ll be made to encourage the use of solar and wind energy. Biomass will be used for energy purposes in line with sustainable principles of biomass use (mainly waste wood for heating and cogeneration) and measures to ensure adequate air quality, especially i</w:t>
            </w:r>
            <w:r w:rsidRPr="00A66F03">
              <w:rPr>
                <w:rFonts w:ascii="Times New Roman" w:eastAsia="Times New Roman" w:hAnsi="Times New Roman" w:cs="Times New Roman"/>
                <w:lang w:val="en-GB"/>
              </w:rPr>
              <w:t>n densely populated and urban areas, and with the possible promotion of the cascading principle of biomass use, according to which residues are only used for energy purposes as a last resort (i.e. the use of residues which do not have any uses other than f</w:t>
            </w:r>
            <w:r w:rsidRPr="00A66F03">
              <w:rPr>
                <w:rFonts w:ascii="Times New Roman" w:eastAsia="Times New Roman" w:hAnsi="Times New Roman" w:cs="Times New Roman"/>
                <w:lang w:val="en-GB"/>
              </w:rPr>
              <w:t>or incineration). In the non-ETS, buildings accounted for 10.1% of all non-ETS emissions in 2019, with the public sector lagging behind the end-use energy and CO</w:t>
            </w:r>
            <w:r w:rsidRPr="00A66F03">
              <w:rPr>
                <w:rFonts w:ascii="Times New Roman" w:eastAsia="Times New Roman" w:hAnsi="Times New Roman" w:cs="Times New Roman"/>
                <w:vertAlign w:val="subscript"/>
                <w:lang w:val="en-GB"/>
              </w:rPr>
              <w:t>2</w:t>
            </w:r>
            <w:r w:rsidRPr="00A66F03">
              <w:rPr>
                <w:rFonts w:ascii="Times New Roman" w:eastAsia="Times New Roman" w:hAnsi="Times New Roman" w:cs="Times New Roman"/>
                <w:lang w:val="en-GB"/>
              </w:rPr>
              <w:t xml:space="preserve"> reduction targets. Only 38% of the planned area will be renovated in the central government s</w:t>
            </w:r>
            <w:r w:rsidRPr="00A66F03">
              <w:rPr>
                <w:rFonts w:ascii="Times New Roman" w:eastAsia="Times New Roman" w:hAnsi="Times New Roman" w:cs="Times New Roman"/>
                <w:lang w:val="en-GB"/>
              </w:rPr>
              <w:t>ector in the 2014–2023 period. In line with the guidelines of the Long-Term Strategy for the Energy Renovation of Buildings to 2050, the energy renovation of buildings in this part of the public sector will need to be maximised if the target of 3% of the t</w:t>
            </w:r>
            <w:r w:rsidRPr="00A66F03">
              <w:rPr>
                <w:rFonts w:ascii="Times New Roman" w:eastAsia="Times New Roman" w:hAnsi="Times New Roman" w:cs="Times New Roman"/>
                <w:lang w:val="en-GB"/>
              </w:rPr>
              <w:t>otal floor area is to be reached. Calculations for the 2013–2019 period show that the ESCR accounted for 62% of renovated buildings owned by municipalities and the WSCR for 38%.</w:t>
            </w:r>
            <w:r w:rsidRPr="00A66F03">
              <w:rPr>
                <w:rStyle w:val="Sprotnaopomba-sklic"/>
                <w:rFonts w:ascii="Times New Roman" w:eastAsia="Times New Roman" w:hAnsi="Times New Roman" w:cs="Times New Roman"/>
                <w:lang w:val="en-GB"/>
              </w:rPr>
              <w:footnoteReference w:id="26"/>
            </w:r>
            <w:r w:rsidRPr="00A66F03">
              <w:rPr>
                <w:rFonts w:ascii="Times New Roman" w:eastAsia="Times New Roman" w:hAnsi="Times New Roman" w:cs="Times New Roman"/>
                <w:lang w:val="en-GB"/>
              </w:rPr>
              <w:t xml:space="preserve"> </w:t>
            </w:r>
          </w:p>
          <w:p w14:paraId="6FAA0EDB" w14:textId="77777777" w:rsidR="00CC28C7" w:rsidRPr="00A66F03" w:rsidRDefault="00CC28C7" w:rsidP="00B72629">
            <w:pPr>
              <w:spacing w:after="0" w:line="276" w:lineRule="auto"/>
              <w:ind w:right="195"/>
              <w:jc w:val="both"/>
              <w:rPr>
                <w:rFonts w:ascii="Times New Roman" w:eastAsia="Times New Roman" w:hAnsi="Times New Roman" w:cs="Times New Roman"/>
                <w:lang w:val="en-GB"/>
              </w:rPr>
            </w:pPr>
          </w:p>
          <w:p w14:paraId="6A08DBFF" w14:textId="77777777" w:rsidR="00CC28C7" w:rsidRPr="00A66F03" w:rsidRDefault="00976636" w:rsidP="00B72629">
            <w:pPr>
              <w:spacing w:after="0" w:line="276" w:lineRule="auto"/>
              <w:ind w:right="195"/>
              <w:jc w:val="both"/>
              <w:rPr>
                <w:rFonts w:ascii="Times New Roman" w:eastAsia="Times New Roman" w:hAnsi="Times New Roman" w:cs="Times New Roman"/>
                <w:b/>
                <w:lang w:val="en-GB"/>
              </w:rPr>
            </w:pPr>
            <w:r w:rsidRPr="00A66F03">
              <w:rPr>
                <w:rFonts w:ascii="Times New Roman" w:eastAsia="Times New Roman" w:hAnsi="Times New Roman" w:cs="Times New Roman"/>
                <w:b/>
                <w:bCs/>
                <w:lang w:val="en-GB"/>
              </w:rPr>
              <w:t>Circular economy</w:t>
            </w:r>
          </w:p>
          <w:p w14:paraId="70ECA9F7" w14:textId="77777777" w:rsidR="00193AC8" w:rsidRPr="00A66F03" w:rsidRDefault="00976636" w:rsidP="00B72629">
            <w:pPr>
              <w:spacing w:after="0" w:line="276" w:lineRule="auto"/>
              <w:ind w:right="195"/>
              <w:jc w:val="both"/>
              <w:rPr>
                <w:rFonts w:ascii="Times New Roman" w:eastAsia="Times New Roman" w:hAnsi="Times New Roman" w:cs="Times New Roman"/>
                <w:bCs/>
                <w:lang w:val="en-GB"/>
              </w:rPr>
            </w:pPr>
            <w:r w:rsidRPr="00A66F03">
              <w:rPr>
                <w:rFonts w:ascii="Times New Roman" w:eastAsia="Times New Roman" w:hAnsi="Times New Roman" w:cs="Times New Roman"/>
                <w:lang w:val="en-GB"/>
              </w:rPr>
              <w:t>Slovenia used 5.4% fewer materials in 2019 than the year b</w:t>
            </w:r>
            <w:r w:rsidRPr="00A66F03">
              <w:rPr>
                <w:rFonts w:ascii="Times New Roman" w:eastAsia="Times New Roman" w:hAnsi="Times New Roman" w:cs="Times New Roman"/>
                <w:lang w:val="en-GB"/>
              </w:rPr>
              <w:t>efore.</w:t>
            </w:r>
            <w:r w:rsidRPr="00A66F03">
              <w:rPr>
                <w:rFonts w:ascii="Times New Roman" w:eastAsia="Times New Roman" w:hAnsi="Times New Roman" w:cs="Times New Roman"/>
                <w:vertAlign w:val="superscript"/>
                <w:lang w:val="en-GB"/>
              </w:rPr>
              <w:footnoteReference w:id="27"/>
            </w:r>
            <w:r w:rsidRPr="00A66F03">
              <w:rPr>
                <w:rFonts w:ascii="Times New Roman" w:eastAsia="Times New Roman" w:hAnsi="Times New Roman" w:cs="Times New Roman"/>
                <w:lang w:val="en-GB"/>
              </w:rPr>
              <w:t xml:space="preserve"> Despite the improvement in resource productivity in 2019 (2.07 PPS/kg), the country still lags behind the EU </w:t>
            </w:r>
            <w:r w:rsidRPr="00A66F03">
              <w:rPr>
                <w:rFonts w:ascii="Times New Roman" w:eastAsia="Times New Roman" w:hAnsi="Times New Roman" w:cs="Times New Roman"/>
                <w:lang w:val="en-GB"/>
              </w:rPr>
              <w:lastRenderedPageBreak/>
              <w:t>average in this area by six percentage points.</w:t>
            </w:r>
            <w:r w:rsidRPr="00A66F03">
              <w:rPr>
                <w:rFonts w:ascii="Times New Roman" w:eastAsia="Times New Roman" w:hAnsi="Times New Roman" w:cs="Times New Roman"/>
                <w:vertAlign w:val="superscript"/>
                <w:lang w:val="en-GB"/>
              </w:rPr>
              <w:footnoteReference w:id="28"/>
            </w:r>
            <w:r w:rsidRPr="00A66F03">
              <w:rPr>
                <w:rFonts w:ascii="Times New Roman" w:eastAsia="Times New Roman" w:hAnsi="Times New Roman" w:cs="Times New Roman"/>
                <w:lang w:val="en-GB"/>
              </w:rPr>
              <w:t xml:space="preserve"> The carbon intensity rate is also falling more slowly in Slovenia than in the EU as a whole</w:t>
            </w:r>
            <w:r w:rsidRPr="00A66F03">
              <w:rPr>
                <w:rFonts w:ascii="Times New Roman" w:eastAsia="Times New Roman" w:hAnsi="Times New Roman" w:cs="Times New Roman"/>
                <w:vertAlign w:val="superscript"/>
                <w:lang w:val="en-GB"/>
              </w:rPr>
              <w:footnoteReference w:id="29"/>
            </w:r>
            <w:r w:rsidRPr="00A66F03">
              <w:rPr>
                <w:rFonts w:ascii="Times New Roman" w:eastAsia="Times New Roman" w:hAnsi="Times New Roman" w:cs="Times New Roman"/>
                <w:lang w:val="en-GB"/>
              </w:rPr>
              <w:t xml:space="preserve"> (between 2013 and 2017 it improved from 0.52 to 0.42 of the EU average), while the country was in the bottom quarter of Member States when it came to emissions productivity in 2018, lagging behind the EU average by 13.1 percentage points.</w:t>
            </w:r>
            <w:r w:rsidRPr="00A66F03">
              <w:rPr>
                <w:rStyle w:val="Sprotnaopomba-sklic"/>
                <w:rFonts w:ascii="Times New Roman" w:eastAsia="Times New Roman" w:hAnsi="Times New Roman" w:cs="Times New Roman"/>
                <w:lang w:val="en-GB"/>
              </w:rPr>
              <w:footnoteReference w:id="30"/>
            </w:r>
            <w:r w:rsidRPr="00A66F03">
              <w:rPr>
                <w:rFonts w:ascii="Times New Roman" w:eastAsia="Times New Roman" w:hAnsi="Times New Roman" w:cs="Times New Roman"/>
                <w:lang w:val="en-GB"/>
              </w:rPr>
              <w:t xml:space="preserve"> Total waste fr</w:t>
            </w:r>
            <w:r w:rsidRPr="00A66F03">
              <w:rPr>
                <w:rFonts w:ascii="Times New Roman" w:eastAsia="Times New Roman" w:hAnsi="Times New Roman" w:cs="Times New Roman"/>
                <w:lang w:val="en-GB"/>
              </w:rPr>
              <w:t>om manufacturing and service activities accounted for around nine-tenths of the total volume in 2019.</w:t>
            </w:r>
            <w:r w:rsidRPr="00A66F03">
              <w:rPr>
                <w:rFonts w:ascii="Times New Roman" w:eastAsia="Times New Roman" w:hAnsi="Times New Roman" w:cs="Times New Roman"/>
                <w:vertAlign w:val="superscript"/>
                <w:lang w:val="en-GB"/>
              </w:rPr>
              <w:footnoteReference w:id="31"/>
            </w:r>
            <w:r w:rsidRPr="00A66F03">
              <w:rPr>
                <w:rFonts w:ascii="Times New Roman" w:eastAsia="Times New Roman" w:hAnsi="Times New Roman" w:cs="Times New Roman"/>
                <w:lang w:val="en-GB"/>
              </w:rPr>
              <w:t xml:space="preserve"> The WSCR generated 523 kg and the ESCR 462 kg of municipal waste per inhabitant in 2020.</w:t>
            </w:r>
            <w:r w:rsidRPr="00A66F03">
              <w:rPr>
                <w:rStyle w:val="Sprotnaopomba-sklic"/>
                <w:rFonts w:ascii="Times New Roman" w:eastAsia="Times New Roman" w:hAnsi="Times New Roman" w:cs="Times New Roman"/>
                <w:lang w:val="en-GB"/>
              </w:rPr>
              <w:footnoteReference w:id="32"/>
            </w:r>
            <w:r w:rsidRPr="00A66F03">
              <w:rPr>
                <w:rFonts w:ascii="Times New Roman" w:eastAsia="Times New Roman" w:hAnsi="Times New Roman" w:cs="Times New Roman"/>
                <w:lang w:val="en-GB"/>
              </w:rPr>
              <w:t xml:space="preserve"> In 2019 around 34,800 tonnes of sludge from municipal and joint</w:t>
            </w:r>
            <w:r w:rsidRPr="00A66F03">
              <w:rPr>
                <w:rFonts w:ascii="Times New Roman" w:eastAsia="Times New Roman" w:hAnsi="Times New Roman" w:cs="Times New Roman"/>
                <w:lang w:val="en-GB"/>
              </w:rPr>
              <w:t xml:space="preserve"> treatment plants were generated (expressed as tonnes of dry matter).</w:t>
            </w:r>
            <w:r w:rsidRPr="00A66F03">
              <w:rPr>
                <w:rStyle w:val="Sprotnaopomba-sklic"/>
                <w:rFonts w:ascii="Times New Roman" w:eastAsia="Times New Roman" w:hAnsi="Times New Roman" w:cs="Times New Roman"/>
                <w:lang w:val="en-GB"/>
              </w:rPr>
              <w:footnoteReference w:id="33"/>
            </w:r>
            <w:r w:rsidRPr="00A66F03">
              <w:rPr>
                <w:rFonts w:ascii="Times New Roman" w:eastAsia="Times New Roman" w:hAnsi="Times New Roman" w:cs="Times New Roman"/>
                <w:lang w:val="en-GB"/>
              </w:rPr>
              <w:t xml:space="preserve"> Slovenia continues to be faced with the problem of a lack of capacity to handle such waste and a lack of all the necessary infrastructure for subsequent material recovery of phosphorus </w:t>
            </w:r>
            <w:r w:rsidRPr="00A66F03">
              <w:rPr>
                <w:rFonts w:ascii="Times New Roman" w:eastAsia="Times New Roman" w:hAnsi="Times New Roman" w:cs="Times New Roman"/>
                <w:lang w:val="en-GB"/>
              </w:rPr>
              <w:t>from phosphorus-rich ash. The EU already identified phosphate rock as a critical strategic raw material in 2014.</w:t>
            </w:r>
            <w:r w:rsidRPr="00A66F03">
              <w:rPr>
                <w:rStyle w:val="Sprotnaopomba-sklic"/>
                <w:rFonts w:ascii="Times New Roman" w:eastAsia="Times New Roman" w:hAnsi="Times New Roman" w:cs="Times New Roman"/>
                <w:lang w:val="en-GB"/>
              </w:rPr>
              <w:footnoteReference w:id="34"/>
            </w:r>
            <w:r w:rsidRPr="00A66F03">
              <w:rPr>
                <w:rFonts w:ascii="Times New Roman" w:eastAsia="Times New Roman" w:hAnsi="Times New Roman" w:cs="Times New Roman"/>
                <w:lang w:val="en-GB"/>
              </w:rPr>
              <w:t xml:space="preserve"> In comparison with the EU, Slovenia has a low rate of raw material circulation in the economy (EU 28: 12.4%, Slovenia: 11.4%).</w:t>
            </w:r>
            <w:r w:rsidRPr="00A66F03">
              <w:rPr>
                <w:rFonts w:ascii="Times New Roman" w:eastAsia="Times New Roman" w:hAnsi="Times New Roman" w:cs="Times New Roman"/>
                <w:vertAlign w:val="superscript"/>
                <w:lang w:val="en-GB"/>
              </w:rPr>
              <w:footnoteReference w:id="35"/>
            </w:r>
            <w:r w:rsidRPr="00A66F03">
              <w:rPr>
                <w:rFonts w:ascii="Times New Roman" w:eastAsia="Times New Roman" w:hAnsi="Times New Roman" w:cs="Times New Roman"/>
                <w:lang w:val="en-GB"/>
              </w:rPr>
              <w:t xml:space="preserve"> There are also</w:t>
            </w:r>
            <w:r w:rsidRPr="00A66F03">
              <w:rPr>
                <w:rFonts w:ascii="Times New Roman" w:eastAsia="Times New Roman" w:hAnsi="Times New Roman" w:cs="Times New Roman"/>
                <w:lang w:val="en-GB"/>
              </w:rPr>
              <w:t xml:space="preserve"> opportunities to apply circular economy principles in the commercial maritime fisheries sector, as the country has innovative recycling technology for waste fishing gear containing Polyamide 6. </w:t>
            </w:r>
          </w:p>
          <w:p w14:paraId="42414AE3" w14:textId="77777777" w:rsidR="00CC28C7" w:rsidRPr="00A66F03" w:rsidRDefault="00CC28C7" w:rsidP="00B72629">
            <w:pPr>
              <w:spacing w:after="0" w:line="276" w:lineRule="auto"/>
              <w:ind w:right="195"/>
              <w:jc w:val="both"/>
              <w:rPr>
                <w:rFonts w:ascii="Times New Roman" w:eastAsia="Times New Roman" w:hAnsi="Times New Roman" w:cs="Times New Roman"/>
                <w:lang w:val="en-GB"/>
              </w:rPr>
            </w:pPr>
          </w:p>
          <w:p w14:paraId="5DE2BE81" w14:textId="77777777" w:rsidR="00CC28C7" w:rsidRPr="00A66F03" w:rsidRDefault="00976636" w:rsidP="00B72629">
            <w:pPr>
              <w:spacing w:after="0" w:line="276" w:lineRule="auto"/>
              <w:ind w:right="195"/>
              <w:jc w:val="both"/>
              <w:rPr>
                <w:rFonts w:ascii="Times New Roman" w:eastAsia="Times New Roman" w:hAnsi="Times New Roman" w:cs="Times New Roman"/>
                <w:b/>
                <w:lang w:val="en-GB"/>
              </w:rPr>
            </w:pPr>
            <w:r w:rsidRPr="00A66F03">
              <w:rPr>
                <w:rFonts w:ascii="Times New Roman" w:eastAsia="Times New Roman" w:hAnsi="Times New Roman" w:cs="Times New Roman"/>
                <w:b/>
                <w:bCs/>
                <w:lang w:val="en-GB"/>
              </w:rPr>
              <w:t>Environmental infrastructure</w:t>
            </w:r>
          </w:p>
          <w:p w14:paraId="5EB3451C" w14:textId="77777777" w:rsidR="00CC28C7" w:rsidRPr="00A66F03" w:rsidRDefault="00976636" w:rsidP="00B72629">
            <w:pPr>
              <w:spacing w:after="0" w:line="276" w:lineRule="auto"/>
              <w:ind w:right="195"/>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t>There are still areas in Slove</w:t>
            </w:r>
            <w:r w:rsidRPr="00A66F03">
              <w:rPr>
                <w:rFonts w:ascii="Times New Roman" w:eastAsia="Times New Roman" w:hAnsi="Times New Roman" w:cs="Times New Roman"/>
                <w:lang w:val="en-GB"/>
              </w:rPr>
              <w:t>nia where the public drinking water supply system and the urban waste water drainage and treatment system has not yet been built or is inadequate. In the ESCR in 2020, 74% of waste water was treated (secondary and tertiary treatment). This figure was 58% i</w:t>
            </w:r>
            <w:r w:rsidRPr="00A66F03">
              <w:rPr>
                <w:rFonts w:ascii="Times New Roman" w:eastAsia="Times New Roman" w:hAnsi="Times New Roman" w:cs="Times New Roman"/>
                <w:lang w:val="en-GB"/>
              </w:rPr>
              <w:t>n the WSCR.</w:t>
            </w:r>
            <w:r w:rsidRPr="00A66F03">
              <w:rPr>
                <w:rStyle w:val="Sprotnaopomba-sklic"/>
                <w:rFonts w:ascii="Times New Roman" w:eastAsia="Times New Roman" w:hAnsi="Times New Roman" w:cs="Times New Roman"/>
                <w:lang w:val="en-GB"/>
              </w:rPr>
              <w:footnoteReference w:id="36"/>
            </w:r>
            <w:r w:rsidRPr="00A66F03">
              <w:rPr>
                <w:rFonts w:ascii="Times New Roman" w:eastAsia="Times New Roman" w:hAnsi="Times New Roman" w:cs="Times New Roman"/>
                <w:lang w:val="en-GB"/>
              </w:rPr>
              <w:t xml:space="preserve"> Despite extensive investments in the construction of waste water drainage and treatment systems, Slovenia does not yet comply with the requirements of the Urban Waste Water Treatment Directive. Data shows that, as far as drinking water supply </w:t>
            </w:r>
            <w:r w:rsidRPr="00A66F03">
              <w:rPr>
                <w:rFonts w:ascii="Times New Roman" w:eastAsia="Times New Roman" w:hAnsi="Times New Roman" w:cs="Times New Roman"/>
                <w:lang w:val="en-GB"/>
              </w:rPr>
              <w:t xml:space="preserve">is concerned, special attention should be paid to the provision of back-up water resources and the replacement of old and obsolescent systems, as water losses in the water </w:t>
            </w:r>
            <w:r w:rsidRPr="00A66F03">
              <w:rPr>
                <w:rFonts w:ascii="Times New Roman" w:eastAsia="Times New Roman" w:hAnsi="Times New Roman" w:cs="Times New Roman"/>
                <w:lang w:val="en-GB"/>
              </w:rPr>
              <w:lastRenderedPageBreak/>
              <w:t xml:space="preserve">supply network are problematic and amounted to 27% nationally in 2020 (28.3% in the </w:t>
            </w:r>
            <w:r w:rsidRPr="00A66F03">
              <w:rPr>
                <w:rFonts w:ascii="Times New Roman" w:eastAsia="Times New Roman" w:hAnsi="Times New Roman" w:cs="Times New Roman"/>
                <w:lang w:val="en-GB"/>
              </w:rPr>
              <w:t>WSCR and 26.8% in the ESCR).</w:t>
            </w:r>
            <w:r w:rsidRPr="00A66F03">
              <w:rPr>
                <w:rFonts w:ascii="Times New Roman" w:eastAsia="Times New Roman" w:hAnsi="Times New Roman" w:cs="Times New Roman"/>
                <w:vertAlign w:val="superscript"/>
                <w:lang w:val="en-GB"/>
              </w:rPr>
              <w:footnoteReference w:id="37"/>
            </w:r>
            <w:r w:rsidRPr="00A66F03">
              <w:rPr>
                <w:rFonts w:ascii="Times New Roman" w:eastAsia="Times New Roman" w:hAnsi="Times New Roman" w:cs="Times New Roman"/>
                <w:lang w:val="en-GB"/>
              </w:rPr>
              <w:t xml:space="preserve"> </w:t>
            </w:r>
          </w:p>
          <w:p w14:paraId="1E6F32BE" w14:textId="77777777" w:rsidR="007664B4" w:rsidRPr="00A66F03" w:rsidRDefault="007664B4" w:rsidP="00B72629">
            <w:pPr>
              <w:spacing w:after="0" w:line="276" w:lineRule="auto"/>
              <w:ind w:right="195"/>
              <w:jc w:val="both"/>
              <w:rPr>
                <w:rFonts w:ascii="Times New Roman" w:eastAsia="Times New Roman" w:hAnsi="Times New Roman" w:cs="Times New Roman"/>
                <w:lang w:val="en-GB"/>
              </w:rPr>
            </w:pPr>
          </w:p>
          <w:p w14:paraId="2AFA6842" w14:textId="77777777" w:rsidR="00CC28C7" w:rsidRPr="00A66F03" w:rsidRDefault="00976636" w:rsidP="00B72629">
            <w:pPr>
              <w:spacing w:after="0" w:line="276" w:lineRule="auto"/>
              <w:ind w:right="195"/>
              <w:jc w:val="both"/>
              <w:rPr>
                <w:rFonts w:ascii="Times New Roman" w:eastAsia="Times New Roman" w:hAnsi="Times New Roman" w:cs="Times New Roman"/>
                <w:b/>
                <w:lang w:val="en-GB"/>
              </w:rPr>
            </w:pPr>
            <w:r w:rsidRPr="00A66F03">
              <w:rPr>
                <w:rFonts w:ascii="Times New Roman" w:eastAsia="Times New Roman" w:hAnsi="Times New Roman" w:cs="Times New Roman"/>
                <w:b/>
                <w:bCs/>
                <w:lang w:val="en-GB"/>
              </w:rPr>
              <w:t>Adaptation to climate change</w:t>
            </w:r>
          </w:p>
          <w:p w14:paraId="637E7F85" w14:textId="77777777" w:rsidR="00AD3EF6" w:rsidRPr="00A66F03" w:rsidRDefault="00976636" w:rsidP="00B72629">
            <w:pPr>
              <w:spacing w:after="0" w:line="276" w:lineRule="auto"/>
              <w:ind w:right="195"/>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t xml:space="preserve">Disasters, whose magnitude, incidence and impact are all increasing as a result of climate change (‘climate-related disasters’), caused EUR 2.66 billion of damage in Slovenia between 2008 and </w:t>
            </w:r>
            <w:r w:rsidRPr="00A66F03">
              <w:rPr>
                <w:rFonts w:ascii="Times New Roman" w:eastAsia="Times New Roman" w:hAnsi="Times New Roman" w:cs="Times New Roman"/>
                <w:lang w:val="en-GB"/>
              </w:rPr>
              <w:t>2020.</w:t>
            </w:r>
            <w:r w:rsidRPr="00A66F03">
              <w:rPr>
                <w:rStyle w:val="Sprotnaopomba-sklic"/>
                <w:rFonts w:ascii="Times New Roman" w:eastAsia="Times New Roman" w:hAnsi="Times New Roman" w:cs="Times New Roman"/>
                <w:lang w:val="en-GB"/>
              </w:rPr>
              <w:footnoteReference w:id="38"/>
            </w:r>
            <w:r w:rsidRPr="00A66F03">
              <w:rPr>
                <w:rFonts w:ascii="Times New Roman" w:eastAsia="Times New Roman" w:hAnsi="Times New Roman" w:cs="Times New Roman"/>
                <w:lang w:val="en-GB"/>
              </w:rPr>
              <w:t xml:space="preserve"> Climate change is also affecting the frequency, extent and incidence of large-scale wildfires, as well as storms, ice storms and other weather-related phenomena. Expert analyses predict that these will increase and spread from areas in which they tr</w:t>
            </w:r>
            <w:r w:rsidRPr="00A66F03">
              <w:rPr>
                <w:rFonts w:ascii="Times New Roman" w:eastAsia="Times New Roman" w:hAnsi="Times New Roman" w:cs="Times New Roman"/>
                <w:lang w:val="en-GB"/>
              </w:rPr>
              <w:t>aditionally occur,</w:t>
            </w:r>
            <w:r w:rsidRPr="00A66F03">
              <w:rPr>
                <w:rStyle w:val="Sprotnaopomba-sklic"/>
                <w:rFonts w:ascii="Times New Roman" w:eastAsia="Times New Roman" w:hAnsi="Times New Roman" w:cs="Times New Roman"/>
                <w:lang w:val="en-GB"/>
              </w:rPr>
              <w:footnoteReference w:id="39"/>
            </w:r>
            <w:r w:rsidRPr="00A66F03">
              <w:rPr>
                <w:rFonts w:ascii="Times New Roman" w:eastAsia="Times New Roman" w:hAnsi="Times New Roman" w:cs="Times New Roman"/>
                <w:lang w:val="en-GB"/>
              </w:rPr>
              <w:t xml:space="preserve"> meaning that preparations have to be made to deal with this.</w:t>
            </w:r>
          </w:p>
          <w:p w14:paraId="06EEFF77" w14:textId="77777777" w:rsidR="00467152" w:rsidRPr="00A66F03" w:rsidRDefault="00976636" w:rsidP="00B72629">
            <w:pPr>
              <w:spacing w:after="0" w:line="276" w:lineRule="auto"/>
              <w:ind w:right="195"/>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t>Floods (damage of EUR 1.64 billion), ice storms (damage of EUR 0.7 billion, with the ice storm of 2014 causing damage of around EUR 0.43 billion and other storms causing damag</w:t>
            </w:r>
            <w:r w:rsidRPr="00A66F03">
              <w:rPr>
                <w:rFonts w:ascii="Times New Roman" w:eastAsia="Times New Roman" w:hAnsi="Times New Roman" w:cs="Times New Roman"/>
                <w:lang w:val="en-GB"/>
              </w:rPr>
              <w:t>e of around EUR 0.3 billion) and large-scale wildfires, which cause less damage because they destroy less infrastructure but are nevertheless fairly frequent and incur high emergency intervention costs (EUR 0.25 million in the case of three fires), present</w:t>
            </w:r>
            <w:r w:rsidRPr="00A66F03">
              <w:rPr>
                <w:rFonts w:ascii="Times New Roman" w:eastAsia="Times New Roman" w:hAnsi="Times New Roman" w:cs="Times New Roman"/>
                <w:lang w:val="en-GB"/>
              </w:rPr>
              <w:t xml:space="preserve"> the highest or a high risk.</w:t>
            </w:r>
            <w:r w:rsidRPr="00A66F03">
              <w:rPr>
                <w:rStyle w:val="Sprotnaopomba-sklic"/>
                <w:rFonts w:ascii="Times New Roman" w:eastAsia="Times New Roman" w:hAnsi="Times New Roman" w:cs="Times New Roman"/>
                <w:lang w:val="en-GB"/>
              </w:rPr>
              <w:footnoteReference w:id="40"/>
            </w:r>
            <w:r w:rsidRPr="00A66F03">
              <w:rPr>
                <w:rFonts w:ascii="Times New Roman" w:eastAsia="Times New Roman" w:hAnsi="Times New Roman" w:cs="Times New Roman"/>
                <w:lang w:val="en-GB"/>
              </w:rPr>
              <w:t xml:space="preserve"> These are events that have caused 88% of all damage caused by climate-related disasters over the past 12 years. Despite preventive activities, Slovenia is not achieving the expected results in this area, as such accidents cann</w:t>
            </w:r>
            <w:r w:rsidRPr="00A66F03">
              <w:rPr>
                <w:rFonts w:ascii="Times New Roman" w:eastAsia="Times New Roman" w:hAnsi="Times New Roman" w:cs="Times New Roman"/>
                <w:lang w:val="en-GB"/>
              </w:rPr>
              <w:t>ot be fully prevented or minimised. It is crucial to ensure that a comprehensive approach is in place to manage such disasters, consisting of the balanced implementation of preventive measures (including the monitoring and forecasting of extreme weather ev</w:t>
            </w:r>
            <w:r w:rsidRPr="00A66F03">
              <w:rPr>
                <w:rFonts w:ascii="Times New Roman" w:eastAsia="Times New Roman" w:hAnsi="Times New Roman" w:cs="Times New Roman"/>
                <w:lang w:val="en-GB"/>
              </w:rPr>
              <w:t>ents and the implementation of preparedness measures and rapid and effective response in the event of the occurrence of such disasters, which helps to minimise their impact or damage and thereby contributes to faster recovery). The preliminary flood risk a</w:t>
            </w:r>
            <w:r w:rsidRPr="00A66F03">
              <w:rPr>
                <w:rFonts w:ascii="Times New Roman" w:eastAsia="Times New Roman" w:hAnsi="Times New Roman" w:cs="Times New Roman"/>
                <w:lang w:val="en-GB"/>
              </w:rPr>
              <w:t>ssessment for Slovenia</w:t>
            </w:r>
            <w:r w:rsidRPr="00A66F03">
              <w:rPr>
                <w:rFonts w:ascii="Times New Roman" w:eastAsia="Times New Roman" w:hAnsi="Times New Roman" w:cs="Times New Roman"/>
                <w:vertAlign w:val="superscript"/>
                <w:lang w:val="en-GB"/>
              </w:rPr>
              <w:footnoteReference w:id="41"/>
            </w:r>
            <w:r w:rsidRPr="00A66F03">
              <w:rPr>
                <w:rFonts w:ascii="Times New Roman" w:eastAsia="Times New Roman" w:hAnsi="Times New Roman" w:cs="Times New Roman"/>
                <w:lang w:val="en-GB"/>
              </w:rPr>
              <w:t xml:space="preserve"> identifies 86 areas of significant flood impact, and </w:t>
            </w:r>
            <w:r w:rsidRPr="00A66F03">
              <w:rPr>
                <w:rFonts w:ascii="Times New Roman" w:eastAsia="Times New Roman" w:hAnsi="Times New Roman" w:cs="Times New Roman"/>
                <w:lang w:val="en-GB"/>
              </w:rPr>
              <w:lastRenderedPageBreak/>
              <w:t>the flood risk may further increase in future as a result of climate change.</w:t>
            </w:r>
            <w:r w:rsidRPr="00A66F03">
              <w:rPr>
                <w:rFonts w:ascii="Times New Roman" w:eastAsia="Times New Roman" w:hAnsi="Times New Roman" w:cs="Times New Roman"/>
                <w:vertAlign w:val="superscript"/>
                <w:lang w:val="en-GB"/>
              </w:rPr>
              <w:footnoteReference w:id="42"/>
            </w:r>
            <w:r w:rsidRPr="00A66F03">
              <w:rPr>
                <w:rFonts w:ascii="Times New Roman" w:eastAsia="Times New Roman" w:hAnsi="Times New Roman" w:cs="Times New Roman"/>
                <w:lang w:val="en-GB"/>
              </w:rPr>
              <w:t xml:space="preserve"> The aquaculture sector is also increasingly faced with problems related to longer periods of drought </w:t>
            </w:r>
            <w:r w:rsidRPr="00A66F03">
              <w:rPr>
                <w:rFonts w:ascii="Times New Roman" w:eastAsia="Times New Roman" w:hAnsi="Times New Roman" w:cs="Times New Roman"/>
                <w:lang w:val="en-GB"/>
              </w:rPr>
              <w:t>and the provision of ecologically acceptable flow. The equipment used by most fish farms has not yet been well adapted to deal with these problems. Climate change is also causing problems at sea. The sea level has risen by 10 centimetres since 1993</w:t>
            </w:r>
            <w:r w:rsidRPr="00A66F03">
              <w:rPr>
                <w:rStyle w:val="Sprotnaopomba-sklic"/>
                <w:rFonts w:ascii="Times New Roman" w:eastAsia="Times New Roman" w:hAnsi="Times New Roman" w:cs="Times New Roman"/>
                <w:lang w:val="en-GB"/>
              </w:rPr>
              <w:footnoteReference w:id="43"/>
            </w:r>
            <w:r w:rsidRPr="00A66F03">
              <w:rPr>
                <w:rFonts w:ascii="Times New Roman" w:eastAsia="Times New Roman" w:hAnsi="Times New Roman" w:cs="Times New Roman"/>
                <w:lang w:val="en-GB"/>
              </w:rPr>
              <w:t xml:space="preserve"> and, a</w:t>
            </w:r>
            <w:r w:rsidRPr="00A66F03">
              <w:rPr>
                <w:rFonts w:ascii="Times New Roman" w:eastAsia="Times New Roman" w:hAnsi="Times New Roman" w:cs="Times New Roman"/>
                <w:lang w:val="en-GB"/>
              </w:rPr>
              <w:t xml:space="preserve">s a result, the country is faced with increasingly more frequent flooding in coastal towns. </w:t>
            </w:r>
          </w:p>
          <w:p w14:paraId="19CB2C29" w14:textId="77777777" w:rsidR="00CC28C7" w:rsidRPr="00A66F03" w:rsidRDefault="00CC28C7" w:rsidP="00B72629">
            <w:pPr>
              <w:spacing w:after="0" w:line="276" w:lineRule="auto"/>
              <w:ind w:right="195"/>
              <w:jc w:val="both"/>
              <w:rPr>
                <w:rFonts w:ascii="Times New Roman" w:eastAsia="Times New Roman" w:hAnsi="Times New Roman" w:cs="Times New Roman"/>
                <w:lang w:val="en-GB"/>
              </w:rPr>
            </w:pPr>
          </w:p>
          <w:p w14:paraId="2269CFA7" w14:textId="77777777" w:rsidR="00CC28C7" w:rsidRPr="00A66F03" w:rsidRDefault="00976636" w:rsidP="00B72629">
            <w:pPr>
              <w:spacing w:after="0" w:line="276" w:lineRule="auto"/>
              <w:ind w:right="195"/>
              <w:jc w:val="both"/>
              <w:rPr>
                <w:rFonts w:ascii="Times New Roman" w:eastAsia="Times New Roman" w:hAnsi="Times New Roman" w:cs="Times New Roman"/>
                <w:b/>
                <w:lang w:val="en-GB"/>
              </w:rPr>
            </w:pPr>
            <w:r w:rsidRPr="00A66F03">
              <w:rPr>
                <w:rFonts w:ascii="Times New Roman" w:eastAsia="Times New Roman" w:hAnsi="Times New Roman" w:cs="Times New Roman"/>
                <w:b/>
                <w:bCs/>
                <w:lang w:val="en-GB"/>
              </w:rPr>
              <w:t>Preserving biodiversity</w:t>
            </w:r>
          </w:p>
          <w:p w14:paraId="504FFA55" w14:textId="77777777" w:rsidR="00467152" w:rsidRPr="00A66F03" w:rsidRDefault="00976636" w:rsidP="00B72629">
            <w:pPr>
              <w:spacing w:after="0" w:line="276" w:lineRule="auto"/>
              <w:ind w:right="195"/>
              <w:jc w:val="both"/>
              <w:rPr>
                <w:rFonts w:ascii="Times New Roman" w:eastAsia="Times New Roman" w:hAnsi="Times New Roman" w:cs="Times New Roman"/>
                <w:lang w:val="en-GB"/>
              </w:rPr>
            </w:pPr>
            <w:r w:rsidRPr="00A66F03">
              <w:rPr>
                <w:rFonts w:ascii="Times New Roman" w:hAnsi="Times New Roman"/>
                <w:lang w:val="en-GB"/>
              </w:rPr>
              <w:t xml:space="preserve">Slovenia has one of the highest shares of areas protected by Natura 2000 status in the EU. In Slovenia in 2019, the majority of plant and </w:t>
            </w:r>
            <w:r w:rsidRPr="00A66F03">
              <w:rPr>
                <w:rFonts w:ascii="Times New Roman" w:hAnsi="Times New Roman"/>
                <w:lang w:val="en-GB"/>
              </w:rPr>
              <w:t>animal species were in an insufficient (38%) or poor (14%) state, and less than 30% were in a favourable state. In terms of habitat types, 38% were in a favourable state, 32% were in an insufficient state and 30% were in a poor state.</w:t>
            </w:r>
            <w:r w:rsidRPr="00A66F03">
              <w:rPr>
                <w:vertAlign w:val="superscript"/>
                <w:lang w:val="en-GB"/>
              </w:rPr>
              <w:footnoteReference w:id="44"/>
            </w:r>
            <w:r w:rsidRPr="00A66F03">
              <w:rPr>
                <w:rFonts w:ascii="Times New Roman" w:hAnsi="Times New Roman"/>
                <w:lang w:val="en-GB"/>
              </w:rPr>
              <w:t xml:space="preserve"> Measures to improve </w:t>
            </w:r>
            <w:r w:rsidRPr="00A66F03">
              <w:rPr>
                <w:rFonts w:ascii="Times New Roman" w:hAnsi="Times New Roman"/>
                <w:lang w:val="en-GB"/>
              </w:rPr>
              <w:t>their state have been implemented with greater intensity since 2015. In addition to the public service of nature conservation throughout Slovenia and the management of natural resources, one important element in the management of Natura 2000 areas for achi</w:t>
            </w:r>
            <w:r w:rsidRPr="00A66F03">
              <w:rPr>
                <w:rFonts w:ascii="Times New Roman" w:hAnsi="Times New Roman"/>
                <w:lang w:val="en-GB"/>
              </w:rPr>
              <w:t>evement of the objectives of those areas is the management of national protected areas. In the last two years, we have also faced the challenges brought by measures to tackle the Covid-19 pandemic; as a result of restrictions of movement and travel, visits</w:t>
            </w:r>
            <w:r w:rsidRPr="00A66F03">
              <w:rPr>
                <w:rFonts w:ascii="Times New Roman" w:hAnsi="Times New Roman"/>
                <w:lang w:val="en-GB"/>
              </w:rPr>
              <w:t xml:space="preserve"> to nature conservation areas that were already under pressure, including Natura 2000 areas, have further increased. Many of these areas do not have adequately developed infrastructure that enable nature-friendly visits</w:t>
            </w:r>
            <w:r w:rsidRPr="00A66F03">
              <w:rPr>
                <w:lang w:val="en-GB"/>
              </w:rPr>
              <w:t>.</w:t>
            </w:r>
          </w:p>
          <w:p w14:paraId="27435F5B" w14:textId="77777777" w:rsidR="00467152" w:rsidRPr="00A66F03" w:rsidRDefault="00976636" w:rsidP="00B72629">
            <w:pPr>
              <w:spacing w:after="0" w:line="276" w:lineRule="auto"/>
              <w:ind w:right="195"/>
              <w:jc w:val="both"/>
              <w:rPr>
                <w:rFonts w:ascii="Times New Roman" w:eastAsia="Times New Roman" w:hAnsi="Times New Roman" w:cs="Times New Roman"/>
                <w:lang w:val="en-GB"/>
              </w:rPr>
            </w:pPr>
            <w:r w:rsidRPr="00A66F03">
              <w:rPr>
                <w:rFonts w:ascii="Times New Roman" w:hAnsi="Times New Roman" w:cs="Times New Roman"/>
                <w:lang w:val="en-GB"/>
              </w:rPr>
              <w:t xml:space="preserve">The Natura 2000 network includes 2.5% of Slovenia’s sea,  </w:t>
            </w:r>
          </w:p>
          <w:p w14:paraId="5EADDCAE" w14:textId="77777777" w:rsidR="00467152" w:rsidRPr="00A66F03" w:rsidRDefault="00976636" w:rsidP="00B72629">
            <w:pPr>
              <w:spacing w:after="0" w:line="276" w:lineRule="auto"/>
              <w:ind w:right="195"/>
              <w:jc w:val="both"/>
              <w:rPr>
                <w:rFonts w:ascii="Times New Roman" w:eastAsia="Times New Roman" w:hAnsi="Times New Roman" w:cs="Times New Roman"/>
                <w:lang w:val="en-GB"/>
              </w:rPr>
            </w:pPr>
            <w:r w:rsidRPr="00A66F03">
              <w:rPr>
                <w:rFonts w:ascii="Times New Roman" w:hAnsi="Times New Roman" w:cs="Times New Roman"/>
                <w:lang w:val="en-GB"/>
              </w:rPr>
              <w:t xml:space="preserve">with 1.6% protected as a fishing reserve. There are also other protected marine areas (fishing reserves and nature parks). The status of fishery resources in the Adriatic Sea and the Mediterranean </w:t>
            </w:r>
            <w:r w:rsidRPr="00A66F03">
              <w:rPr>
                <w:rFonts w:ascii="Times New Roman" w:hAnsi="Times New Roman" w:cs="Times New Roman"/>
                <w:lang w:val="en-GB"/>
              </w:rPr>
              <w:t>is deteriorating. The Adriatic has poor stocks of sardine and anchovy, with other fish species also at risk. In many places, the maximum sustainable yield (MSY), a key objective of the CFP, is not being achieved. While the recommendations of the General Fi</w:t>
            </w:r>
            <w:r w:rsidRPr="00A66F03">
              <w:rPr>
                <w:rFonts w:ascii="Times New Roman" w:hAnsi="Times New Roman" w:cs="Times New Roman"/>
                <w:lang w:val="en-GB"/>
              </w:rPr>
              <w:t xml:space="preserve">sheries Commission for the Mediterranean (GFCM) are being implemented, future measures will have to be more ambitious. </w:t>
            </w:r>
          </w:p>
          <w:p w14:paraId="4EF7E902" w14:textId="77777777" w:rsidR="00F951B6" w:rsidRPr="00A66F03" w:rsidRDefault="00F951B6" w:rsidP="00B72629">
            <w:pPr>
              <w:spacing w:after="0" w:line="276" w:lineRule="auto"/>
              <w:ind w:right="195"/>
              <w:jc w:val="both"/>
              <w:rPr>
                <w:rFonts w:ascii="Times New Roman" w:hAnsi="Times New Roman" w:cs="Times New Roman"/>
                <w:lang w:val="en-GB"/>
              </w:rPr>
            </w:pPr>
          </w:p>
          <w:p w14:paraId="17B2DDDA" w14:textId="77777777" w:rsidR="00B7133D" w:rsidRPr="00A66F03" w:rsidRDefault="00976636" w:rsidP="0069341D">
            <w:pPr>
              <w:spacing w:after="0" w:line="276" w:lineRule="auto"/>
              <w:ind w:right="195"/>
              <w:jc w:val="both"/>
              <w:rPr>
                <w:rFonts w:ascii="Times New Roman" w:hAnsi="Times New Roman" w:cs="Times New Roman"/>
                <w:b/>
                <w:lang w:val="en-GB"/>
              </w:rPr>
            </w:pPr>
            <w:r w:rsidRPr="00A66F03">
              <w:rPr>
                <w:rFonts w:ascii="Times New Roman" w:hAnsi="Times New Roman" w:cs="Times New Roman"/>
                <w:b/>
                <w:bCs/>
                <w:lang w:val="en-GB"/>
              </w:rPr>
              <w:t>Green infrastructure in an urban environment</w:t>
            </w:r>
          </w:p>
          <w:p w14:paraId="43F5ABCB" w14:textId="77777777" w:rsidR="00ED7CA5" w:rsidRPr="00A66F03" w:rsidRDefault="00976636" w:rsidP="0069341D">
            <w:pPr>
              <w:spacing w:line="276" w:lineRule="auto"/>
              <w:jc w:val="both"/>
              <w:rPr>
                <w:rFonts w:ascii="Times New Roman" w:eastAsia="Times New Roman" w:hAnsi="Times New Roman" w:cs="Times New Roman"/>
                <w:lang w:val="en-GB"/>
              </w:rPr>
            </w:pPr>
            <w:r w:rsidRPr="00A66F03">
              <w:rPr>
                <w:rFonts w:ascii="Times New Roman" w:hAnsi="Times New Roman" w:cs="Times New Roman"/>
                <w:lang w:val="en-GB"/>
              </w:rPr>
              <w:lastRenderedPageBreak/>
              <w:t>Fifty-five per cent of the Slovenian population live in urban settlements.</w:t>
            </w:r>
            <w:r w:rsidRPr="00A66F03">
              <w:rPr>
                <w:rStyle w:val="Sprotnaopomba-sklic"/>
                <w:rFonts w:ascii="Times New Roman" w:eastAsia="Times New Roman" w:hAnsi="Times New Roman" w:cs="Times New Roman"/>
                <w:lang w:val="en-GB"/>
              </w:rPr>
              <w:footnoteReference w:id="45"/>
            </w:r>
            <w:r w:rsidRPr="00A66F03">
              <w:rPr>
                <w:rFonts w:ascii="Times New Roman" w:hAnsi="Times New Roman" w:cs="Times New Roman"/>
                <w:lang w:val="en-GB"/>
              </w:rPr>
              <w:t xml:space="preserve"> Increased population concentration and density and the focus on the internal development of settlements before expansion to new areas pose an increasing challenge to the maintenance and improvement of the quality of life and the environment in cities. The</w:t>
            </w:r>
            <w:r w:rsidRPr="00A66F03">
              <w:rPr>
                <w:rFonts w:ascii="Times New Roman" w:hAnsi="Times New Roman" w:cs="Times New Roman"/>
                <w:lang w:val="en-GB"/>
              </w:rPr>
              <w:t xml:space="preserve"> challenge of ensuring high-quality and useable urban green spaces has been addressed by the Urban Agenda for the EU partnership,</w:t>
            </w:r>
            <w:r w:rsidRPr="00A66F03">
              <w:rPr>
                <w:rStyle w:val="Sprotnaopomba-sklic"/>
                <w:rFonts w:ascii="Times New Roman" w:hAnsi="Times New Roman" w:cs="Times New Roman"/>
                <w:lang w:val="en-GB"/>
              </w:rPr>
              <w:footnoteReference w:id="46"/>
            </w:r>
            <w:r w:rsidRPr="00A66F03">
              <w:rPr>
                <w:rFonts w:ascii="Times New Roman" w:hAnsi="Times New Roman" w:cs="Times New Roman"/>
                <w:lang w:val="en-GB"/>
              </w:rPr>
              <w:t xml:space="preserve"> which highlights, </w:t>
            </w:r>
            <w:r w:rsidRPr="00A66F03">
              <w:rPr>
                <w:rFonts w:ascii="Times New Roman" w:hAnsi="Times New Roman" w:cs="Times New Roman"/>
                <w:i/>
                <w:iCs/>
                <w:lang w:val="en-GB"/>
              </w:rPr>
              <w:t>inter alia</w:t>
            </w:r>
            <w:r w:rsidRPr="00A66F03">
              <w:rPr>
                <w:rFonts w:ascii="Times New Roman" w:hAnsi="Times New Roman" w:cs="Times New Roman"/>
                <w:lang w:val="en-GB"/>
              </w:rPr>
              <w:t>, the need to invest in accessible and attractive green and blue urban infrastructure, which shou</w:t>
            </w:r>
            <w:r w:rsidRPr="00A66F03">
              <w:rPr>
                <w:rFonts w:ascii="Times New Roman" w:hAnsi="Times New Roman" w:cs="Times New Roman"/>
                <w:lang w:val="en-GB"/>
              </w:rPr>
              <w:t>ld increasingly be used as a tool to achieve urban environmental, social and economic development goals.  Actions under this priority will address the growing need for better governance within the context of the efficient and rational use of already limite</w:t>
            </w:r>
            <w:r w:rsidRPr="00A66F03">
              <w:rPr>
                <w:rFonts w:ascii="Times New Roman" w:hAnsi="Times New Roman" w:cs="Times New Roman"/>
                <w:lang w:val="en-GB"/>
              </w:rPr>
              <w:t>d urban space, while ensuring a high quality of life for urban residents and visitors. One important step is to provide a sufficient quantity of accessible and attractive green spaces in cities. In accordance with the Spatial Development Strategy of Sloven</w:t>
            </w:r>
            <w:r w:rsidRPr="00A66F03">
              <w:rPr>
                <w:rFonts w:ascii="Times New Roman" w:hAnsi="Times New Roman" w:cs="Times New Roman"/>
                <w:lang w:val="en-GB"/>
              </w:rPr>
              <w:t>ia, we will pursue the objective in urban areas of ensuring that at least 40% of a settlement’s planning zone is made up of green and open spaces.</w:t>
            </w:r>
          </w:p>
          <w:p w14:paraId="42CC5C0B" w14:textId="77777777" w:rsidR="00CC28C7" w:rsidRPr="00A66F03" w:rsidRDefault="00976636" w:rsidP="00B72629">
            <w:pPr>
              <w:spacing w:after="0" w:line="276" w:lineRule="auto"/>
              <w:ind w:right="195"/>
              <w:jc w:val="both"/>
              <w:rPr>
                <w:rFonts w:ascii="Times New Roman" w:eastAsia="Times New Roman" w:hAnsi="Times New Roman" w:cs="Times New Roman"/>
                <w:b/>
                <w:lang w:val="en-GB"/>
              </w:rPr>
            </w:pPr>
            <w:r w:rsidRPr="00A66F03">
              <w:rPr>
                <w:rFonts w:ascii="Times New Roman" w:eastAsia="Times New Roman" w:hAnsi="Times New Roman" w:cs="Times New Roman"/>
                <w:b/>
                <w:bCs/>
                <w:lang w:val="en-GB"/>
              </w:rPr>
              <w:t>Sustainable urban mobility</w:t>
            </w:r>
          </w:p>
          <w:p w14:paraId="34F3EEE8" w14:textId="77777777" w:rsidR="00473DF3" w:rsidRPr="00A66F03" w:rsidRDefault="00976636" w:rsidP="00B72629">
            <w:pPr>
              <w:spacing w:after="0" w:line="276" w:lineRule="auto"/>
              <w:ind w:right="195"/>
              <w:jc w:val="both"/>
              <w:rPr>
                <w:rFonts w:ascii="Times New Roman" w:eastAsia="Times New Roman" w:hAnsi="Times New Roman" w:cs="Times New Roman"/>
                <w:lang w:val="en-GB"/>
              </w:rPr>
            </w:pPr>
            <w:r w:rsidRPr="00A66F03">
              <w:rPr>
                <w:rFonts w:ascii="Times New Roman" w:hAnsi="Times New Roman" w:cs="Times New Roman"/>
                <w:lang w:val="en-GB"/>
              </w:rPr>
              <w:t>Public transport use in Slovenia is very low compared to other countries around th</w:t>
            </w:r>
            <w:r w:rsidRPr="00A66F03">
              <w:rPr>
                <w:rFonts w:ascii="Times New Roman" w:hAnsi="Times New Roman" w:cs="Times New Roman"/>
                <w:lang w:val="en-GB"/>
              </w:rPr>
              <w:t>e world. Car journeys accounted for 86.5% of all passenger-kilometres travelled, buses for 11.7% and trains for a mere 1.8% in 2017. More and more Slovenian cities are offering bicycle rental schemes to their inhabitants. Sustainable urban mobility is link</w:t>
            </w:r>
            <w:r w:rsidRPr="00A66F03">
              <w:rPr>
                <w:rFonts w:ascii="Times New Roman" w:hAnsi="Times New Roman" w:cs="Times New Roman"/>
                <w:lang w:val="en-GB"/>
              </w:rPr>
              <w:t>ed to air quality, as transport is a major contributor to particulate and nitrogen dioxide emissions. Residents of urban areas are also exposed to excessive noise from traffic. As transport is responsible for a high share of greenhouse gas emissions, air p</w:t>
            </w:r>
            <w:r w:rsidRPr="00A66F03">
              <w:rPr>
                <w:rFonts w:ascii="Times New Roman" w:hAnsi="Times New Roman" w:cs="Times New Roman"/>
                <w:lang w:val="en-GB"/>
              </w:rPr>
              <w:t>ollutants and noise emissions, Slovenia must manage the growth of passenger and freight transport over the next decade and direct transport flows towards zero- and low-emission means of transport. The development of the market for alternative transport fue</w:t>
            </w:r>
            <w:r w:rsidRPr="00A66F03">
              <w:rPr>
                <w:rFonts w:ascii="Times New Roman" w:hAnsi="Times New Roman" w:cs="Times New Roman"/>
                <w:lang w:val="en-GB"/>
              </w:rPr>
              <w:t>ls must be accelerated if the national strategic objectives in this field are to be achieved. According to the national Strategy for Development of the Market for the Deployment of Appropriate Infrastructure for Alternative Fuels in the Transport Sector, 5</w:t>
            </w:r>
            <w:r w:rsidRPr="00A66F03">
              <w:rPr>
                <w:rFonts w:ascii="Times New Roman" w:hAnsi="Times New Roman" w:cs="Times New Roman"/>
                <w:lang w:val="en-GB"/>
              </w:rPr>
              <w:t xml:space="preserve">,311 electric vehicles should have been registered in Slovenia in 2020, although the actual </w:t>
            </w:r>
            <w:r w:rsidRPr="00A66F03">
              <w:rPr>
                <w:rFonts w:ascii="Times New Roman" w:hAnsi="Times New Roman" w:cs="Times New Roman"/>
                <w:lang w:val="en-GB"/>
              </w:rPr>
              <w:lastRenderedPageBreak/>
              <w:t>figure was just over 3,600,</w:t>
            </w:r>
            <w:r w:rsidRPr="00A66F03">
              <w:rPr>
                <w:rStyle w:val="Sprotnaopomba-sklic"/>
                <w:rFonts w:ascii="Times New Roman" w:eastAsia="Times New Roman" w:hAnsi="Times New Roman" w:cs="Times New Roman"/>
                <w:lang w:val="en-GB"/>
              </w:rPr>
              <w:footnoteReference w:id="47"/>
            </w:r>
            <w:r w:rsidRPr="00A66F03">
              <w:rPr>
                <w:rFonts w:ascii="Times New Roman" w:hAnsi="Times New Roman" w:cs="Times New Roman"/>
                <w:lang w:val="en-GB"/>
              </w:rPr>
              <w:t xml:space="preserve"> which represented a mere 0.3% of all passenger cars registered in that year.</w:t>
            </w:r>
            <w:r w:rsidRPr="00A66F03">
              <w:rPr>
                <w:rStyle w:val="Sprotnaopomba-sklic"/>
                <w:rFonts w:ascii="Times New Roman" w:eastAsia="Times New Roman" w:hAnsi="Times New Roman" w:cs="Times New Roman"/>
                <w:lang w:val="en-GB"/>
              </w:rPr>
              <w:footnoteReference w:id="48"/>
            </w:r>
            <w:r w:rsidRPr="00A66F03">
              <w:rPr>
                <w:rFonts w:ascii="Times New Roman" w:hAnsi="Times New Roman" w:cs="Times New Roman"/>
                <w:lang w:val="en-GB"/>
              </w:rPr>
              <w:t xml:space="preserve"> In the WSCR</w:t>
            </w:r>
            <w:r w:rsidRPr="00A66F03">
              <w:rPr>
                <w:rFonts w:ascii="Times New Roman" w:hAnsi="Times New Roman" w:cs="Times New Roman"/>
                <w:lang w:val="en-GB"/>
              </w:rPr>
              <w:t xml:space="preserve"> in 2020, 552 cars were registered per 1,000 inhabitants; these cars were, on average, 10.3 years old. The figures for the ESCR were 558 and 10.5 years old, respectively.</w:t>
            </w:r>
            <w:r w:rsidRPr="00A66F03">
              <w:rPr>
                <w:rStyle w:val="Sprotnaopomba-sklic"/>
                <w:rFonts w:ascii="Times New Roman" w:eastAsia="Times New Roman" w:hAnsi="Times New Roman" w:cs="Times New Roman"/>
                <w:lang w:val="en-GB"/>
              </w:rPr>
              <w:footnoteReference w:id="49"/>
            </w:r>
          </w:p>
          <w:p w14:paraId="0D211D1D" w14:textId="77777777" w:rsidR="0019164A" w:rsidRPr="00A66F03" w:rsidRDefault="00976636" w:rsidP="001071BF">
            <w:pPr>
              <w:spacing w:after="0" w:line="276" w:lineRule="auto"/>
              <w:ind w:right="195"/>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t>The European Union adopted the Urban Mobility Package in 2013, relaunching it as the</w:t>
            </w:r>
            <w:r w:rsidRPr="00A66F03">
              <w:rPr>
                <w:rFonts w:ascii="Times New Roman" w:eastAsia="Times New Roman" w:hAnsi="Times New Roman" w:cs="Times New Roman"/>
                <w:lang w:val="en-GB"/>
              </w:rPr>
              <w:t xml:space="preserve"> Urban Mobility Framework in December 2021. Under the Urban Mobility Package, Slovenia has already provided national support for the preparation of Integrated Transport Strategies (ITS – SUMP), and encouraged cities to draft them through co-financing and n</w:t>
            </w:r>
            <w:r w:rsidRPr="00A66F03">
              <w:rPr>
                <w:rFonts w:ascii="Times New Roman" w:eastAsia="Times New Roman" w:hAnsi="Times New Roman" w:cs="Times New Roman"/>
                <w:lang w:val="en-GB"/>
              </w:rPr>
              <w:t>ational guidelines. Slovenian towns and cities have recently started to invest mainly in active mobility and public transport infrastructure.  Although they have already implemented a significant portion of the measures, many of the needs remain. The strat</w:t>
            </w:r>
            <w:r w:rsidRPr="00A66F03">
              <w:rPr>
                <w:rFonts w:ascii="Times New Roman" w:eastAsia="Times New Roman" w:hAnsi="Times New Roman" w:cs="Times New Roman"/>
                <w:lang w:val="en-GB"/>
              </w:rPr>
              <w:t>egies will therefore need to be reviewed to take into account the updated national guidelines for the preparation of strategies and the revised indicators. Where data is available, the use of sustainable urban mobility indicators (SUMI) is also advised.</w:t>
            </w:r>
          </w:p>
        </w:tc>
      </w:tr>
      <w:tr w:rsidR="00143DBE" w:rsidRPr="00A66F03" w14:paraId="5586F414" w14:textId="77777777" w:rsidTr="002C3693">
        <w:tc>
          <w:tcPr>
            <w:tcW w:w="700" w:type="pct"/>
            <w:tcBorders>
              <w:top w:val="single" w:sz="6" w:space="0" w:color="000000"/>
              <w:left w:val="single" w:sz="6" w:space="0" w:color="000000"/>
              <w:bottom w:val="single" w:sz="6" w:space="0" w:color="000000"/>
              <w:right w:val="single" w:sz="6" w:space="0" w:color="000000"/>
            </w:tcBorders>
            <w:shd w:val="clear" w:color="auto" w:fill="auto"/>
          </w:tcPr>
          <w:p w14:paraId="5FCADF17" w14:textId="77777777" w:rsidR="00CC28C7" w:rsidRPr="00A66F03" w:rsidRDefault="00976636" w:rsidP="00B72629">
            <w:pPr>
              <w:tabs>
                <w:tab w:val="center" w:pos="647"/>
              </w:tabs>
              <w:spacing w:after="0" w:line="276" w:lineRule="auto"/>
              <w:rPr>
                <w:rFonts w:ascii="Times New Roman" w:eastAsia="Times New Roman" w:hAnsi="Times New Roman" w:cs="Times New Roman"/>
                <w:lang w:val="en-GB"/>
              </w:rPr>
            </w:pPr>
            <w:r w:rsidRPr="00A66F03">
              <w:rPr>
                <w:rFonts w:ascii="Times New Roman" w:eastAsia="Times New Roman" w:hAnsi="Times New Roman" w:cs="Times New Roman"/>
                <w:lang w:val="en-GB"/>
              </w:rPr>
              <w:lastRenderedPageBreak/>
              <w:t>PO3: A more connected Europe by enhancing mobility</w:t>
            </w:r>
          </w:p>
        </w:tc>
        <w:tc>
          <w:tcPr>
            <w:tcW w:w="705" w:type="pct"/>
            <w:tcBorders>
              <w:top w:val="single" w:sz="6" w:space="0" w:color="000000"/>
              <w:left w:val="single" w:sz="6" w:space="0" w:color="000000"/>
              <w:bottom w:val="single" w:sz="6" w:space="0" w:color="000000"/>
              <w:right w:val="single" w:sz="6" w:space="0" w:color="000000"/>
            </w:tcBorders>
            <w:shd w:val="clear" w:color="auto" w:fill="auto"/>
          </w:tcPr>
          <w:p w14:paraId="04DD708B" w14:textId="77777777" w:rsidR="00CC28C7" w:rsidRPr="00A66F03" w:rsidRDefault="00976636" w:rsidP="002C3693">
            <w:pPr>
              <w:spacing w:after="0" w:line="276" w:lineRule="auto"/>
              <w:rPr>
                <w:rFonts w:ascii="Times New Roman" w:eastAsia="Times New Roman" w:hAnsi="Times New Roman" w:cs="Times New Roman"/>
                <w:lang w:val="en-GB"/>
              </w:rPr>
            </w:pPr>
            <w:r w:rsidRPr="00A66F03">
              <w:rPr>
                <w:rFonts w:ascii="Times New Roman" w:eastAsia="Times New Roman" w:hAnsi="Times New Roman" w:cs="Times New Roman"/>
                <w:lang w:val="en-GB"/>
              </w:rPr>
              <w:t>ECP 2021–2027 programme</w:t>
            </w:r>
          </w:p>
        </w:tc>
        <w:tc>
          <w:tcPr>
            <w:tcW w:w="469" w:type="pct"/>
            <w:tcBorders>
              <w:top w:val="single" w:sz="6" w:space="0" w:color="000000"/>
              <w:left w:val="single" w:sz="6" w:space="0" w:color="000000"/>
              <w:bottom w:val="single" w:sz="6" w:space="0" w:color="000000"/>
              <w:right w:val="single" w:sz="6" w:space="0" w:color="000000"/>
            </w:tcBorders>
            <w:shd w:val="clear" w:color="auto" w:fill="auto"/>
          </w:tcPr>
          <w:p w14:paraId="3E332949" w14:textId="77777777" w:rsidR="00CC28C7" w:rsidRPr="00A66F03" w:rsidRDefault="00976636" w:rsidP="002C3693">
            <w:pPr>
              <w:spacing w:after="0" w:line="276" w:lineRule="auto"/>
              <w:rPr>
                <w:rFonts w:ascii="Times New Roman" w:eastAsia="Times New Roman" w:hAnsi="Times New Roman" w:cs="Times New Roman"/>
                <w:lang w:val="en-GB"/>
              </w:rPr>
            </w:pPr>
            <w:r w:rsidRPr="00A66F03">
              <w:rPr>
                <w:rFonts w:ascii="Times New Roman" w:eastAsia="Times New Roman" w:hAnsi="Times New Roman" w:cs="Times New Roman"/>
                <w:lang w:val="en-GB"/>
              </w:rPr>
              <w:t>ERDF CF</w:t>
            </w:r>
          </w:p>
        </w:tc>
        <w:tc>
          <w:tcPr>
            <w:tcW w:w="3126" w:type="pct"/>
            <w:tcBorders>
              <w:top w:val="single" w:sz="6" w:space="0" w:color="000000"/>
              <w:left w:val="single" w:sz="6" w:space="0" w:color="000000"/>
              <w:bottom w:val="single" w:sz="6" w:space="0" w:color="000000"/>
              <w:right w:val="single" w:sz="6" w:space="0" w:color="000000"/>
            </w:tcBorders>
            <w:shd w:val="clear" w:color="auto" w:fill="auto"/>
          </w:tcPr>
          <w:p w14:paraId="4BC3B67A" w14:textId="77777777" w:rsidR="00CC28C7" w:rsidRPr="00A66F03" w:rsidRDefault="00976636" w:rsidP="00B72629">
            <w:pPr>
              <w:spacing w:after="0" w:line="276" w:lineRule="auto"/>
              <w:ind w:right="195"/>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t>Transport is a major source of greenhouse gas emissions in Slovenia. In line with the eighth development objective of the Slovenian Development Strategy 2030, the EU Council</w:t>
            </w:r>
            <w:r w:rsidRPr="00A66F03">
              <w:rPr>
                <w:rFonts w:ascii="Times New Roman" w:eastAsia="Times New Roman" w:hAnsi="Times New Roman" w:cs="Times New Roman"/>
                <w:lang w:val="en-GB"/>
              </w:rPr>
              <w:t xml:space="preserve"> Recommendations of 2019 and 2020, the Paris Agreement and the European Green Deal, the key challenges are:</w:t>
            </w:r>
          </w:p>
          <w:p w14:paraId="2E3C41CF" w14:textId="77777777" w:rsidR="00CC28C7" w:rsidRPr="00A66F03" w:rsidRDefault="00CC28C7" w:rsidP="00B72629">
            <w:pPr>
              <w:spacing w:after="0" w:line="276" w:lineRule="auto"/>
              <w:ind w:right="195"/>
              <w:jc w:val="both"/>
              <w:rPr>
                <w:rFonts w:ascii="Times New Roman" w:eastAsia="Times New Roman" w:hAnsi="Times New Roman" w:cs="Times New Roman"/>
                <w:lang w:val="en-GB"/>
              </w:rPr>
            </w:pPr>
          </w:p>
          <w:p w14:paraId="58B573B8" w14:textId="77777777" w:rsidR="00CC28C7" w:rsidRPr="00A66F03" w:rsidRDefault="00976636" w:rsidP="00B72629">
            <w:pPr>
              <w:spacing w:after="0" w:line="276" w:lineRule="auto"/>
              <w:ind w:right="195"/>
              <w:jc w:val="both"/>
              <w:rPr>
                <w:rFonts w:ascii="Times New Roman" w:eastAsia="Times New Roman" w:hAnsi="Times New Roman" w:cs="Times New Roman"/>
                <w:b/>
                <w:lang w:val="en-GB"/>
              </w:rPr>
            </w:pPr>
            <w:r w:rsidRPr="00A66F03">
              <w:rPr>
                <w:rFonts w:ascii="Times New Roman" w:eastAsia="Times New Roman" w:hAnsi="Times New Roman" w:cs="Times New Roman"/>
                <w:b/>
                <w:bCs/>
                <w:lang w:val="en-GB"/>
              </w:rPr>
              <w:t>Supporting the development of a trans-European transport network</w:t>
            </w:r>
          </w:p>
          <w:p w14:paraId="44254BA9" w14:textId="77777777" w:rsidR="002604EF" w:rsidRPr="00A66F03" w:rsidRDefault="00976636" w:rsidP="00B72629">
            <w:pPr>
              <w:spacing w:after="0" w:line="276" w:lineRule="auto"/>
              <w:ind w:right="195"/>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t>Owing to its geographical location and history, Slovenia is an intensive transport</w:t>
            </w:r>
            <w:r w:rsidRPr="00A66F03">
              <w:rPr>
                <w:rFonts w:ascii="Times New Roman" w:eastAsia="Times New Roman" w:hAnsi="Times New Roman" w:cs="Times New Roman"/>
                <w:lang w:val="en-GB"/>
              </w:rPr>
              <w:t xml:space="preserve"> and transit area in which two Trans-European Transport Network (TEN-T) corridors cross. Investment in upgrading railway lines on the TEN-T network corridors has been a key consideration in Slovenia since 2007, and has led to tangible progress in achieving</w:t>
            </w:r>
            <w:r w:rsidRPr="00A66F03">
              <w:rPr>
                <w:rFonts w:ascii="Times New Roman" w:eastAsia="Times New Roman" w:hAnsi="Times New Roman" w:cs="Times New Roman"/>
                <w:lang w:val="en-GB"/>
              </w:rPr>
              <w:t xml:space="preserve"> TEN-T standards up to this point. Seventy-seven per cent of rail infrastructure on the TEN-T core network will comply with TEN-T standards after the investments of the 2014–2020 financial perspective, up from 44% in 2007 (for the TEN-T comprehensive netwo</w:t>
            </w:r>
            <w:r w:rsidRPr="00A66F03">
              <w:rPr>
                <w:rFonts w:ascii="Times New Roman" w:eastAsia="Times New Roman" w:hAnsi="Times New Roman" w:cs="Times New Roman"/>
                <w:lang w:val="en-GB"/>
              </w:rPr>
              <w:t>rk, these figures are 55% and 46%, respectively). The share of the network’s compliance with TEN-T standards fluctuates according to parameter. By implementing the investments co-financed by EU funds for the 2014–2020 programming period, the following TEN-</w:t>
            </w:r>
            <w:r w:rsidRPr="00A66F03">
              <w:rPr>
                <w:rFonts w:ascii="Times New Roman" w:eastAsia="Times New Roman" w:hAnsi="Times New Roman" w:cs="Times New Roman"/>
                <w:lang w:val="en-GB"/>
              </w:rPr>
              <w:t xml:space="preserve">T </w:t>
            </w:r>
            <w:r w:rsidRPr="00A66F03">
              <w:rPr>
                <w:rFonts w:ascii="Times New Roman" w:eastAsia="Times New Roman" w:hAnsi="Times New Roman" w:cs="Times New Roman"/>
                <w:lang w:val="en-GB"/>
              </w:rPr>
              <w:lastRenderedPageBreak/>
              <w:t>parameters will be fully achieved on the TEN-T core network: electrification of lines, ERTMS deployment, a track gauge of 1,435 mm and an axle load of 22.5 tonnes. The parameters of the operation of 740-metre-long trains and a speed of 100 km/h for freig</w:t>
            </w:r>
            <w:r w:rsidRPr="00A66F03">
              <w:rPr>
                <w:rFonts w:ascii="Times New Roman" w:eastAsia="Times New Roman" w:hAnsi="Times New Roman" w:cs="Times New Roman"/>
                <w:lang w:val="en-GB"/>
              </w:rPr>
              <w:t>ht trains still need to be ensured on a specific part of the core network. More investment will be needed in the future on the comprehensive TEN-T network, where only the 1,435 mm track gauge parameter will be fully achieved after the investments made in t</w:t>
            </w:r>
            <w:r w:rsidRPr="00A66F03">
              <w:rPr>
                <w:rFonts w:ascii="Times New Roman" w:eastAsia="Times New Roman" w:hAnsi="Times New Roman" w:cs="Times New Roman"/>
                <w:lang w:val="en-GB"/>
              </w:rPr>
              <w:t xml:space="preserve">he 2014–2020 programming period. As a key part of the TEN-T motorway network has already been constructed in Slovenia, the challenge is primarily to ensure road safety and smooth traffic flow on the existing network. </w:t>
            </w:r>
          </w:p>
          <w:p w14:paraId="65D468DC" w14:textId="77777777" w:rsidR="00CC28C7" w:rsidRPr="00A66F03" w:rsidRDefault="00976636" w:rsidP="00B72629">
            <w:pPr>
              <w:spacing w:after="0" w:line="276" w:lineRule="auto"/>
              <w:ind w:right="195"/>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t>CO</w:t>
            </w:r>
            <w:r w:rsidRPr="00A66F03">
              <w:rPr>
                <w:rFonts w:ascii="Times New Roman" w:eastAsia="Times New Roman" w:hAnsi="Times New Roman" w:cs="Times New Roman"/>
                <w:vertAlign w:val="subscript"/>
                <w:lang w:val="en-GB"/>
              </w:rPr>
              <w:t>2</w:t>
            </w:r>
            <w:r w:rsidRPr="00A66F03">
              <w:rPr>
                <w:rFonts w:ascii="Times New Roman" w:eastAsia="Times New Roman" w:hAnsi="Times New Roman" w:cs="Times New Roman"/>
                <w:lang w:val="en-GB"/>
              </w:rPr>
              <w:t xml:space="preserve"> emissions growth needs to be reduc</w:t>
            </w:r>
            <w:r w:rsidRPr="00A66F03">
              <w:rPr>
                <w:rFonts w:ascii="Times New Roman" w:eastAsia="Times New Roman" w:hAnsi="Times New Roman" w:cs="Times New Roman"/>
                <w:lang w:val="en-GB"/>
              </w:rPr>
              <w:t>ed by nine percentage points by 2030 (baseline year 2020), with transport contributing by far the largest share of greenhouse gas emissions in Slovenia. According to transport model projections, passenger traffic is expected to increase by 30% between 2017</w:t>
            </w:r>
            <w:r w:rsidRPr="00A66F03">
              <w:rPr>
                <w:rFonts w:ascii="Times New Roman" w:eastAsia="Times New Roman" w:hAnsi="Times New Roman" w:cs="Times New Roman"/>
                <w:lang w:val="en-GB"/>
              </w:rPr>
              <w:t xml:space="preserve"> and 2030, while freight transport is projected to increase even more (by between 60% and 80%).</w:t>
            </w:r>
            <w:r w:rsidRPr="00A66F03">
              <w:rPr>
                <w:rFonts w:ascii="Times New Roman" w:eastAsia="Times New Roman" w:hAnsi="Times New Roman" w:cs="Times New Roman"/>
                <w:vertAlign w:val="superscript"/>
                <w:lang w:val="en-GB"/>
              </w:rPr>
              <w:footnoteReference w:id="50"/>
            </w:r>
            <w:r w:rsidRPr="00A66F03">
              <w:rPr>
                <w:rFonts w:ascii="Times New Roman" w:eastAsia="Times New Roman" w:hAnsi="Times New Roman" w:cs="Times New Roman"/>
                <w:lang w:val="en-GB"/>
              </w:rPr>
              <w:t xml:space="preserve"> </w:t>
            </w:r>
          </w:p>
          <w:p w14:paraId="20C7B14A" w14:textId="77777777" w:rsidR="00CC28C7" w:rsidRPr="00A66F03" w:rsidRDefault="00CC28C7" w:rsidP="00B72629">
            <w:pPr>
              <w:spacing w:after="0" w:line="276" w:lineRule="auto"/>
              <w:ind w:right="195"/>
              <w:jc w:val="both"/>
              <w:rPr>
                <w:rFonts w:ascii="Times New Roman" w:eastAsia="Times New Roman" w:hAnsi="Times New Roman" w:cs="Times New Roman"/>
                <w:lang w:val="en-GB"/>
              </w:rPr>
            </w:pPr>
          </w:p>
          <w:p w14:paraId="27E936E8" w14:textId="77777777" w:rsidR="00CC28C7" w:rsidRPr="00A66F03" w:rsidRDefault="00976636" w:rsidP="00B72629">
            <w:pPr>
              <w:spacing w:after="0" w:line="276" w:lineRule="auto"/>
              <w:ind w:right="195"/>
              <w:jc w:val="both"/>
              <w:rPr>
                <w:rFonts w:ascii="Times New Roman" w:eastAsia="Times New Roman" w:hAnsi="Times New Roman" w:cs="Times New Roman"/>
                <w:b/>
                <w:lang w:val="en-GB"/>
              </w:rPr>
            </w:pPr>
            <w:r w:rsidRPr="00A66F03">
              <w:rPr>
                <w:rFonts w:ascii="Times New Roman" w:eastAsia="Times New Roman" w:hAnsi="Times New Roman" w:cs="Times New Roman"/>
                <w:b/>
                <w:bCs/>
                <w:lang w:val="en-GB"/>
              </w:rPr>
              <w:t>Supporting the development of national, regional and local mobility</w:t>
            </w:r>
          </w:p>
          <w:p w14:paraId="38EC1FA6" w14:textId="77777777" w:rsidR="0035633E" w:rsidRPr="00A66F03" w:rsidRDefault="00976636" w:rsidP="002B2916">
            <w:pPr>
              <w:spacing w:after="0" w:line="276" w:lineRule="auto"/>
              <w:ind w:right="195"/>
              <w:jc w:val="both"/>
              <w:rPr>
                <w:rFonts w:ascii="Times New Roman" w:eastAsia="Times New Roman" w:hAnsi="Times New Roman" w:cs="Times New Roman"/>
                <w:lang w:val="en-GB"/>
              </w:rPr>
            </w:pPr>
            <w:r w:rsidRPr="00A66F03">
              <w:rPr>
                <w:rFonts w:ascii="Times New Roman" w:hAnsi="Times New Roman" w:cs="Times New Roman"/>
                <w:lang w:val="en-GB"/>
              </w:rPr>
              <w:t xml:space="preserve">There has been a significant increase in traffic in Slovenia since EU enlargement. In </w:t>
            </w:r>
            <w:r w:rsidRPr="00A66F03">
              <w:rPr>
                <w:rFonts w:ascii="Times New Roman" w:hAnsi="Times New Roman" w:cs="Times New Roman"/>
                <w:lang w:val="en-GB"/>
              </w:rPr>
              <w:t>Slovenia, as in the rest of the EU, most goods are transported by lorry and most passengers by car.</w:t>
            </w:r>
            <w:r w:rsidRPr="00A66F03">
              <w:rPr>
                <w:rFonts w:ascii="Times New Roman" w:hAnsi="Times New Roman" w:cs="Times New Roman"/>
                <w:vertAlign w:val="superscript"/>
                <w:lang w:val="en-GB"/>
              </w:rPr>
              <w:footnoteReference w:id="51"/>
            </w:r>
            <w:r w:rsidRPr="00A66F03">
              <w:rPr>
                <w:rFonts w:ascii="Times New Roman" w:hAnsi="Times New Roman" w:cs="Times New Roman"/>
                <w:lang w:val="en-GB"/>
              </w:rPr>
              <w:t xml:space="preserve"> The European Commission’s 2020 Country Report for Slovenia</w:t>
            </w:r>
            <w:r w:rsidRPr="00A66F03">
              <w:rPr>
                <w:rFonts w:ascii="Times New Roman" w:hAnsi="Times New Roman" w:cs="Times New Roman"/>
                <w:vertAlign w:val="superscript"/>
                <w:lang w:val="en-GB"/>
              </w:rPr>
              <w:footnoteReference w:id="52"/>
            </w:r>
            <w:r w:rsidRPr="00A66F03">
              <w:rPr>
                <w:rFonts w:ascii="Times New Roman" w:hAnsi="Times New Roman" w:cs="Times New Roman"/>
                <w:lang w:val="en-GB"/>
              </w:rPr>
              <w:t xml:space="preserve"> finds that sustainable transport links, particularly rail transport, are not sufficiently devel</w:t>
            </w:r>
            <w:r w:rsidRPr="00A66F03">
              <w:rPr>
                <w:rFonts w:ascii="Times New Roman" w:hAnsi="Times New Roman" w:cs="Times New Roman"/>
                <w:lang w:val="en-GB"/>
              </w:rPr>
              <w:t>oped to fully support a shift to other modes of transport in order to reduce carbon dioxide emissions. Furthermore, poor transport connections between regions reduce productivity, as time is lost in traffic jams and delays in transport are expensive. While</w:t>
            </w:r>
            <w:r w:rsidRPr="00A66F03">
              <w:rPr>
                <w:rFonts w:ascii="Times New Roman" w:hAnsi="Times New Roman" w:cs="Times New Roman"/>
                <w:lang w:val="en-GB"/>
              </w:rPr>
              <w:t xml:space="preserve"> the carbon intensity of transport was slightly lower in 2018 than in 2013, the implementation of low-carbon transport projects is behind schedule. Transport emissions accounted for 52.1% of all non-ETS greenhouse gas emissions in Slovenia in 2019, with th</w:t>
            </w:r>
            <w:r w:rsidRPr="00A66F03">
              <w:rPr>
                <w:rFonts w:ascii="Times New Roman" w:hAnsi="Times New Roman" w:cs="Times New Roman"/>
                <w:lang w:val="en-GB"/>
              </w:rPr>
              <w:t>e majority of these emissions coming from road transport. While the share of RES in transport is increasing, it was still only 8% in 2019, i.e. short of the planned target. More action will be required in the field of transport if the more ambitious target</w:t>
            </w:r>
            <w:r w:rsidRPr="00A66F03">
              <w:rPr>
                <w:rFonts w:ascii="Times New Roman" w:hAnsi="Times New Roman" w:cs="Times New Roman"/>
                <w:lang w:val="en-GB"/>
              </w:rPr>
              <w:t xml:space="preserve"> of reducing emissions from non-ETS sectors by 15% by 2030 (EU Decision No 406/2009/EC, EU Regulation (EU) 2018/842) is to be met.</w:t>
            </w:r>
            <w:r w:rsidRPr="00A66F03">
              <w:rPr>
                <w:rFonts w:ascii="Times New Roman" w:hAnsi="Times New Roman" w:cs="Times New Roman"/>
                <w:vertAlign w:val="superscript"/>
                <w:lang w:val="en-GB"/>
              </w:rPr>
              <w:footnoteReference w:id="53"/>
            </w:r>
            <w:r w:rsidRPr="00A66F03">
              <w:rPr>
                <w:rFonts w:ascii="Times New Roman" w:hAnsi="Times New Roman" w:cs="Times New Roman"/>
                <w:lang w:val="en-GB"/>
              </w:rPr>
              <w:t xml:space="preserve"> The National Transport Development Programme provides for the preparation of projects on </w:t>
            </w:r>
            <w:r w:rsidRPr="00A66F03">
              <w:rPr>
                <w:rFonts w:ascii="Times New Roman" w:hAnsi="Times New Roman" w:cs="Times New Roman"/>
                <w:lang w:val="en-GB"/>
              </w:rPr>
              <w:lastRenderedPageBreak/>
              <w:t>development axes connecting differe</w:t>
            </w:r>
            <w:r w:rsidRPr="00A66F03">
              <w:rPr>
                <w:rFonts w:ascii="Times New Roman" w:hAnsi="Times New Roman" w:cs="Times New Roman"/>
                <w:lang w:val="en-GB"/>
              </w:rPr>
              <w:t>nt regions to the TEN-T core network. The main objective of the development of the rail network in Slovenia is to ensure smooth traffic flow and achieve TEN-T standards on the core network by 2030, and to ensure clock-face scheduling on regional and main r</w:t>
            </w:r>
            <w:r w:rsidRPr="00A66F03">
              <w:rPr>
                <w:rFonts w:ascii="Times New Roman" w:hAnsi="Times New Roman" w:cs="Times New Roman"/>
                <w:lang w:val="en-GB"/>
              </w:rPr>
              <w:t>ailway lines (this will require additional investment in regional railway lines). Upgrades to the transport network must provide for an integrated approach to solving common transport problems at the level of regions and functional areas, including railway</w:t>
            </w:r>
            <w:r w:rsidRPr="00A66F03">
              <w:rPr>
                <w:rFonts w:ascii="Times New Roman" w:hAnsi="Times New Roman" w:cs="Times New Roman"/>
                <w:lang w:val="en-GB"/>
              </w:rPr>
              <w:t>s, roads, cycle links and other transport solutions. Slovenia is characterised by a particularly large number of local centres/small towns. It has encouraged the preparation of integrated transport strategies in these areas as well, with smaller cities foc</w:t>
            </w:r>
            <w:r w:rsidRPr="00A66F03">
              <w:rPr>
                <w:rFonts w:ascii="Times New Roman" w:hAnsi="Times New Roman" w:cs="Times New Roman"/>
                <w:lang w:val="en-GB"/>
              </w:rPr>
              <w:t>using their local strategies primarily on providing a safe environment for active mobility and ensuring good access to local public transport nodes (‘first kilometre’). This is also in line with the recommendations of the EU’s Urban Mobility Package.  On t</w:t>
            </w:r>
            <w:r w:rsidRPr="00A66F03">
              <w:rPr>
                <w:rFonts w:ascii="Times New Roman" w:hAnsi="Times New Roman" w:cs="Times New Roman"/>
                <w:lang w:val="en-GB"/>
              </w:rPr>
              <w:t xml:space="preserve">he basis of the needs identified in the revised integrated transport strategies, municipalities will continue to carry out measures to improve the conditions for walking and cycling and for access to public transport.  </w:t>
            </w:r>
          </w:p>
        </w:tc>
      </w:tr>
      <w:tr w:rsidR="00143DBE" w:rsidRPr="00A66F03" w14:paraId="679DE100" w14:textId="77777777" w:rsidTr="002C3693">
        <w:tc>
          <w:tcPr>
            <w:tcW w:w="700" w:type="pct"/>
            <w:tcBorders>
              <w:top w:val="single" w:sz="6" w:space="0" w:color="000000"/>
              <w:left w:val="single" w:sz="6" w:space="0" w:color="000000"/>
              <w:bottom w:val="single" w:sz="6" w:space="0" w:color="000000"/>
              <w:right w:val="single" w:sz="6" w:space="0" w:color="000000"/>
            </w:tcBorders>
            <w:shd w:val="clear" w:color="auto" w:fill="auto"/>
          </w:tcPr>
          <w:p w14:paraId="354E75C3" w14:textId="77777777" w:rsidR="00CC28C7" w:rsidRPr="00A66F03" w:rsidRDefault="00976636" w:rsidP="00B72629">
            <w:pPr>
              <w:tabs>
                <w:tab w:val="center" w:pos="647"/>
              </w:tabs>
              <w:spacing w:after="0" w:line="276" w:lineRule="auto"/>
              <w:rPr>
                <w:rFonts w:ascii="Times New Roman" w:eastAsia="Times New Roman" w:hAnsi="Times New Roman" w:cs="Times New Roman"/>
                <w:lang w:val="en-GB"/>
              </w:rPr>
            </w:pPr>
            <w:r w:rsidRPr="00A66F03">
              <w:rPr>
                <w:rFonts w:ascii="Times New Roman" w:eastAsia="Times New Roman" w:hAnsi="Times New Roman" w:cs="Times New Roman"/>
                <w:lang w:val="en-GB"/>
              </w:rPr>
              <w:lastRenderedPageBreak/>
              <w:t xml:space="preserve">PO4: A more social Europe </w:t>
            </w:r>
            <w:r w:rsidRPr="00A66F03">
              <w:rPr>
                <w:rFonts w:ascii="Times New Roman" w:eastAsia="Times New Roman" w:hAnsi="Times New Roman" w:cs="Times New Roman"/>
                <w:lang w:val="en-GB"/>
              </w:rPr>
              <w:t>implementing the European Pillar of Social Rights</w:t>
            </w:r>
          </w:p>
        </w:tc>
        <w:tc>
          <w:tcPr>
            <w:tcW w:w="705" w:type="pct"/>
            <w:tcBorders>
              <w:top w:val="single" w:sz="6" w:space="0" w:color="000000"/>
              <w:left w:val="single" w:sz="6" w:space="0" w:color="000000"/>
              <w:bottom w:val="single" w:sz="6" w:space="0" w:color="000000"/>
              <w:right w:val="single" w:sz="6" w:space="0" w:color="000000"/>
            </w:tcBorders>
            <w:shd w:val="clear" w:color="auto" w:fill="auto"/>
          </w:tcPr>
          <w:p w14:paraId="1E089328" w14:textId="77777777" w:rsidR="00CC28C7" w:rsidRPr="00A66F03" w:rsidRDefault="00976636" w:rsidP="002C3693">
            <w:pPr>
              <w:spacing w:after="0" w:line="276" w:lineRule="auto"/>
              <w:rPr>
                <w:rFonts w:ascii="Times New Roman" w:eastAsia="Times New Roman" w:hAnsi="Times New Roman" w:cs="Times New Roman"/>
                <w:lang w:val="en-GB"/>
              </w:rPr>
            </w:pPr>
            <w:r w:rsidRPr="00A66F03">
              <w:rPr>
                <w:rFonts w:ascii="Times New Roman" w:eastAsia="Times New Roman" w:hAnsi="Times New Roman" w:cs="Times New Roman"/>
                <w:lang w:val="en-GB"/>
              </w:rPr>
              <w:t>ECP 2021–2027 programme</w:t>
            </w:r>
          </w:p>
          <w:p w14:paraId="4A022CCA" w14:textId="77777777" w:rsidR="000D7CA3" w:rsidRPr="00A66F03" w:rsidRDefault="000D7CA3" w:rsidP="002C3693">
            <w:pPr>
              <w:spacing w:after="0" w:line="276" w:lineRule="auto"/>
              <w:rPr>
                <w:rFonts w:ascii="Times New Roman" w:eastAsia="Times New Roman" w:hAnsi="Times New Roman" w:cs="Times New Roman"/>
                <w:lang w:val="en-GB"/>
              </w:rPr>
            </w:pPr>
          </w:p>
          <w:p w14:paraId="507D1141" w14:textId="77777777" w:rsidR="000D7CA3" w:rsidRPr="00A66F03" w:rsidRDefault="000D7CA3" w:rsidP="002C3693">
            <w:pPr>
              <w:spacing w:after="0" w:line="276" w:lineRule="auto"/>
              <w:rPr>
                <w:rFonts w:ascii="Times New Roman" w:eastAsia="Times New Roman" w:hAnsi="Times New Roman" w:cs="Times New Roman"/>
                <w:lang w:val="en-GB"/>
              </w:rPr>
            </w:pPr>
          </w:p>
        </w:tc>
        <w:tc>
          <w:tcPr>
            <w:tcW w:w="469" w:type="pct"/>
            <w:tcBorders>
              <w:top w:val="single" w:sz="6" w:space="0" w:color="000000"/>
              <w:left w:val="single" w:sz="6" w:space="0" w:color="000000"/>
              <w:bottom w:val="single" w:sz="6" w:space="0" w:color="000000"/>
              <w:right w:val="single" w:sz="6" w:space="0" w:color="000000"/>
            </w:tcBorders>
            <w:shd w:val="clear" w:color="auto" w:fill="auto"/>
          </w:tcPr>
          <w:p w14:paraId="690BDC94" w14:textId="77777777" w:rsidR="00CC28C7" w:rsidRPr="00A66F03" w:rsidRDefault="00976636" w:rsidP="002C3693">
            <w:pPr>
              <w:spacing w:after="0" w:line="276" w:lineRule="auto"/>
              <w:rPr>
                <w:rFonts w:ascii="Times New Roman" w:eastAsia="Times New Roman" w:hAnsi="Times New Roman" w:cs="Times New Roman"/>
                <w:lang w:val="en-GB"/>
              </w:rPr>
            </w:pPr>
            <w:r w:rsidRPr="00A66F03">
              <w:rPr>
                <w:rFonts w:ascii="Times New Roman" w:eastAsia="Times New Roman" w:hAnsi="Times New Roman" w:cs="Times New Roman"/>
                <w:lang w:val="en-GB"/>
              </w:rPr>
              <w:t>ESF + ERDF</w:t>
            </w:r>
          </w:p>
        </w:tc>
        <w:tc>
          <w:tcPr>
            <w:tcW w:w="3126" w:type="pct"/>
            <w:tcBorders>
              <w:top w:val="single" w:sz="6" w:space="0" w:color="000000"/>
              <w:left w:val="single" w:sz="6" w:space="0" w:color="000000"/>
              <w:bottom w:val="single" w:sz="6" w:space="0" w:color="000000"/>
              <w:right w:val="single" w:sz="6" w:space="0" w:color="000000"/>
            </w:tcBorders>
            <w:shd w:val="clear" w:color="auto" w:fill="auto"/>
          </w:tcPr>
          <w:p w14:paraId="0719FE2C" w14:textId="77777777" w:rsidR="00F37B09" w:rsidRPr="00A66F03" w:rsidRDefault="00976636" w:rsidP="00B72629">
            <w:pPr>
              <w:spacing w:after="0" w:line="276" w:lineRule="auto"/>
              <w:ind w:right="195"/>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t>Slovenia’s development in the 2014–2019 period was largely focused on the challenges faced by individual population groups.</w:t>
            </w:r>
          </w:p>
          <w:p w14:paraId="0B38A0C0" w14:textId="77777777" w:rsidR="001B201C" w:rsidRPr="00A66F03" w:rsidRDefault="00976636" w:rsidP="001B201C">
            <w:pPr>
              <w:spacing w:after="0" w:line="276" w:lineRule="auto"/>
              <w:ind w:right="195"/>
              <w:jc w:val="both"/>
              <w:rPr>
                <w:rFonts w:ascii="Times New Roman" w:eastAsia="Times New Roman" w:hAnsi="Times New Roman" w:cs="Times New Roman"/>
                <w:lang w:val="en-GB"/>
              </w:rPr>
            </w:pPr>
            <w:r w:rsidRPr="00A66F03">
              <w:rPr>
                <w:rFonts w:ascii="Times New Roman" w:hAnsi="Times New Roman" w:cs="Times New Roman"/>
                <w:lang w:val="en-GB"/>
              </w:rPr>
              <w:t xml:space="preserve">The Covid-19 epidemic brought a halt to the </w:t>
            </w:r>
            <w:r w:rsidRPr="00A66F03">
              <w:rPr>
                <w:rFonts w:ascii="Times New Roman" w:hAnsi="Times New Roman" w:cs="Times New Roman"/>
                <w:lang w:val="en-GB"/>
              </w:rPr>
              <w:t>favourable labour market trends that had prevailed since 2014.  As long as the pandemic eases and the labour market continues to recover, the risk of social exclusion, which is mainly brought about by unemployment (and the fall in income caused by long-ter</w:t>
            </w:r>
            <w:r w:rsidRPr="00A66F03">
              <w:rPr>
                <w:rFonts w:ascii="Times New Roman" w:hAnsi="Times New Roman" w:cs="Times New Roman"/>
                <w:lang w:val="en-GB"/>
              </w:rPr>
              <w:t>m unemployment and inactivity), can be projected, by 2030, to return to (or even be lower than) the lowest level, which was recorded in 2019.</w:t>
            </w:r>
            <w:r w:rsidRPr="00A66F03">
              <w:rPr>
                <w:rStyle w:val="Sprotnaopomba-sklic"/>
                <w:rFonts w:ascii="Times New Roman" w:eastAsia="Times New Roman" w:hAnsi="Times New Roman" w:cs="Times New Roman"/>
                <w:lang w:val="en-GB"/>
              </w:rPr>
              <w:footnoteReference w:id="54"/>
            </w:r>
            <w:r w:rsidRPr="00A66F03">
              <w:rPr>
                <w:rFonts w:ascii="Times New Roman" w:hAnsi="Times New Roman" w:cs="Times New Roman"/>
                <w:lang w:val="en-GB"/>
              </w:rPr>
              <w:t xml:space="preserve"> The average risk-of-social-exclusion rate in Slovenia was 15% in 2020, with five statistical (NUTS 3) regions in </w:t>
            </w:r>
            <w:r w:rsidRPr="00A66F03">
              <w:rPr>
                <w:rFonts w:ascii="Times New Roman" w:hAnsi="Times New Roman" w:cs="Times New Roman"/>
                <w:lang w:val="en-GB"/>
              </w:rPr>
              <w:t>the Eastern Slovenia Cohesion Region recording rates that were higher than the average. This will be addressed with more resources under the measures.</w:t>
            </w:r>
            <w:r w:rsidRPr="00A66F03">
              <w:rPr>
                <w:rStyle w:val="Sprotnaopomba-sklic"/>
                <w:rFonts w:ascii="Times New Roman" w:eastAsia="Times New Roman" w:hAnsi="Times New Roman" w:cs="Times New Roman"/>
                <w:lang w:val="en-GB"/>
              </w:rPr>
              <w:footnoteReference w:id="55"/>
            </w:r>
          </w:p>
          <w:p w14:paraId="167B9329" w14:textId="77777777" w:rsidR="00C939F9" w:rsidRPr="00A66F03" w:rsidRDefault="00976636" w:rsidP="00A91930">
            <w:pPr>
              <w:spacing w:after="0" w:line="276" w:lineRule="auto"/>
              <w:ind w:right="195"/>
              <w:jc w:val="both"/>
              <w:rPr>
                <w:rFonts w:ascii="Times New Roman" w:eastAsia="Times New Roman" w:hAnsi="Times New Roman" w:cs="Times New Roman"/>
                <w:lang w:val="en-GB"/>
              </w:rPr>
            </w:pPr>
            <w:r w:rsidRPr="00A66F03">
              <w:rPr>
                <w:rFonts w:ascii="Times New Roman" w:hAnsi="Times New Roman"/>
                <w:lang w:val="en-GB"/>
              </w:rPr>
              <w:t xml:space="preserve">However, demographic trends will have the greatest impact on the labour market situation and the social </w:t>
            </w:r>
            <w:r w:rsidRPr="00A66F03">
              <w:rPr>
                <w:rFonts w:ascii="Times New Roman" w:hAnsi="Times New Roman"/>
                <w:lang w:val="en-GB"/>
              </w:rPr>
              <w:t>security of vulnerable target groups in the future.</w:t>
            </w:r>
            <w:r w:rsidRPr="00A66F03">
              <w:rPr>
                <w:lang w:val="en-GB"/>
              </w:rPr>
              <w:t xml:space="preserve"> </w:t>
            </w:r>
            <w:r w:rsidRPr="00A66F03">
              <w:rPr>
                <w:rFonts w:ascii="Times New Roman" w:hAnsi="Times New Roman"/>
                <w:lang w:val="en-GB"/>
              </w:rPr>
              <w:t>Slovenia has one of the three fastest-ageing populations in the EU.</w:t>
            </w:r>
            <w:r w:rsidRPr="00A66F03">
              <w:rPr>
                <w:rStyle w:val="Sprotnaopomba-sklic"/>
                <w:rFonts w:ascii="Times New Roman" w:eastAsia="Times New Roman" w:hAnsi="Times New Roman" w:cs="Times New Roman"/>
                <w:lang w:val="en-GB"/>
              </w:rPr>
              <w:footnoteReference w:id="56"/>
            </w:r>
            <w:r w:rsidRPr="00A66F03">
              <w:rPr>
                <w:lang w:val="en-GB"/>
              </w:rPr>
              <w:t xml:space="preserve"> </w:t>
            </w:r>
            <w:r w:rsidRPr="00A66F03">
              <w:rPr>
                <w:rFonts w:ascii="Times New Roman" w:hAnsi="Times New Roman"/>
                <w:lang w:val="en-GB"/>
              </w:rPr>
              <w:t xml:space="preserve">By 2030, the over-65s will represent almost 25% of the country’s total population. Although Slovenia’s system of social transfers significantly reduces the at-risk-of-poverty/social-exclusion rate, there are some population groups, particularly women </w:t>
            </w:r>
            <w:r w:rsidRPr="00A66F03">
              <w:rPr>
                <w:rFonts w:ascii="Times New Roman" w:hAnsi="Times New Roman"/>
                <w:lang w:val="en-GB"/>
              </w:rPr>
              <w:lastRenderedPageBreak/>
              <w:t xml:space="preserve">aged </w:t>
            </w:r>
            <w:r w:rsidRPr="00A66F03">
              <w:rPr>
                <w:rFonts w:ascii="Times New Roman" w:hAnsi="Times New Roman"/>
                <w:lang w:val="en-GB"/>
              </w:rPr>
              <w:t>65 and over and people aged 75 and over, with an at-risk-of-poverty rate that is higher than the EU average.</w:t>
            </w:r>
          </w:p>
          <w:p w14:paraId="1DC94238" w14:textId="77777777" w:rsidR="00A91930" w:rsidRPr="00A66F03" w:rsidRDefault="00976636" w:rsidP="00A91930">
            <w:pPr>
              <w:spacing w:after="0" w:line="276" w:lineRule="auto"/>
              <w:ind w:right="195"/>
              <w:jc w:val="both"/>
              <w:rPr>
                <w:lang w:val="en-GB"/>
              </w:rPr>
            </w:pPr>
            <w:r w:rsidRPr="00A66F03">
              <w:rPr>
                <w:rFonts w:ascii="Times New Roman" w:eastAsia="Times New Roman" w:hAnsi="Times New Roman" w:cs="Times New Roman"/>
                <w:lang w:val="en-GB"/>
              </w:rPr>
              <w:t>The number of people living below the at-risk-of-poverty threshold in Slovenia is also strongly influenced by the income status of individuals aged</w:t>
            </w:r>
            <w:r w:rsidRPr="00A66F03">
              <w:rPr>
                <w:rFonts w:ascii="Times New Roman" w:eastAsia="Times New Roman" w:hAnsi="Times New Roman" w:cs="Times New Roman"/>
                <w:lang w:val="en-GB"/>
              </w:rPr>
              <w:t xml:space="preserve"> 55 and over, particularly pensioners</w:t>
            </w:r>
            <w:r w:rsidRPr="00A66F03">
              <w:rPr>
                <w:rStyle w:val="Sprotnaopomba-sklic"/>
                <w:rFonts w:ascii="Times New Roman" w:eastAsia="Times New Roman" w:hAnsi="Times New Roman" w:cs="Times New Roman"/>
                <w:lang w:val="en-GB"/>
              </w:rPr>
              <w:footnoteReference w:id="57"/>
            </w:r>
            <w:r w:rsidRPr="00A66F03">
              <w:rPr>
                <w:lang w:val="en-GB"/>
              </w:rPr>
              <w:t>.</w:t>
            </w:r>
          </w:p>
          <w:p w14:paraId="4CFE2C45" w14:textId="77777777" w:rsidR="001C7185" w:rsidRPr="00A66F03" w:rsidRDefault="00976636" w:rsidP="001C7185">
            <w:pPr>
              <w:spacing w:after="0" w:line="276" w:lineRule="auto"/>
              <w:ind w:right="195"/>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t>Employers are already struggling to recruit adequate staff, with 54.6% estimating that this will continue into the future.</w:t>
            </w:r>
            <w:r w:rsidRPr="00A66F03">
              <w:rPr>
                <w:rStyle w:val="Sprotnaopomba-sklic"/>
                <w:rFonts w:ascii="Times New Roman" w:eastAsia="Times New Roman" w:hAnsi="Times New Roman" w:cs="Times New Roman"/>
                <w:lang w:val="en-GB"/>
              </w:rPr>
              <w:footnoteReference w:id="58"/>
            </w:r>
            <w:r w:rsidRPr="00A66F03">
              <w:rPr>
                <w:rFonts w:ascii="Times New Roman" w:eastAsia="Times New Roman" w:hAnsi="Times New Roman" w:cs="Times New Roman"/>
                <w:lang w:val="en-GB"/>
              </w:rPr>
              <w:t xml:space="preserve"> Regarding workload, the proportion of people faced with demands that exceed their capacity i</w:t>
            </w:r>
            <w:r w:rsidRPr="00A66F03">
              <w:rPr>
                <w:rFonts w:ascii="Times New Roman" w:eastAsia="Times New Roman" w:hAnsi="Times New Roman" w:cs="Times New Roman"/>
                <w:lang w:val="en-GB"/>
              </w:rPr>
              <w:t>s highest among those in the 50–64 age group.</w:t>
            </w:r>
            <w:r w:rsidRPr="00A66F03">
              <w:rPr>
                <w:rStyle w:val="Sprotnaopomba-sklic"/>
                <w:rFonts w:ascii="Times New Roman" w:eastAsia="Times New Roman" w:hAnsi="Times New Roman" w:cs="Times New Roman"/>
                <w:lang w:val="en-GB"/>
              </w:rPr>
              <w:footnoteReference w:id="59"/>
            </w:r>
            <w:r w:rsidRPr="00A66F03">
              <w:rPr>
                <w:rFonts w:ascii="Times New Roman" w:eastAsia="Times New Roman" w:hAnsi="Times New Roman" w:cs="Times New Roman"/>
                <w:lang w:val="en-GB"/>
              </w:rPr>
              <w:t xml:space="preserve"> The growth in the elderly population is becoming a pressing issue for the labour market and one that requires an integrated approach to maximising employment of the active population and increasing occupationa</w:t>
            </w:r>
            <w:r w:rsidRPr="00A66F03">
              <w:rPr>
                <w:rFonts w:ascii="Times New Roman" w:eastAsia="Times New Roman" w:hAnsi="Times New Roman" w:cs="Times New Roman"/>
                <w:lang w:val="en-GB"/>
              </w:rPr>
              <w:t>l health and safety. There is also an urgent need to provide education and training to employees, particularly the over-54s and those with lower levels of education, at the same time providing adequate support to businesses to help prolong their employees’</w:t>
            </w:r>
            <w:r w:rsidRPr="00A66F03">
              <w:rPr>
                <w:rFonts w:ascii="Times New Roman" w:eastAsia="Times New Roman" w:hAnsi="Times New Roman" w:cs="Times New Roman"/>
                <w:lang w:val="en-GB"/>
              </w:rPr>
              <w:t xml:space="preserve"> working lives. Comprehensive pre- and post-retirement counselling and support services should also be put in place, with a focus on prolonging careers and reactivating older people. </w:t>
            </w:r>
          </w:p>
          <w:p w14:paraId="4DF5294F" w14:textId="77777777" w:rsidR="00A91930" w:rsidRPr="00A66F03" w:rsidRDefault="00976636" w:rsidP="00A91930">
            <w:pPr>
              <w:spacing w:after="0" w:line="276" w:lineRule="auto"/>
              <w:jc w:val="both"/>
              <w:rPr>
                <w:rFonts w:ascii="Times New Roman" w:eastAsia="Times New Roman" w:hAnsi="Times New Roman" w:cs="Times New Roman"/>
                <w:lang w:val="en-GB"/>
              </w:rPr>
            </w:pPr>
            <w:r w:rsidRPr="00A66F03">
              <w:rPr>
                <w:rFonts w:ascii="Times New Roman" w:hAnsi="Times New Roman" w:cs="Times New Roman"/>
                <w:lang w:val="en-GB"/>
              </w:rPr>
              <w:t>In 2020 the positive downward trend in the long-term unemployment rate w</w:t>
            </w:r>
            <w:r w:rsidRPr="00A66F03">
              <w:rPr>
                <w:rFonts w:ascii="Times New Roman" w:hAnsi="Times New Roman" w:cs="Times New Roman"/>
                <w:lang w:val="en-GB"/>
              </w:rPr>
              <w:t xml:space="preserve">as halted by a strong increase in unemployment. At the end of May 2022, </w:t>
            </w:r>
            <w:r w:rsidRPr="00A66F03">
              <w:rPr>
                <w:rStyle w:val="Sprotnaopomba-sklic"/>
                <w:rFonts w:ascii="Times New Roman" w:eastAsia="Times New Roman" w:hAnsi="Times New Roman" w:cs="Times New Roman"/>
                <w:lang w:val="en-GB"/>
              </w:rPr>
              <w:footnoteReference w:id="60"/>
            </w:r>
            <w:r w:rsidRPr="00A66F03">
              <w:rPr>
                <w:rFonts w:ascii="Times New Roman" w:hAnsi="Times New Roman" w:cs="Times New Roman"/>
                <w:lang w:val="en-GB"/>
              </w:rPr>
              <w:t xml:space="preserve"> 58,854 people were registered as unemployed. The long-term unemployed accounted for 55.5% of this number (31,025) and, strikingly, 69.8% of the long-term unemployed had been out of w</w:t>
            </w:r>
            <w:r w:rsidRPr="00A66F03">
              <w:rPr>
                <w:rFonts w:ascii="Times New Roman" w:hAnsi="Times New Roman" w:cs="Times New Roman"/>
                <w:lang w:val="en-GB"/>
              </w:rPr>
              <w:t>ork for more than 24 months (21,671). The over-50s generally find themselves in the most difficult situation, accounting for 46.2% of all long-term unemployed people (14,333), followed by people with primary education (34.4%, 10,665), people with disabilit</w:t>
            </w:r>
            <w:r w:rsidRPr="00A66F03">
              <w:rPr>
                <w:rFonts w:ascii="Times New Roman" w:hAnsi="Times New Roman" w:cs="Times New Roman"/>
                <w:lang w:val="en-GB"/>
              </w:rPr>
              <w:t xml:space="preserve">ies (24.2%, 7,512) and young people up to the age 29 (11.6%, 3,587). </w:t>
            </w:r>
            <w:bookmarkStart w:id="2" w:name="_Hlk106616474"/>
            <w:r w:rsidRPr="00A66F03">
              <w:rPr>
                <w:rFonts w:ascii="Times New Roman" w:hAnsi="Times New Roman" w:cs="Times New Roman"/>
                <w:lang w:val="en-GB"/>
              </w:rPr>
              <w:t>The regional distribution of long-term unemployment for May 2022 shows that it is more pronounced in the ESCR, which accounts for 57.9% (17,976) of all long-term unemployed people in Slov</w:t>
            </w:r>
            <w:r w:rsidRPr="00A66F03">
              <w:rPr>
                <w:rFonts w:ascii="Times New Roman" w:hAnsi="Times New Roman" w:cs="Times New Roman"/>
                <w:lang w:val="en-GB"/>
              </w:rPr>
              <w:t>enia (42.1%</w:t>
            </w:r>
            <w:bookmarkEnd w:id="2"/>
            <w:r w:rsidRPr="00A66F03">
              <w:rPr>
                <w:rFonts w:ascii="Times New Roman" w:hAnsi="Times New Roman" w:cs="Times New Roman"/>
                <w:lang w:val="en-GB"/>
              </w:rPr>
              <w:t>, 13,049 in the WSCR). People who have completed secondary education or less (ISCED Level 3) account for 51% of the unemployed (15,849).</w:t>
            </w:r>
            <w:r w:rsidRPr="00A66F03">
              <w:rPr>
                <w:rStyle w:val="Sprotnaopomba-sklic"/>
                <w:rFonts w:ascii="Times New Roman" w:hAnsi="Times New Roman" w:cs="Times New Roman"/>
                <w:lang w:val="en-GB"/>
              </w:rPr>
              <w:footnoteReference w:id="61"/>
            </w:r>
          </w:p>
          <w:p w14:paraId="513E9829" w14:textId="77777777" w:rsidR="00434CEC" w:rsidRPr="00A66F03" w:rsidRDefault="00976636" w:rsidP="0069341D">
            <w:pPr>
              <w:spacing w:after="0" w:line="276" w:lineRule="auto"/>
              <w:jc w:val="both"/>
              <w:rPr>
                <w:rFonts w:ascii="Times New Roman" w:eastAsia="Times New Roman" w:hAnsi="Times New Roman" w:cs="Times New Roman"/>
                <w:b/>
                <w:lang w:val="en-GB"/>
              </w:rPr>
            </w:pPr>
            <w:r w:rsidRPr="00A66F03">
              <w:rPr>
                <w:rFonts w:ascii="Times New Roman" w:hAnsi="Times New Roman"/>
                <w:lang w:val="en-GB"/>
              </w:rPr>
              <w:t>Slovenia is currently experiencing positive downward trends in registered unemployment. According to the Em</w:t>
            </w:r>
            <w:r w:rsidRPr="00A66F03">
              <w:rPr>
                <w:rFonts w:ascii="Times New Roman" w:hAnsi="Times New Roman"/>
                <w:lang w:val="en-GB"/>
              </w:rPr>
              <w:t xml:space="preserve">ployment Service of Slovenia (ZRSZ), the average registered </w:t>
            </w:r>
            <w:r w:rsidRPr="00A66F03">
              <w:rPr>
                <w:rFonts w:ascii="Times New Roman" w:hAnsi="Times New Roman"/>
                <w:lang w:val="en-GB"/>
              </w:rPr>
              <w:lastRenderedPageBreak/>
              <w:t>unemployment rate was 8.7% in 2020 and 7.6% in 2021. Employers in Slovenia are positive about employment trends in the first half of 2022 and predict a 2.8% increase in the number of people in emp</w:t>
            </w:r>
            <w:r w:rsidRPr="00A66F03">
              <w:rPr>
                <w:rFonts w:ascii="Times New Roman" w:hAnsi="Times New Roman"/>
                <w:lang w:val="en-GB"/>
              </w:rPr>
              <w:t>loyment. However, current improvements in the core employment and unemployment rate indicators does not mean that active employment can be expected to grow for the entire duration of the Multi-Annual Financial Framework (MFF). In addition to measures to pr</w:t>
            </w:r>
            <w:r w:rsidRPr="00A66F03">
              <w:rPr>
                <w:rFonts w:ascii="Times New Roman" w:hAnsi="Times New Roman"/>
                <w:lang w:val="en-GB"/>
              </w:rPr>
              <w:t>eserve jobs, additional measures and resources are therefore needed in this area to reactivate and retrain unemployed people, including young people, who remain highly vulnerable to temporary employment. Due to their lack of experience, and depending on th</w:t>
            </w:r>
            <w:r w:rsidRPr="00A66F03">
              <w:rPr>
                <w:rFonts w:ascii="Times New Roman" w:hAnsi="Times New Roman"/>
                <w:lang w:val="en-GB"/>
              </w:rPr>
              <w:t xml:space="preserve">eir level of educational attainment, it is difficult for young people to find suitable employment, especially a first job, when entering the labour market. This can lead to them accepting various forms of precarious work </w:t>
            </w:r>
            <w:r w:rsidRPr="00A66F03">
              <w:rPr>
                <w:lang w:val="en-GB"/>
              </w:rPr>
              <w:t>(</w:t>
            </w:r>
            <w:r w:rsidRPr="00A66F03">
              <w:rPr>
                <w:rFonts w:ascii="Times New Roman" w:hAnsi="Times New Roman"/>
                <w:lang w:val="en-GB"/>
              </w:rPr>
              <w:t>part-time employment, temporary em</w:t>
            </w:r>
            <w:r w:rsidRPr="00A66F03">
              <w:rPr>
                <w:rFonts w:ascii="Times New Roman" w:hAnsi="Times New Roman"/>
                <w:lang w:val="en-GB"/>
              </w:rPr>
              <w:t>ployment, shift work, Sunday work, agency work and student work). In its 2021 analysis of young people and the labour market,</w:t>
            </w:r>
            <w:r w:rsidRPr="00A66F03">
              <w:rPr>
                <w:rStyle w:val="Sprotnaopomba-sklic"/>
                <w:rFonts w:ascii="Times New Roman" w:hAnsi="Times New Roman" w:cs="Times New Roman"/>
                <w:lang w:val="en-GB"/>
              </w:rPr>
              <w:footnoteReference w:id="62"/>
            </w:r>
            <w:r w:rsidRPr="00A66F03">
              <w:rPr>
                <w:rFonts w:ascii="Times New Roman" w:hAnsi="Times New Roman"/>
                <w:lang w:val="en-GB"/>
              </w:rPr>
              <w:t xml:space="preserve"> the Employment Service found that young people were more likely to make use of flexible forms of work than other age groups. The </w:t>
            </w:r>
            <w:r w:rsidRPr="00A66F03">
              <w:rPr>
                <w:rFonts w:ascii="Times New Roman" w:hAnsi="Times New Roman"/>
                <w:lang w:val="en-GB"/>
              </w:rPr>
              <w:t>risk of precarity is most common in student work and among agency workers, economically dependent self-employed people, platform workers, individuals working mainly through civil law contracts, and employees with employment contracts of less than three mon</w:t>
            </w:r>
            <w:r w:rsidRPr="00A66F03">
              <w:rPr>
                <w:rFonts w:ascii="Times New Roman" w:hAnsi="Times New Roman"/>
                <w:lang w:val="en-GB"/>
              </w:rPr>
              <w:t xml:space="preserve">ths. In its document ‘Towards Decent Work’, the MDDSZ identifies three key measures to tackle precarity: changes to labour law and labour market regulation, systemic changes to labour inspection to ensure better supervision of the use of atypical forms of </w:t>
            </w:r>
            <w:r w:rsidRPr="00A66F03">
              <w:rPr>
                <w:rFonts w:ascii="Times New Roman" w:hAnsi="Times New Roman"/>
                <w:lang w:val="en-GB"/>
              </w:rPr>
              <w:t>work, and the provision of adequate information to interested parties and the general public. NGOs also recognise awareness-raising as one of the measures to combat precarity among young people; these can take the form of national awareness campaigns, form</w:t>
            </w:r>
            <w:r w:rsidRPr="00A66F03">
              <w:rPr>
                <w:rFonts w:ascii="Times New Roman" w:hAnsi="Times New Roman"/>
                <w:lang w:val="en-GB"/>
              </w:rPr>
              <w:t xml:space="preserve">al and non-formal education, and the popularisation and upgrading of some of the existing Slovenian Employment Service programmes.  </w:t>
            </w:r>
          </w:p>
          <w:p w14:paraId="69603C47" w14:textId="77777777" w:rsidR="00B72629" w:rsidRPr="00A66F03" w:rsidRDefault="00B72629" w:rsidP="0069341D">
            <w:pPr>
              <w:spacing w:after="0" w:line="276" w:lineRule="auto"/>
              <w:ind w:right="195"/>
              <w:jc w:val="both"/>
              <w:rPr>
                <w:rFonts w:ascii="Times New Roman" w:eastAsia="Times New Roman" w:hAnsi="Times New Roman" w:cs="Times New Roman"/>
                <w:b/>
                <w:lang w:val="en-GB"/>
              </w:rPr>
            </w:pPr>
          </w:p>
          <w:p w14:paraId="2BF55266" w14:textId="77777777" w:rsidR="00CD1DF1" w:rsidRPr="00A66F03" w:rsidRDefault="00976636" w:rsidP="00CD1DF1">
            <w:pPr>
              <w:spacing w:after="0" w:line="276" w:lineRule="auto"/>
              <w:ind w:right="195"/>
              <w:jc w:val="both"/>
              <w:rPr>
                <w:rFonts w:ascii="Times New Roman" w:eastAsia="Times New Roman" w:hAnsi="Times New Roman" w:cs="Times New Roman"/>
                <w:b/>
                <w:lang w:val="en-GB"/>
              </w:rPr>
            </w:pPr>
            <w:r w:rsidRPr="00A66F03">
              <w:rPr>
                <w:rFonts w:ascii="Times New Roman" w:eastAsia="Times New Roman" w:hAnsi="Times New Roman" w:cs="Times New Roman"/>
                <w:b/>
                <w:bCs/>
                <w:lang w:val="en-GB"/>
              </w:rPr>
              <w:t xml:space="preserve">Ensuring a sufficiently broad range of general and professional competencies </w:t>
            </w:r>
          </w:p>
          <w:p w14:paraId="7D66EE64" w14:textId="77777777" w:rsidR="00DE4F2E" w:rsidRPr="00A66F03" w:rsidRDefault="00976636" w:rsidP="00B72629">
            <w:pPr>
              <w:spacing w:after="0" w:line="276" w:lineRule="auto"/>
              <w:ind w:right="195"/>
              <w:jc w:val="both"/>
              <w:rPr>
                <w:rFonts w:ascii="Times New Roman" w:eastAsia="Times New Roman" w:hAnsi="Times New Roman" w:cs="Times New Roman"/>
                <w:lang w:val="en-GB"/>
              </w:rPr>
            </w:pPr>
            <w:r w:rsidRPr="00A66F03">
              <w:rPr>
                <w:rFonts w:ascii="Times New Roman" w:hAnsi="Times New Roman" w:cs="Times New Roman"/>
                <w:lang w:val="en-GB"/>
              </w:rPr>
              <w:t>In the face of adverse demographic trends, the development of relevant knowledge and skills is becoming a growing challenge for young people and adults. According to 66.7% of employers, the main problem encountered when trying to fill vacancies is the comp</w:t>
            </w:r>
            <w:r w:rsidRPr="00A66F03">
              <w:rPr>
                <w:rFonts w:ascii="Times New Roman" w:hAnsi="Times New Roman" w:cs="Times New Roman"/>
                <w:lang w:val="en-GB"/>
              </w:rPr>
              <w:t xml:space="preserve">lete lack of staff, while only 12.7% identify candidates’ lack of competence, knowledge and skills as a key problem (in particular, a lack of vocationally specific </w:t>
            </w:r>
            <w:r w:rsidRPr="00A66F03">
              <w:rPr>
                <w:rFonts w:ascii="Times New Roman" w:hAnsi="Times New Roman" w:cs="Times New Roman"/>
                <w:lang w:val="en-GB"/>
              </w:rPr>
              <w:lastRenderedPageBreak/>
              <w:t>skills, horizontal skills and inadequate education). In the next few years, labour market de</w:t>
            </w:r>
            <w:r w:rsidRPr="00A66F03">
              <w:rPr>
                <w:rFonts w:ascii="Times New Roman" w:hAnsi="Times New Roman" w:cs="Times New Roman"/>
                <w:lang w:val="en-GB"/>
              </w:rPr>
              <w:t xml:space="preserve">velopments will be further affected by a lack of workers resulting from demographic changes, which could again lead to increasing constraints on the growth of value added.  </w:t>
            </w:r>
          </w:p>
          <w:p w14:paraId="70D45C46" w14:textId="77777777" w:rsidR="00DE4F2E" w:rsidRPr="00A66F03" w:rsidRDefault="00976636" w:rsidP="00B72629">
            <w:pPr>
              <w:spacing w:after="0" w:line="276" w:lineRule="auto"/>
              <w:ind w:right="195"/>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t>Demand is outstripping supply mainly in the technical professions, catering, healt</w:t>
            </w:r>
            <w:r w:rsidRPr="00A66F03">
              <w:rPr>
                <w:rFonts w:ascii="Times New Roman" w:eastAsia="Times New Roman" w:hAnsi="Times New Roman" w:cs="Times New Roman"/>
                <w:lang w:val="en-GB"/>
              </w:rPr>
              <w:t>h and social care, and unskilled occupations.</w:t>
            </w:r>
            <w:r w:rsidRPr="00A66F03">
              <w:rPr>
                <w:rFonts w:ascii="Times New Roman" w:eastAsia="Times New Roman" w:hAnsi="Times New Roman" w:cs="Times New Roman"/>
                <w:vertAlign w:val="superscript"/>
                <w:lang w:val="en-GB"/>
              </w:rPr>
              <w:footnoteReference w:id="63"/>
            </w:r>
            <w:r w:rsidRPr="00A66F03">
              <w:rPr>
                <w:rFonts w:ascii="Times New Roman" w:eastAsia="Times New Roman" w:hAnsi="Times New Roman" w:cs="Times New Roman"/>
                <w:lang w:val="en-GB"/>
              </w:rPr>
              <w:t xml:space="preserve"> In the years leading up to 2030, we are expecting growth mainly in business and manufacturing, with a decline in primary activities.</w:t>
            </w:r>
            <w:r w:rsidRPr="00A66F03">
              <w:rPr>
                <w:rFonts w:ascii="Times New Roman" w:eastAsia="Times New Roman" w:hAnsi="Times New Roman" w:cs="Times New Roman"/>
                <w:vertAlign w:val="superscript"/>
                <w:lang w:val="en-GB"/>
              </w:rPr>
              <w:footnoteReference w:id="64"/>
            </w:r>
            <w:r w:rsidRPr="00A66F03">
              <w:rPr>
                <w:rFonts w:ascii="Times New Roman" w:eastAsia="Times New Roman" w:hAnsi="Times New Roman" w:cs="Times New Roman"/>
                <w:lang w:val="en-GB"/>
              </w:rPr>
              <w:t xml:space="preserve"> </w:t>
            </w:r>
          </w:p>
          <w:p w14:paraId="1DE4E3A4" w14:textId="77777777" w:rsidR="002468ED" w:rsidRPr="00A66F03" w:rsidRDefault="00976636" w:rsidP="002468ED">
            <w:pPr>
              <w:spacing w:after="0" w:line="276" w:lineRule="auto"/>
              <w:ind w:right="195"/>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t>Shifts in the structure of enrolment in tertiary education are therefore n</w:t>
            </w:r>
            <w:r w:rsidRPr="00A66F03">
              <w:rPr>
                <w:rFonts w:ascii="Times New Roman" w:eastAsia="Times New Roman" w:hAnsi="Times New Roman" w:cs="Times New Roman"/>
                <w:lang w:val="en-GB"/>
              </w:rPr>
              <w:t>ot sufficient, and there is a need to bolster lifelong learning and reskilling,</w:t>
            </w:r>
            <w:r w:rsidRPr="00A66F03">
              <w:rPr>
                <w:rFonts w:ascii="Times New Roman" w:eastAsia="Times New Roman" w:hAnsi="Times New Roman" w:cs="Times New Roman"/>
                <w:vertAlign w:val="superscript"/>
                <w:lang w:val="en-GB"/>
              </w:rPr>
              <w:footnoteReference w:id="65"/>
            </w:r>
            <w:r w:rsidRPr="00A66F03">
              <w:rPr>
                <w:rFonts w:ascii="Times New Roman" w:eastAsia="Times New Roman" w:hAnsi="Times New Roman" w:cs="Times New Roman"/>
                <w:lang w:val="en-GB"/>
              </w:rPr>
              <w:t xml:space="preserve"> as well as providing a more visible role for lifelong career guidance and stronger integration with development approaches along the pupil/student–knowledge institutions–econo</w:t>
            </w:r>
            <w:r w:rsidRPr="00A66F03">
              <w:rPr>
                <w:rFonts w:ascii="Times New Roman" w:eastAsia="Times New Roman" w:hAnsi="Times New Roman" w:cs="Times New Roman"/>
                <w:lang w:val="en-GB"/>
              </w:rPr>
              <w:t>my axis. As a result of the epidemic, adult participation in lifelong learning fell sharply in the second quarter of 2020 (to 5.6%). This was the first time it had fallen to below the EU average (7.9%).</w:t>
            </w:r>
            <w:r w:rsidRPr="00A66F03">
              <w:rPr>
                <w:rStyle w:val="Sprotnaopomba-sklic"/>
                <w:rFonts w:ascii="Times New Roman" w:eastAsia="Times New Roman" w:hAnsi="Times New Roman" w:cs="Times New Roman"/>
                <w:lang w:val="en-GB"/>
              </w:rPr>
              <w:footnoteReference w:id="66"/>
            </w:r>
            <w:r w:rsidRPr="00A66F03">
              <w:rPr>
                <w:rFonts w:ascii="Times New Roman" w:eastAsia="Times New Roman" w:hAnsi="Times New Roman" w:cs="Times New Roman"/>
                <w:lang w:val="en-GB"/>
              </w:rPr>
              <w:t xml:space="preserve"> The results of the PIAAC survey showed that 24.9% of</w:t>
            </w:r>
            <w:r w:rsidRPr="00A66F03">
              <w:rPr>
                <w:rFonts w:ascii="Times New Roman" w:eastAsia="Times New Roman" w:hAnsi="Times New Roman" w:cs="Times New Roman"/>
                <w:lang w:val="en-GB"/>
              </w:rPr>
              <w:t xml:space="preserve"> adults in Slovenia had reached only the first or less than the first level of literacy skills (OECD average 18.9%) and 25.8% had reached only the first or less than the first level of numeracy skills (OECD average 22.7%). At the same time, 31.18% of adult</w:t>
            </w:r>
            <w:r w:rsidRPr="00A66F03">
              <w:rPr>
                <w:rFonts w:ascii="Times New Roman" w:eastAsia="Times New Roman" w:hAnsi="Times New Roman" w:cs="Times New Roman"/>
                <w:lang w:val="en-GB"/>
              </w:rPr>
              <w:t xml:space="preserve">s aged between 16 and 65 had achieved only the lowest literacy and numeracy levels (OECD average: 27.18%) and 18.4% of survey respondents admitted that they did not have basic computer skills (OECD average: 14.6%). It is therefore imperative to strengthen </w:t>
            </w:r>
            <w:r w:rsidRPr="00A66F03">
              <w:rPr>
                <w:rFonts w:ascii="Times New Roman" w:eastAsia="Times New Roman" w:hAnsi="Times New Roman" w:cs="Times New Roman"/>
                <w:lang w:val="en-GB"/>
              </w:rPr>
              <w:t>digital skills and knowledge, the knowledge required for energy transition, the circular economy, climate change mitigation and adaptation, and social development in general, at the same time increasing adults’ motivation to participate in adult education.</w:t>
            </w:r>
          </w:p>
          <w:p w14:paraId="70FDC7F1" w14:textId="77777777" w:rsidR="002468ED" w:rsidRPr="00A66F03" w:rsidRDefault="00976636" w:rsidP="00B72629">
            <w:pPr>
              <w:spacing w:after="0" w:line="276" w:lineRule="auto"/>
              <w:ind w:right="195"/>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t>The results of the PISA 2018 survey show that one in five pupils do not achieve basic literacy, numeracy and science skills. The best-performing group was that of 15-year-olds with the highest socio-economic status, while the worst-performing group was th</w:t>
            </w:r>
            <w:r w:rsidRPr="00A66F03">
              <w:rPr>
                <w:rFonts w:ascii="Times New Roman" w:eastAsia="Times New Roman" w:hAnsi="Times New Roman" w:cs="Times New Roman"/>
                <w:lang w:val="en-GB"/>
              </w:rPr>
              <w:t>at of 15-year-olds with the lowest socio-economic status. The disparities between boys and girls in reading and science further widened in Slovenia between 2015 and 2018, and were particularly marked in reading literacy (a difference of 13.9 percentage poi</w:t>
            </w:r>
            <w:r w:rsidRPr="00A66F03">
              <w:rPr>
                <w:rFonts w:ascii="Times New Roman" w:eastAsia="Times New Roman" w:hAnsi="Times New Roman" w:cs="Times New Roman"/>
                <w:lang w:val="en-GB"/>
              </w:rPr>
              <w:t xml:space="preserve">nts; EU-27: 9.9 percentage points). There is also a significant difference </w:t>
            </w:r>
            <w:r w:rsidRPr="00A66F03">
              <w:rPr>
                <w:rFonts w:ascii="Times New Roman" w:eastAsia="Times New Roman" w:hAnsi="Times New Roman" w:cs="Times New Roman"/>
                <w:lang w:val="en-GB"/>
              </w:rPr>
              <w:lastRenderedPageBreak/>
              <w:t xml:space="preserve">between the average reading performance of pupils with a migrant background (8.9% of pupils) and those born in Slovenia. This difference is one of the biggest in the EU (63 points; </w:t>
            </w:r>
            <w:r w:rsidRPr="00A66F03">
              <w:rPr>
                <w:rFonts w:ascii="Times New Roman" w:eastAsia="Times New Roman" w:hAnsi="Times New Roman" w:cs="Times New Roman"/>
                <w:lang w:val="en-GB"/>
              </w:rPr>
              <w:t>EU: 44.9 points) and has increased by 12 percentage points since 2015.</w:t>
            </w:r>
          </w:p>
          <w:p w14:paraId="52EC5FB0" w14:textId="77777777" w:rsidR="002468ED" w:rsidRPr="00A66F03" w:rsidRDefault="00976636" w:rsidP="00B72629">
            <w:pPr>
              <w:spacing w:after="0" w:line="276" w:lineRule="auto"/>
              <w:ind w:right="195"/>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t>In order to improve the academic performance of all schoolchildren, future work with vulnerable groups should follow the proposed work programme and recommendations and the draft amendm</w:t>
            </w:r>
            <w:r w:rsidRPr="00A66F03">
              <w:rPr>
                <w:rFonts w:ascii="Times New Roman" w:eastAsia="Times New Roman" w:hAnsi="Times New Roman" w:cs="Times New Roman"/>
                <w:lang w:val="en-GB"/>
              </w:rPr>
              <w:t>ents to the emerging legal bases for the integration of immigrant children at the level of pre-primary, primary and secondary education; account should also be taken of the experiences and lessons learned from the educational work undertaken in Roma settle</w:t>
            </w:r>
            <w:r w:rsidRPr="00A66F03">
              <w:rPr>
                <w:rFonts w:ascii="Times New Roman" w:eastAsia="Times New Roman" w:hAnsi="Times New Roman" w:cs="Times New Roman"/>
                <w:lang w:val="en-GB"/>
              </w:rPr>
              <w:t>ments in the 2014–2020 period.</w:t>
            </w:r>
          </w:p>
          <w:p w14:paraId="511FB595" w14:textId="77777777" w:rsidR="00B03A3A" w:rsidRPr="00A66F03" w:rsidRDefault="00976636" w:rsidP="00B72629">
            <w:pPr>
              <w:spacing w:after="0" w:line="276" w:lineRule="auto"/>
              <w:ind w:right="195"/>
              <w:jc w:val="both"/>
              <w:rPr>
                <w:rFonts w:ascii="Times New Roman" w:hAnsi="Times New Roman" w:cs="Times New Roman"/>
                <w:lang w:val="en-GB"/>
              </w:rPr>
            </w:pPr>
            <w:r w:rsidRPr="00A66F03">
              <w:rPr>
                <w:rFonts w:ascii="Times New Roman" w:hAnsi="Times New Roman" w:cs="Times New Roman"/>
                <w:lang w:val="en-GB"/>
              </w:rPr>
              <w:t>Pupils in Slovenia also report one of the lowest levels of availability of ICT for their own use at school. Policies exist at national level for investments in school digital infrastructure and for the development, availabili</w:t>
            </w:r>
            <w:r w:rsidRPr="00A66F03">
              <w:rPr>
                <w:rFonts w:ascii="Times New Roman" w:hAnsi="Times New Roman" w:cs="Times New Roman"/>
                <w:lang w:val="en-GB"/>
              </w:rPr>
              <w:t>ty and quality of digital learning resources, but few schools have ICT strategies (greatly below the EU average at all ISCED levels).</w:t>
            </w:r>
            <w:r w:rsidRPr="00A66F03">
              <w:rPr>
                <w:rStyle w:val="Sprotnaopomba-sklic"/>
                <w:rFonts w:ascii="Times New Roman" w:eastAsia="Times New Roman" w:hAnsi="Times New Roman" w:cs="Times New Roman"/>
                <w:lang w:val="en-GB"/>
              </w:rPr>
              <w:footnoteReference w:id="67"/>
            </w:r>
            <w:r w:rsidRPr="00A66F03">
              <w:rPr>
                <w:rFonts w:ascii="Times New Roman" w:hAnsi="Times New Roman" w:cs="Times New Roman"/>
                <w:lang w:val="en-GB"/>
              </w:rPr>
              <w:t xml:space="preserve"> </w:t>
            </w:r>
          </w:p>
          <w:p w14:paraId="4885FC61" w14:textId="77777777" w:rsidR="002468ED" w:rsidRPr="00A66F03" w:rsidRDefault="00976636" w:rsidP="002468ED">
            <w:pPr>
              <w:spacing w:after="0" w:line="276" w:lineRule="auto"/>
              <w:ind w:right="195"/>
              <w:jc w:val="both"/>
              <w:rPr>
                <w:rFonts w:ascii="Times New Roman" w:hAnsi="Times New Roman" w:cs="Times New Roman"/>
                <w:lang w:val="en-GB"/>
              </w:rPr>
            </w:pPr>
            <w:r w:rsidRPr="00A66F03">
              <w:rPr>
                <w:rFonts w:ascii="Times New Roman" w:hAnsi="Times New Roman" w:cs="Times New Roman"/>
                <w:lang w:val="en-GB"/>
              </w:rPr>
              <w:t>A review of data on the completion of studies in tertiary education shows that more men than women in most fields of stu</w:t>
            </w:r>
            <w:r w:rsidRPr="00A66F03">
              <w:rPr>
                <w:rFonts w:ascii="Times New Roman" w:hAnsi="Times New Roman" w:cs="Times New Roman"/>
                <w:lang w:val="en-GB"/>
              </w:rPr>
              <w:t>dy are enrolled in first-cycle (undergraduate) professional education compared to university (academic) study programmes. However, the ratio between men and women changes by the time studies are completed, as a result of higher drop-out or employment rates</w:t>
            </w:r>
            <w:r w:rsidRPr="00A66F03">
              <w:rPr>
                <w:rFonts w:ascii="Times New Roman" w:hAnsi="Times New Roman" w:cs="Times New Roman"/>
                <w:lang w:val="en-GB"/>
              </w:rPr>
              <w:t xml:space="preserve"> among men (we are still reviewing the phenomenon of ‘job out’). The differences in higher education attainment are also, to a certain extent, ‘inherited’ from secondary education, which is completed by more women than men. The PISA study found that men wi</w:t>
            </w:r>
            <w:r w:rsidRPr="00A66F03">
              <w:rPr>
                <w:rFonts w:ascii="Times New Roman" w:hAnsi="Times New Roman" w:cs="Times New Roman"/>
                <w:lang w:val="en-GB"/>
              </w:rPr>
              <w:t>th better knowledge and skills tended to opt earlier for vocational education, in contrast to women, who enrolled in general secondary schools (</w:t>
            </w:r>
            <w:r w:rsidRPr="00A66F03">
              <w:rPr>
                <w:rFonts w:ascii="Times New Roman" w:hAnsi="Times New Roman" w:cs="Times New Roman"/>
                <w:i/>
                <w:iCs/>
                <w:lang w:val="en-GB"/>
              </w:rPr>
              <w:t>gimnazije</w:t>
            </w:r>
            <w:r w:rsidRPr="00A66F03">
              <w:rPr>
                <w:rFonts w:ascii="Times New Roman" w:hAnsi="Times New Roman" w:cs="Times New Roman"/>
                <w:lang w:val="en-GB"/>
              </w:rPr>
              <w:t>) with comparable or lower knowledge and skills, and then continued their education in higher education</w:t>
            </w:r>
            <w:r w:rsidRPr="00A66F03">
              <w:rPr>
                <w:rFonts w:ascii="Times New Roman" w:hAnsi="Times New Roman" w:cs="Times New Roman"/>
                <w:lang w:val="en-GB"/>
              </w:rPr>
              <w:t xml:space="preserve"> institutions.</w:t>
            </w:r>
          </w:p>
          <w:p w14:paraId="572FFA9D" w14:textId="77777777" w:rsidR="00EB7263" w:rsidRPr="00A66F03" w:rsidRDefault="00976636" w:rsidP="00B72629">
            <w:pPr>
              <w:spacing w:after="0" w:line="276" w:lineRule="auto"/>
              <w:ind w:right="195"/>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t>The proportion of new teachers in the workforce is the lowest in the EU (3.9%; EU-23: 11.6%) and the proportion of teachers under the age of 30 is below the EU average (6.4% vs 7.4%).</w:t>
            </w:r>
            <w:r w:rsidRPr="00A66F03">
              <w:rPr>
                <w:rStyle w:val="Sprotnaopomba-sklic"/>
                <w:rFonts w:ascii="Times New Roman" w:eastAsia="Times New Roman" w:hAnsi="Times New Roman" w:cs="Times New Roman"/>
                <w:lang w:val="en-GB"/>
              </w:rPr>
              <w:footnoteReference w:id="68"/>
            </w:r>
            <w:r w:rsidRPr="00A66F03">
              <w:rPr>
                <w:rFonts w:ascii="Times New Roman" w:eastAsia="Times New Roman" w:hAnsi="Times New Roman" w:cs="Times New Roman"/>
                <w:lang w:val="en-GB"/>
              </w:rPr>
              <w:t xml:space="preserve"> The challenge is therefore and above all to promote the teaching profession and to replace teachers who are about to retire.</w:t>
            </w:r>
          </w:p>
          <w:p w14:paraId="66AE5005" w14:textId="77777777" w:rsidR="002468ED" w:rsidRPr="00A66F03" w:rsidRDefault="00976636" w:rsidP="00B72629">
            <w:pPr>
              <w:spacing w:after="0" w:line="276" w:lineRule="auto"/>
              <w:ind w:right="195"/>
              <w:jc w:val="both"/>
              <w:rPr>
                <w:rFonts w:ascii="Times New Roman" w:eastAsia="Times New Roman" w:hAnsi="Times New Roman" w:cs="Times New Roman"/>
                <w:lang w:val="en-GB"/>
              </w:rPr>
            </w:pPr>
            <w:r w:rsidRPr="00A66F03">
              <w:rPr>
                <w:rFonts w:ascii="Times New Roman" w:hAnsi="Times New Roman" w:cs="Times New Roman"/>
                <w:lang w:val="en-GB"/>
              </w:rPr>
              <w:lastRenderedPageBreak/>
              <w:t>An analysis of the state of public education infrastructure</w:t>
            </w:r>
            <w:r w:rsidRPr="00A66F03">
              <w:rPr>
                <w:rStyle w:val="Sprotnaopomba-sklic"/>
                <w:rFonts w:ascii="Times New Roman" w:eastAsia="Times New Roman" w:hAnsi="Times New Roman" w:cs="Times New Roman"/>
                <w:lang w:val="en-GB"/>
              </w:rPr>
              <w:footnoteReference w:id="69"/>
            </w:r>
            <w:r w:rsidRPr="00A66F03">
              <w:rPr>
                <w:rFonts w:ascii="Times New Roman" w:hAnsi="Times New Roman" w:cs="Times New Roman"/>
                <w:lang w:val="en-GB"/>
              </w:rPr>
              <w:t xml:space="preserve"> shows that the past few decades have seen no systematic investment, o</w:t>
            </w:r>
            <w:r w:rsidRPr="00A66F03">
              <w:rPr>
                <w:rFonts w:ascii="Times New Roman" w:hAnsi="Times New Roman" w:cs="Times New Roman"/>
                <w:lang w:val="en-GB"/>
              </w:rPr>
              <w:t>r that resources in this area have been insufficient over that period. The existing building stock is therefore in a relatively poor condition and requires significant investment. The greening of education infrastructure is also one of the key dimensions o</w:t>
            </w:r>
            <w:r w:rsidRPr="00A66F03">
              <w:rPr>
                <w:rFonts w:ascii="Times New Roman" w:hAnsi="Times New Roman" w:cs="Times New Roman"/>
                <w:lang w:val="en-GB"/>
              </w:rPr>
              <w:t>f the new European Education Area By 2025, in line with the Commission’s proposal, which also draws attention to this area in the recommendations to Slovenia (CSR 2019).</w:t>
            </w:r>
            <w:r w:rsidRPr="00A66F03">
              <w:rPr>
                <w:rFonts w:ascii="Times New Roman" w:hAnsi="Times New Roman" w:cs="Times New Roman"/>
                <w:vertAlign w:val="superscript"/>
                <w:lang w:val="en-GB"/>
              </w:rPr>
              <w:t xml:space="preserve"> </w:t>
            </w:r>
            <w:r w:rsidRPr="00A66F03">
              <w:rPr>
                <w:rFonts w:ascii="Times New Roman" w:hAnsi="Times New Roman" w:cs="Times New Roman"/>
                <w:vertAlign w:val="superscript"/>
                <w:lang w:val="en-GB"/>
              </w:rPr>
              <w:footnoteReference w:id="70"/>
            </w:r>
            <w:r w:rsidRPr="00A66F03">
              <w:rPr>
                <w:rFonts w:ascii="Times New Roman" w:hAnsi="Times New Roman" w:cs="Times New Roman"/>
                <w:vertAlign w:val="superscript"/>
                <w:lang w:val="en-GB"/>
              </w:rPr>
              <w:t>,</w:t>
            </w:r>
            <w:r w:rsidRPr="00A66F03">
              <w:rPr>
                <w:rFonts w:ascii="Times New Roman" w:hAnsi="Times New Roman" w:cs="Times New Roman"/>
                <w:vertAlign w:val="superscript"/>
                <w:lang w:val="en-GB"/>
              </w:rPr>
              <w:footnoteReference w:id="71"/>
            </w:r>
            <w:r w:rsidRPr="00A66F03">
              <w:rPr>
                <w:rFonts w:ascii="Times New Roman" w:hAnsi="Times New Roman" w:cs="Times New Roman"/>
                <w:vertAlign w:val="superscript"/>
                <w:lang w:val="en-GB"/>
              </w:rPr>
              <w:t>,</w:t>
            </w:r>
            <w:r w:rsidRPr="00A66F03">
              <w:rPr>
                <w:rFonts w:ascii="Times New Roman" w:hAnsi="Times New Roman" w:cs="Times New Roman"/>
                <w:vertAlign w:val="superscript"/>
                <w:lang w:val="en-GB"/>
              </w:rPr>
              <w:footnoteReference w:id="72"/>
            </w:r>
            <w:r w:rsidRPr="00A66F03">
              <w:rPr>
                <w:rFonts w:ascii="Times New Roman" w:hAnsi="Times New Roman" w:cs="Times New Roman"/>
                <w:lang w:val="en-GB"/>
              </w:rPr>
              <w:t xml:space="preserve">. </w:t>
            </w:r>
          </w:p>
          <w:p w14:paraId="4840BABD" w14:textId="77777777" w:rsidR="002A51AC" w:rsidRPr="00A66F03" w:rsidRDefault="002A51AC" w:rsidP="00B72629">
            <w:pPr>
              <w:spacing w:after="0" w:line="276" w:lineRule="auto"/>
              <w:ind w:right="195"/>
              <w:jc w:val="both"/>
              <w:rPr>
                <w:rFonts w:ascii="Times New Roman" w:eastAsia="Times New Roman" w:hAnsi="Times New Roman" w:cs="Times New Roman"/>
                <w:lang w:val="en-GB"/>
              </w:rPr>
            </w:pPr>
          </w:p>
          <w:p w14:paraId="7648C637" w14:textId="77777777" w:rsidR="00CC28C7" w:rsidRPr="00A66F03" w:rsidRDefault="00976636" w:rsidP="00B72629">
            <w:pPr>
              <w:spacing w:after="0" w:line="276" w:lineRule="auto"/>
              <w:ind w:right="195"/>
              <w:jc w:val="both"/>
              <w:rPr>
                <w:rFonts w:ascii="Times New Roman" w:eastAsia="Times New Roman" w:hAnsi="Times New Roman" w:cs="Times New Roman"/>
                <w:b/>
                <w:lang w:val="en-GB"/>
              </w:rPr>
            </w:pPr>
            <w:r w:rsidRPr="00A66F03">
              <w:rPr>
                <w:rFonts w:ascii="Times New Roman" w:eastAsia="Times New Roman" w:hAnsi="Times New Roman" w:cs="Times New Roman"/>
                <w:b/>
                <w:bCs/>
                <w:lang w:val="en-GB"/>
              </w:rPr>
              <w:t xml:space="preserve">Ensuring solidarity-based and sustainable social protection, health care and </w:t>
            </w:r>
            <w:r w:rsidRPr="00A66F03">
              <w:rPr>
                <w:rFonts w:ascii="Times New Roman" w:eastAsia="Times New Roman" w:hAnsi="Times New Roman" w:cs="Times New Roman"/>
                <w:b/>
                <w:bCs/>
                <w:lang w:val="en-GB"/>
              </w:rPr>
              <w:t>long-term care systems</w:t>
            </w:r>
          </w:p>
          <w:p w14:paraId="60E918D9" w14:textId="77777777" w:rsidR="008D4B36" w:rsidRPr="00A66F03" w:rsidRDefault="00976636" w:rsidP="00453344">
            <w:pPr>
              <w:spacing w:after="0" w:line="276" w:lineRule="auto"/>
              <w:ind w:right="195"/>
              <w:jc w:val="both"/>
              <w:rPr>
                <w:rFonts w:ascii="Times New Roman" w:eastAsia="Times New Roman" w:hAnsi="Times New Roman" w:cs="Times New Roman"/>
                <w:lang w:val="en-GB"/>
              </w:rPr>
            </w:pPr>
            <w:r w:rsidRPr="00A66F03">
              <w:rPr>
                <w:rFonts w:ascii="Times New Roman" w:hAnsi="Times New Roman"/>
                <w:lang w:val="en-GB"/>
              </w:rPr>
              <w:t>Ensuring the resilience of the health care and long-term care systems requires a sufficient supply of critical medical equipment and the elimination of shortages of health workers,</w:t>
            </w:r>
            <w:r w:rsidRPr="00A66F03">
              <w:rPr>
                <w:rFonts w:ascii="Times New Roman" w:hAnsi="Times New Roman"/>
                <w:vertAlign w:val="superscript"/>
                <w:lang w:val="en-GB"/>
              </w:rPr>
              <w:footnoteReference w:id="73"/>
            </w:r>
            <w:r w:rsidRPr="00A66F03">
              <w:rPr>
                <w:rFonts w:ascii="Times New Roman" w:hAnsi="Times New Roman"/>
                <w:lang w:val="en-GB"/>
              </w:rPr>
              <w:t xml:space="preserve"> something that became particularly apparent during </w:t>
            </w:r>
            <w:r w:rsidRPr="00A66F03">
              <w:rPr>
                <w:rFonts w:ascii="Times New Roman" w:hAnsi="Times New Roman"/>
                <w:lang w:val="en-GB"/>
              </w:rPr>
              <w:t>the pandemic. The ageing of the population calls for an increase in existing capacities to provide long-term care, strengthen deinstitutionalisation and ensure better home care.</w:t>
            </w:r>
            <w:r w:rsidRPr="00A66F03">
              <w:rPr>
                <w:rFonts w:ascii="Times New Roman" w:hAnsi="Times New Roman"/>
                <w:vertAlign w:val="superscript"/>
                <w:lang w:val="en-GB"/>
              </w:rPr>
              <w:footnoteReference w:id="74"/>
            </w:r>
            <w:r w:rsidRPr="00A66F03">
              <w:rPr>
                <w:rFonts w:ascii="Times New Roman" w:hAnsi="Times New Roman"/>
                <w:lang w:val="en-GB"/>
              </w:rPr>
              <w:t xml:space="preserve"> As the population ages, there will be an increasing need for health care and </w:t>
            </w:r>
            <w:r w:rsidRPr="00A66F03">
              <w:rPr>
                <w:rFonts w:ascii="Times New Roman" w:hAnsi="Times New Roman"/>
                <w:lang w:val="en-GB"/>
              </w:rPr>
              <w:t>nursing professions, as shown by the results of the 2021 Occupational Barometer survey, with staff shortages expected in many health care professions next year. The professions for which employers are experiencing the greatest difficulty in finding suitabl</w:t>
            </w:r>
            <w:r w:rsidRPr="00A66F03">
              <w:rPr>
                <w:rFonts w:ascii="Times New Roman" w:hAnsi="Times New Roman"/>
                <w:lang w:val="en-GB"/>
              </w:rPr>
              <w:t>e staff include nurses, institutional care workers, physiotherapists, nursing professionals, doctors and health professionals.</w:t>
            </w:r>
            <w:r w:rsidRPr="00A66F03">
              <w:rPr>
                <w:rStyle w:val="Sprotnaopomba-sklic"/>
                <w:rFonts w:ascii="Times New Roman" w:eastAsia="Times New Roman" w:hAnsi="Times New Roman" w:cs="Times New Roman"/>
                <w:lang w:val="en-GB"/>
              </w:rPr>
              <w:footnoteReference w:id="75"/>
            </w:r>
            <w:r w:rsidRPr="00A66F03">
              <w:rPr>
                <w:rFonts w:ascii="Arial" w:hAnsi="Arial"/>
                <w:sz w:val="16"/>
                <w:szCs w:val="16"/>
                <w:shd w:val="clear" w:color="auto" w:fill="FFFFFF"/>
                <w:lang w:val="en-GB"/>
              </w:rPr>
              <w:t xml:space="preserve"> </w:t>
            </w:r>
            <w:r w:rsidRPr="00A66F03">
              <w:rPr>
                <w:rFonts w:ascii="Times New Roman" w:hAnsi="Times New Roman"/>
                <w:lang w:val="en-GB"/>
              </w:rPr>
              <w:t>In 2019, 2,802 adults were living in institutional care in the ESCR</w:t>
            </w:r>
            <w:r w:rsidRPr="00A66F03">
              <w:rPr>
                <w:rFonts w:ascii="Times New Roman" w:hAnsi="Times New Roman"/>
                <w:lang w:val="en-GB"/>
              </w:rPr>
              <w:t>, of whom only 296 lived in intermediate structures (residential communities with fewer than six people). These figures were 1,779 and 172 (respectively) for the WSCR. Lifestyle indicators are worsening in Slovenia, as reflected in higher levels of absente</w:t>
            </w:r>
            <w:r w:rsidRPr="00A66F03">
              <w:rPr>
                <w:rFonts w:ascii="Times New Roman" w:hAnsi="Times New Roman"/>
                <w:lang w:val="en-GB"/>
              </w:rPr>
              <w:t>eism due to illness. The Covid-19 pandemic has also had a significant impact on mental health. More attention should be paid to preventive activities</w:t>
            </w:r>
            <w:r w:rsidRPr="00A66F03">
              <w:rPr>
                <w:rFonts w:ascii="Times New Roman" w:hAnsi="Times New Roman"/>
                <w:vertAlign w:val="superscript"/>
                <w:lang w:val="en-GB"/>
              </w:rPr>
              <w:footnoteReference w:id="76"/>
            </w:r>
            <w:r w:rsidRPr="00A66F03">
              <w:rPr>
                <w:rFonts w:ascii="Times New Roman" w:hAnsi="Times New Roman"/>
                <w:lang w:val="en-GB"/>
              </w:rPr>
              <w:t xml:space="preserve"> and to new (alternative) models of health care. The pandemic has also highlighted the need to regulate he</w:t>
            </w:r>
            <w:r w:rsidRPr="00A66F03">
              <w:rPr>
                <w:rFonts w:ascii="Times New Roman" w:hAnsi="Times New Roman"/>
                <w:lang w:val="en-GB"/>
              </w:rPr>
              <w:t>alth infrastructure in the area of communicable diseases. At the time of the epidemic, excess mortality in Slovenia was higher than in most European countries (91% and 80% in November and December 2020, respectively).</w:t>
            </w:r>
          </w:p>
          <w:p w14:paraId="696B3A2F" w14:textId="77777777" w:rsidR="00730CFC" w:rsidRPr="00A66F03" w:rsidRDefault="00976636" w:rsidP="00B72629">
            <w:pPr>
              <w:pStyle w:val="datumtevilka"/>
              <w:spacing w:line="276" w:lineRule="auto"/>
              <w:jc w:val="both"/>
              <w:rPr>
                <w:rFonts w:ascii="Times New Roman" w:hAnsi="Times New Roman"/>
                <w:sz w:val="22"/>
                <w:szCs w:val="22"/>
                <w:lang w:val="en-GB"/>
              </w:rPr>
            </w:pPr>
            <w:r w:rsidRPr="00A66F03">
              <w:rPr>
                <w:rFonts w:ascii="Times New Roman" w:hAnsi="Times New Roman"/>
                <w:sz w:val="22"/>
                <w:szCs w:val="22"/>
                <w:lang w:val="en-GB"/>
              </w:rPr>
              <w:lastRenderedPageBreak/>
              <w:t>The social protection system is extrem</w:t>
            </w:r>
            <w:r w:rsidRPr="00A66F03">
              <w:rPr>
                <w:rFonts w:ascii="Times New Roman" w:hAnsi="Times New Roman"/>
                <w:sz w:val="22"/>
                <w:szCs w:val="22"/>
                <w:lang w:val="en-GB"/>
              </w:rPr>
              <w:t>ely extensive and includes a wide range of stakeholders; this leads to a lack of cohesion within the profession and makes it more difficult to provide high-quality services to the individual and acquire information for analysis. The highly diverse nature o</w:t>
            </w:r>
            <w:r w:rsidRPr="00A66F03">
              <w:rPr>
                <w:rFonts w:ascii="Times New Roman" w:hAnsi="Times New Roman"/>
                <w:sz w:val="22"/>
                <w:szCs w:val="22"/>
                <w:lang w:val="en-GB"/>
              </w:rPr>
              <w:t>f the system is also evident when it comes to evaluating users’ needs (the deviations are considerable). The lack of a uniform approach is also reflected in the fact that there are many different record-keeping systems, which does not allow for uniform ass</w:t>
            </w:r>
            <w:r w:rsidRPr="00A66F03">
              <w:rPr>
                <w:rFonts w:ascii="Times New Roman" w:hAnsi="Times New Roman"/>
                <w:sz w:val="22"/>
                <w:szCs w:val="22"/>
                <w:lang w:val="en-GB"/>
              </w:rPr>
              <w:t>essments to be made – a fact pointed out by the Court of Auditors,</w:t>
            </w:r>
            <w:r w:rsidRPr="00A66F03">
              <w:rPr>
                <w:rFonts w:ascii="Times New Roman" w:hAnsi="Times New Roman"/>
                <w:sz w:val="22"/>
                <w:szCs w:val="22"/>
                <w:vertAlign w:val="superscript"/>
                <w:lang w:val="en-GB"/>
              </w:rPr>
              <w:footnoteReference w:id="77"/>
            </w:r>
            <w:r w:rsidRPr="00A66F03">
              <w:rPr>
                <w:rFonts w:ascii="Times New Roman" w:hAnsi="Times New Roman"/>
                <w:sz w:val="22"/>
                <w:szCs w:val="22"/>
                <w:lang w:val="en-GB"/>
              </w:rPr>
              <w:t xml:space="preserve"> and something that became particularly apparent during the Covid-19 pandemic. For this reason, particular attention will need to be paid to the digitalisation of social care services and t</w:t>
            </w:r>
            <w:r w:rsidRPr="00A66F03">
              <w:rPr>
                <w:rFonts w:ascii="Times New Roman" w:hAnsi="Times New Roman"/>
                <w:sz w:val="22"/>
                <w:szCs w:val="22"/>
                <w:lang w:val="en-GB"/>
              </w:rPr>
              <w:t>o the creation of links between social services centres and other institutions in the fields of the labour market, health care and staff training.</w:t>
            </w:r>
          </w:p>
          <w:p w14:paraId="51A418DB" w14:textId="77777777" w:rsidR="00CC28C7" w:rsidRPr="00A66F03" w:rsidRDefault="00976636" w:rsidP="00B72629">
            <w:pPr>
              <w:spacing w:after="0" w:line="276" w:lineRule="auto"/>
              <w:ind w:right="195"/>
              <w:jc w:val="both"/>
              <w:rPr>
                <w:rFonts w:ascii="Times New Roman" w:eastAsia="Times New Roman" w:hAnsi="Times New Roman" w:cs="Times New Roman"/>
                <w:lang w:val="en-GB"/>
              </w:rPr>
            </w:pPr>
            <w:r w:rsidRPr="00A66F03">
              <w:rPr>
                <w:rFonts w:ascii="Times New Roman" w:hAnsi="Times New Roman"/>
                <w:lang w:val="en-GB"/>
              </w:rPr>
              <w:t>The expansion of existing and the creation of new community-based services require the development and acquis</w:t>
            </w:r>
            <w:r w:rsidRPr="00A66F03">
              <w:rPr>
                <w:rFonts w:ascii="Times New Roman" w:hAnsi="Times New Roman"/>
                <w:lang w:val="en-GB"/>
              </w:rPr>
              <w:t>ition of new knowledge on the part of employees and service users. Therefore, as part of the overhaul of the system, the need has arisen to support and further educate social security staff in line with changed working methods and the principles of deinsti</w:t>
            </w:r>
            <w:r w:rsidRPr="00A66F03">
              <w:rPr>
                <w:rFonts w:ascii="Times New Roman" w:hAnsi="Times New Roman"/>
                <w:lang w:val="en-GB"/>
              </w:rPr>
              <w:t xml:space="preserve">tutionalisation.     </w:t>
            </w:r>
          </w:p>
          <w:p w14:paraId="1F5A6619" w14:textId="77777777" w:rsidR="00B72629" w:rsidRPr="00A66F03" w:rsidRDefault="00B72629" w:rsidP="00B72629">
            <w:pPr>
              <w:spacing w:after="0" w:line="276" w:lineRule="auto"/>
              <w:ind w:right="195"/>
              <w:jc w:val="both"/>
              <w:rPr>
                <w:rFonts w:ascii="Times New Roman" w:eastAsia="Times New Roman" w:hAnsi="Times New Roman" w:cs="Times New Roman"/>
                <w:b/>
                <w:lang w:val="en-GB"/>
              </w:rPr>
            </w:pPr>
          </w:p>
          <w:p w14:paraId="6A0B8D12" w14:textId="77777777" w:rsidR="00CC28C7" w:rsidRPr="00A66F03" w:rsidRDefault="00976636" w:rsidP="00B72629">
            <w:pPr>
              <w:spacing w:after="0" w:line="276" w:lineRule="auto"/>
              <w:ind w:right="195"/>
              <w:jc w:val="both"/>
              <w:rPr>
                <w:rFonts w:ascii="Times New Roman" w:eastAsia="Times New Roman" w:hAnsi="Times New Roman" w:cs="Times New Roman"/>
                <w:b/>
                <w:lang w:val="en-GB"/>
              </w:rPr>
            </w:pPr>
            <w:r w:rsidRPr="00A66F03">
              <w:rPr>
                <w:rFonts w:ascii="Times New Roman" w:eastAsia="Times New Roman" w:hAnsi="Times New Roman" w:cs="Times New Roman"/>
                <w:b/>
                <w:bCs/>
                <w:lang w:val="en-GB"/>
              </w:rPr>
              <w:t>Tackling poverty and social exclusion</w:t>
            </w:r>
          </w:p>
          <w:p w14:paraId="582FCA06" w14:textId="77777777" w:rsidR="00A91930" w:rsidRPr="00A66F03" w:rsidRDefault="00976636" w:rsidP="00A91930">
            <w:pPr>
              <w:pStyle w:val="datumtevilka"/>
              <w:spacing w:line="276" w:lineRule="auto"/>
              <w:jc w:val="both"/>
              <w:rPr>
                <w:rFonts w:ascii="Times New Roman" w:hAnsi="Times New Roman"/>
                <w:sz w:val="22"/>
                <w:szCs w:val="22"/>
                <w:lang w:val="en-GB"/>
              </w:rPr>
            </w:pPr>
            <w:r w:rsidRPr="00A66F03">
              <w:rPr>
                <w:rFonts w:ascii="Times New Roman" w:hAnsi="Times New Roman"/>
                <w:sz w:val="22"/>
                <w:szCs w:val="22"/>
                <w:lang w:val="en-GB"/>
              </w:rPr>
              <w:t xml:space="preserve">The at-risk-of-poverty and at-risk-of-social-exclusion rates are below the average for the EU-28. In 2020, 254,000 people (12.4%) of the population had an income below the poverty threshold, a </w:t>
            </w:r>
            <w:r w:rsidRPr="00A66F03">
              <w:rPr>
                <w:rFonts w:ascii="Times New Roman" w:hAnsi="Times New Roman"/>
                <w:sz w:val="22"/>
                <w:szCs w:val="22"/>
                <w:lang w:val="en-GB"/>
              </w:rPr>
              <w:t>rise of 11,000 on the year before. This number included 97,000 pensioners (19.5% of all pensioners), of whom 64,000 were women and 33,000 were men; 46,000 were in active employment (5% of the total workforce), 38,000 were unemployed (43.4% of all unemploye</w:t>
            </w:r>
            <w:r w:rsidRPr="00A66F03">
              <w:rPr>
                <w:rFonts w:ascii="Times New Roman" w:hAnsi="Times New Roman"/>
                <w:sz w:val="22"/>
                <w:szCs w:val="22"/>
                <w:lang w:val="en-GB"/>
              </w:rPr>
              <w:t>d people), 41,000 were minors (10.5% of all children), and 32,000 were classified as other persons (19.6% of people unfit for work, housewives, students and other inactive and unclassified people). In terms of age, the at-risk-of-poverty rate has risen for</w:t>
            </w:r>
            <w:r w:rsidRPr="00A66F03">
              <w:rPr>
                <w:rFonts w:ascii="Times New Roman" w:hAnsi="Times New Roman"/>
                <w:sz w:val="22"/>
                <w:szCs w:val="22"/>
                <w:lang w:val="en-GB"/>
              </w:rPr>
              <w:t xml:space="preserve"> people aged between 30 and 74 and fallen in all other age groups. The at-risk-of-poverty rate has increased for one-member older households (i.e. people aged 65 or over), households with at least three adults with dependants, and households of two adults </w:t>
            </w:r>
            <w:r w:rsidRPr="00A66F03">
              <w:rPr>
                <w:rFonts w:ascii="Times New Roman" w:hAnsi="Times New Roman"/>
                <w:sz w:val="22"/>
                <w:szCs w:val="22"/>
                <w:lang w:val="en-GB"/>
              </w:rPr>
              <w:t>with one dependent child. In addition to the groups mentioned above, the risk of social exclusion is also high among people with disabilities, children and young people with special needs, persons serving custodial sentences, migrants regardless of status,</w:t>
            </w:r>
            <w:r w:rsidRPr="00A66F03">
              <w:rPr>
                <w:rFonts w:ascii="Times New Roman" w:hAnsi="Times New Roman"/>
                <w:sz w:val="22"/>
                <w:szCs w:val="22"/>
                <w:lang w:val="en-GB"/>
              </w:rPr>
              <w:t xml:space="preserve"> and members of the Roma community.</w:t>
            </w:r>
            <w:r w:rsidRPr="00A66F03">
              <w:rPr>
                <w:rFonts w:ascii="Times New Roman" w:hAnsi="Times New Roman"/>
                <w:sz w:val="22"/>
                <w:szCs w:val="22"/>
                <w:vertAlign w:val="superscript"/>
                <w:lang w:val="en-GB"/>
              </w:rPr>
              <w:footnoteReference w:id="78"/>
            </w:r>
            <w:r w:rsidRPr="00A66F03">
              <w:rPr>
                <w:rFonts w:ascii="Times New Roman" w:hAnsi="Times New Roman"/>
                <w:sz w:val="22"/>
                <w:szCs w:val="22"/>
                <w:lang w:val="en-GB"/>
              </w:rPr>
              <w:t xml:space="preserve"> </w:t>
            </w:r>
          </w:p>
          <w:p w14:paraId="3C6623E4" w14:textId="77777777" w:rsidR="00A91930" w:rsidRPr="00A66F03" w:rsidRDefault="00976636" w:rsidP="00A91930">
            <w:pPr>
              <w:spacing w:after="0" w:line="276" w:lineRule="auto"/>
              <w:jc w:val="both"/>
              <w:rPr>
                <w:lang w:val="en-GB"/>
              </w:rPr>
            </w:pPr>
            <w:r w:rsidRPr="00A66F03">
              <w:rPr>
                <w:rFonts w:ascii="Times New Roman" w:hAnsi="Times New Roman"/>
                <w:lang w:val="en-GB"/>
              </w:rPr>
              <w:lastRenderedPageBreak/>
              <w:t>Although the long-term at-risk-of-poverty rate has decreased compared to the previous year, 7% of the Slovenian population (124,000 people, or one in 14) had been living below the at-risk-of-poverty threshold for an ex</w:t>
            </w:r>
            <w:r w:rsidRPr="00A66F03">
              <w:rPr>
                <w:rFonts w:ascii="Times New Roman" w:hAnsi="Times New Roman"/>
                <w:lang w:val="en-GB"/>
              </w:rPr>
              <w:t>tended period of time. The severe material deprivation rate was 3% (62,000 people) in 2020, with 309,000 people (15% of the total population) at risk of social exclusion in 2020</w:t>
            </w:r>
            <w:r w:rsidRPr="00A66F03">
              <w:rPr>
                <w:lang w:val="en-GB"/>
              </w:rPr>
              <w:t xml:space="preserve">. </w:t>
            </w:r>
          </w:p>
          <w:p w14:paraId="357BC842" w14:textId="77777777" w:rsidR="00A91930" w:rsidRPr="00A66F03" w:rsidRDefault="00976636" w:rsidP="00A91930">
            <w:pPr>
              <w:spacing w:after="0" w:line="276" w:lineRule="auto"/>
              <w:jc w:val="both"/>
              <w:rPr>
                <w:rFonts w:ascii="Times New Roman" w:hAnsi="Times New Roman" w:cs="Times New Roman"/>
                <w:lang w:val="en-GB"/>
              </w:rPr>
            </w:pPr>
            <w:r w:rsidRPr="00A66F03">
              <w:rPr>
                <w:rFonts w:ascii="Times New Roman" w:hAnsi="Times New Roman" w:cs="Times New Roman"/>
                <w:lang w:val="en-GB"/>
              </w:rPr>
              <w:t xml:space="preserve">Key measures to tackle poverty and prevent social exclusion (and </w:t>
            </w:r>
            <w:r w:rsidRPr="00A66F03">
              <w:rPr>
                <w:rFonts w:ascii="Times New Roman" w:hAnsi="Times New Roman" w:cs="Times New Roman"/>
                <w:lang w:val="en-GB"/>
              </w:rPr>
              <w:t>consequently improve the employment opportunities of the most vulnerable target groups) will be aimed at strengthening their competencies and developing and upgrading the support environment, thereby offering them various forms of prevention in local setti</w:t>
            </w:r>
            <w:r w:rsidRPr="00A66F03">
              <w:rPr>
                <w:rFonts w:ascii="Times New Roman" w:hAnsi="Times New Roman" w:cs="Times New Roman"/>
                <w:lang w:val="en-GB"/>
              </w:rPr>
              <w:t>ngs.</w:t>
            </w:r>
          </w:p>
          <w:p w14:paraId="68BE4B10" w14:textId="77777777" w:rsidR="00DE62EA" w:rsidRPr="00A66F03" w:rsidRDefault="00DE62EA" w:rsidP="00B72629">
            <w:pPr>
              <w:spacing w:after="0" w:line="276" w:lineRule="auto"/>
              <w:ind w:right="195"/>
              <w:jc w:val="both"/>
              <w:rPr>
                <w:rFonts w:ascii="Times New Roman" w:eastAsia="Times New Roman" w:hAnsi="Times New Roman" w:cs="Times New Roman"/>
                <w:b/>
                <w:lang w:val="en-GB"/>
              </w:rPr>
            </w:pPr>
          </w:p>
          <w:p w14:paraId="6752A2C4" w14:textId="77777777" w:rsidR="00CC28C7" w:rsidRPr="00A66F03" w:rsidRDefault="00976636" w:rsidP="00B72629">
            <w:pPr>
              <w:spacing w:after="0" w:line="276" w:lineRule="auto"/>
              <w:ind w:right="195"/>
              <w:jc w:val="both"/>
              <w:rPr>
                <w:rFonts w:ascii="Times New Roman" w:eastAsia="Times New Roman" w:hAnsi="Times New Roman" w:cs="Times New Roman"/>
                <w:b/>
                <w:lang w:val="en-GB"/>
              </w:rPr>
            </w:pPr>
            <w:r w:rsidRPr="00A66F03">
              <w:rPr>
                <w:rFonts w:ascii="Times New Roman" w:eastAsia="Times New Roman" w:hAnsi="Times New Roman" w:cs="Times New Roman"/>
                <w:b/>
                <w:bCs/>
                <w:lang w:val="en-GB"/>
              </w:rPr>
              <w:t xml:space="preserve">Strengthening the role of culture and tourism </w:t>
            </w:r>
          </w:p>
          <w:p w14:paraId="683B2001" w14:textId="77777777" w:rsidR="00155D6F" w:rsidRPr="00A66F03" w:rsidRDefault="00976636" w:rsidP="00155D6F">
            <w:pPr>
              <w:spacing w:after="0" w:line="276" w:lineRule="auto"/>
              <w:ind w:right="195"/>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t>Together with all its related activities, tourism accounts for 9.9% of GDP</w:t>
            </w:r>
            <w:r w:rsidRPr="00A66F03">
              <w:rPr>
                <w:rFonts w:ascii="Times New Roman" w:eastAsia="Times New Roman" w:hAnsi="Times New Roman" w:cs="Times New Roman"/>
                <w:vertAlign w:val="superscript"/>
                <w:lang w:val="en-GB"/>
              </w:rPr>
              <w:footnoteReference w:id="79"/>
            </w:r>
            <w:r w:rsidRPr="00A66F03">
              <w:rPr>
                <w:rFonts w:ascii="Times New Roman" w:eastAsia="Times New Roman" w:hAnsi="Times New Roman" w:cs="Times New Roman"/>
                <w:lang w:val="en-GB"/>
              </w:rPr>
              <w:t xml:space="preserve"> and employs 6.5 % of Slovenia’s total workforce. However, there were 35% fewer tourist arrivals and 28.7% fewer overnight stays</w:t>
            </w:r>
            <w:r w:rsidRPr="00A66F03">
              <w:rPr>
                <w:rFonts w:ascii="Times New Roman" w:eastAsia="Times New Roman" w:hAnsi="Times New Roman" w:cs="Times New Roman"/>
                <w:lang w:val="en-GB"/>
              </w:rPr>
              <w:t xml:space="preserve"> in 2021 compared to 2019. Gradual growth towards the results recorded in 2019 is expected by 2024, provided any renewal of the Covid-19 crisis does not lead to unexpected new or long-term disruption to the tourism economy. A more resilient tourism sector </w:t>
            </w:r>
            <w:r w:rsidRPr="00A66F03">
              <w:rPr>
                <w:rFonts w:ascii="Times New Roman" w:eastAsia="Times New Roman" w:hAnsi="Times New Roman" w:cs="Times New Roman"/>
                <w:lang w:val="en-GB"/>
              </w:rPr>
              <w:t>requires structural changes and digital and green transitions within business operations. Negative demographic trends, staff shortages in tourism and changes in activities all require a smart, systemic and determined approach to motivation, inclusion and e</w:t>
            </w:r>
            <w:r w:rsidRPr="00A66F03">
              <w:rPr>
                <w:rFonts w:ascii="Times New Roman" w:eastAsia="Times New Roman" w:hAnsi="Times New Roman" w:cs="Times New Roman"/>
                <w:lang w:val="en-GB"/>
              </w:rPr>
              <w:t>ducation in order to ensure greater satisfaction on the part of the local population and thereby increase value added and improve the quality of services for guests. Alongside the changes, there are plans to increase productivity and make significant incre</w:t>
            </w:r>
            <w:r w:rsidRPr="00A66F03">
              <w:rPr>
                <w:rFonts w:ascii="Times New Roman" w:eastAsia="Times New Roman" w:hAnsi="Times New Roman" w:cs="Times New Roman"/>
                <w:lang w:val="en-GB"/>
              </w:rPr>
              <w:t xml:space="preserve">ases in value added per employee, which on average exceeds the 2019 figure by 34% in all tourism-related activities and 64% in accommodation only (I 55). Effectively implemented structural changes would lead to stable growth by 2028 and to the achievement </w:t>
            </w:r>
            <w:r w:rsidRPr="00A66F03">
              <w:rPr>
                <w:rFonts w:ascii="Times New Roman" w:eastAsia="Times New Roman" w:hAnsi="Times New Roman" w:cs="Times New Roman"/>
                <w:lang w:val="en-GB"/>
              </w:rPr>
              <w:t>of the objectives set in the area of tourism development.</w:t>
            </w:r>
          </w:p>
          <w:p w14:paraId="3F47A84C" w14:textId="77777777" w:rsidR="00872602" w:rsidRPr="00A66F03" w:rsidRDefault="00976636" w:rsidP="00872602">
            <w:pPr>
              <w:spacing w:after="0" w:line="276" w:lineRule="auto"/>
              <w:ind w:right="195"/>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t>In addition to nature, the Slovenian Tourism Strategy 2022–2028</w:t>
            </w:r>
            <w:r w:rsidRPr="00A66F03">
              <w:rPr>
                <w:rStyle w:val="Sprotnaopomba-sklic"/>
                <w:rFonts w:ascii="Times New Roman" w:eastAsia="Times New Roman" w:hAnsi="Times New Roman" w:cs="Times New Roman"/>
                <w:lang w:val="en-GB"/>
              </w:rPr>
              <w:footnoteReference w:id="80"/>
            </w:r>
            <w:r w:rsidRPr="00A66F03">
              <w:rPr>
                <w:rFonts w:ascii="Times New Roman" w:eastAsia="Times New Roman" w:hAnsi="Times New Roman" w:cs="Times New Roman"/>
                <w:lang w:val="en-GB"/>
              </w:rPr>
              <w:t xml:space="preserve"> highlights the importance of culture, authenticity, health and quality </w:t>
            </w:r>
          </w:p>
          <w:p w14:paraId="3B102E99" w14:textId="77777777" w:rsidR="00155D6F" w:rsidRPr="00A66F03" w:rsidRDefault="00976636" w:rsidP="00155D6F">
            <w:pPr>
              <w:spacing w:after="0" w:line="276" w:lineRule="auto"/>
              <w:ind w:right="195"/>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t xml:space="preserve">of life. Slovenia is a green destination that offers diverse </w:t>
            </w:r>
            <w:r w:rsidRPr="00A66F03">
              <w:rPr>
                <w:rFonts w:ascii="Times New Roman" w:eastAsia="Times New Roman" w:hAnsi="Times New Roman" w:cs="Times New Roman"/>
                <w:lang w:val="en-GB"/>
              </w:rPr>
              <w:t xml:space="preserve">and easily accessible cultural experiences with a strong local and authentic character. Tourism and culture are therefore complementary. Key challenges include the lack of cultural elements in the tourist products and services on offer, the need </w:t>
            </w:r>
            <w:r w:rsidRPr="00A66F03">
              <w:rPr>
                <w:rFonts w:ascii="Times New Roman" w:eastAsia="Times New Roman" w:hAnsi="Times New Roman" w:cs="Times New Roman"/>
                <w:lang w:val="en-GB"/>
              </w:rPr>
              <w:lastRenderedPageBreak/>
              <w:t>to project</w:t>
            </w:r>
            <w:r w:rsidRPr="00A66F03">
              <w:rPr>
                <w:rFonts w:ascii="Times New Roman" w:eastAsia="Times New Roman" w:hAnsi="Times New Roman" w:cs="Times New Roman"/>
                <w:lang w:val="en-GB"/>
              </w:rPr>
              <w:t xml:space="preserve"> an image of Slovenia as a green, ‘boutique’ destination, and the imbalance between tourism, the environment and the local population. The management of natural and cultural heritage and its integration into tourism is of strategic importance for the devel</w:t>
            </w:r>
            <w:r w:rsidRPr="00A66F03">
              <w:rPr>
                <w:rFonts w:ascii="Times New Roman" w:eastAsia="Times New Roman" w:hAnsi="Times New Roman" w:cs="Times New Roman"/>
                <w:lang w:val="en-GB"/>
              </w:rPr>
              <w:t>opment of individual destinations and the tourist environment of Slovenia, and has an impact on raising the quality of life for the local population.</w:t>
            </w:r>
          </w:p>
          <w:p w14:paraId="76D865E4" w14:textId="77777777" w:rsidR="00D05EAE" w:rsidRPr="00A66F03" w:rsidRDefault="00976636" w:rsidP="00B72629">
            <w:pPr>
              <w:spacing w:after="0" w:line="276" w:lineRule="auto"/>
              <w:ind w:right="195"/>
              <w:jc w:val="both"/>
              <w:rPr>
                <w:rFonts w:ascii="Times New Roman" w:eastAsia="Times New Roman" w:hAnsi="Times New Roman" w:cs="Times New Roman"/>
                <w:vertAlign w:val="superscript"/>
                <w:lang w:val="en-GB"/>
              </w:rPr>
            </w:pPr>
            <w:r w:rsidRPr="00A66F03">
              <w:rPr>
                <w:rFonts w:ascii="Times New Roman" w:eastAsia="Times New Roman" w:hAnsi="Times New Roman" w:cs="Times New Roman"/>
                <w:lang w:val="en-GB"/>
              </w:rPr>
              <w:t>Cultural heritage is a common good and a value of the living environment, making it an important component</w:t>
            </w:r>
            <w:r w:rsidRPr="00A66F03">
              <w:rPr>
                <w:rFonts w:ascii="Times New Roman" w:eastAsia="Times New Roman" w:hAnsi="Times New Roman" w:cs="Times New Roman"/>
                <w:lang w:val="en-GB"/>
              </w:rPr>
              <w:t xml:space="preserve"> of the public space of cities and other environments.</w:t>
            </w:r>
            <w:r w:rsidRPr="00A66F03">
              <w:rPr>
                <w:rFonts w:ascii="Times New Roman" w:eastAsia="Times New Roman" w:hAnsi="Times New Roman" w:cs="Times New Roman"/>
                <w:vertAlign w:val="superscript"/>
                <w:lang w:val="en-GB"/>
              </w:rPr>
              <w:footnoteReference w:id="81"/>
            </w:r>
            <w:r w:rsidRPr="00A66F03">
              <w:rPr>
                <w:rFonts w:ascii="Times New Roman" w:eastAsia="Times New Roman" w:hAnsi="Times New Roman" w:cs="Times New Roman"/>
                <w:lang w:val="en-GB"/>
              </w:rPr>
              <w:t xml:space="preserve"> It can act as a catalyst for positive change because it has the power to connect people with places, foster a sense of belonging and promote social inclusion. Respect for cultural heritage goes hand i</w:t>
            </w:r>
            <w:r w:rsidRPr="00A66F03">
              <w:rPr>
                <w:rFonts w:ascii="Times New Roman" w:eastAsia="Times New Roman" w:hAnsi="Times New Roman" w:cs="Times New Roman"/>
                <w:lang w:val="en-GB"/>
              </w:rPr>
              <w:t xml:space="preserve">n hand with respect for people’s diversity, and is also an important component of the public sphere. By revitalising cultural heritage, we increase the value of common spaces for all citizens and visitors.  It is important for the creation and development </w:t>
            </w:r>
            <w:r w:rsidRPr="00A66F03">
              <w:rPr>
                <w:rFonts w:ascii="Times New Roman" w:eastAsia="Times New Roman" w:hAnsi="Times New Roman" w:cs="Times New Roman"/>
                <w:lang w:val="en-GB"/>
              </w:rPr>
              <w:t>of social potential and, as an integral part of the cultural and creative sectors, has an important economic impact. Cultural heritage is therefore one of Europe’s greatest assets and an integral part of the lives of its citizens. Linking cultural heritage</w:t>
            </w:r>
            <w:r w:rsidRPr="00A66F03">
              <w:rPr>
                <w:rFonts w:ascii="Times New Roman" w:eastAsia="Times New Roman" w:hAnsi="Times New Roman" w:cs="Times New Roman"/>
                <w:lang w:val="en-GB"/>
              </w:rPr>
              <w:t xml:space="preserve"> and the economy (tourism) and harnessing the development potential offered by cultural heritage remain key challenges for Slovenia.  Investments in the renovation of cultural heritage sites have a proven impact on the income of the Slovenian economy (a mu</w:t>
            </w:r>
            <w:r w:rsidRPr="00A66F03">
              <w:rPr>
                <w:rFonts w:ascii="Times New Roman" w:eastAsia="Times New Roman" w:hAnsi="Times New Roman" w:cs="Times New Roman"/>
                <w:lang w:val="en-GB"/>
              </w:rPr>
              <w:t>ltiplier of 2.945), while the impact on value added is 1.236. By spending EUR 32 million on maintaining immovable cultural heritage, the state is able to stimulate economic activity by exerting a direct and, in particular, a strong indirect impact to gener</w:t>
            </w:r>
            <w:r w:rsidRPr="00A66F03">
              <w:rPr>
                <w:rFonts w:ascii="Times New Roman" w:eastAsia="Times New Roman" w:hAnsi="Times New Roman" w:cs="Times New Roman"/>
                <w:lang w:val="en-GB"/>
              </w:rPr>
              <w:t>ate revenue of EUR 137 million, value added of EUR 61 million and the employment of 1,800 people. The net fiscal impact is positive by EUR 6 million.</w:t>
            </w:r>
            <w:r w:rsidRPr="00A66F03">
              <w:rPr>
                <w:rFonts w:ascii="Times New Roman" w:eastAsia="Times New Roman" w:hAnsi="Times New Roman" w:cs="Times New Roman"/>
                <w:vertAlign w:val="superscript"/>
                <w:lang w:val="en-GB"/>
              </w:rPr>
              <w:footnoteReference w:id="82"/>
            </w:r>
            <w:r w:rsidRPr="00A66F03">
              <w:rPr>
                <w:rFonts w:ascii="Times New Roman" w:eastAsia="Times New Roman" w:hAnsi="Times New Roman" w:cs="Times New Roman"/>
                <w:vertAlign w:val="superscript"/>
                <w:lang w:val="en-GB"/>
              </w:rPr>
              <w:t>,</w:t>
            </w:r>
            <w:r w:rsidRPr="00A66F03">
              <w:rPr>
                <w:rStyle w:val="Sprotnaopomba-sklic"/>
                <w:rFonts w:ascii="Times New Roman" w:eastAsia="Times New Roman" w:hAnsi="Times New Roman" w:cs="Times New Roman"/>
                <w:lang w:val="en-GB"/>
              </w:rPr>
              <w:footnoteReference w:id="83"/>
            </w:r>
          </w:p>
          <w:p w14:paraId="66C9D283" w14:textId="77777777" w:rsidR="00CC28C7" w:rsidRPr="00A66F03" w:rsidRDefault="00976636" w:rsidP="00B72629">
            <w:pPr>
              <w:spacing w:after="0" w:line="276" w:lineRule="auto"/>
              <w:ind w:right="195"/>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t xml:space="preserve">An important challenge facing Slovenia in the next few years lies in mobilising the potential of </w:t>
            </w:r>
            <w:r w:rsidRPr="00A66F03">
              <w:rPr>
                <w:rFonts w:ascii="Times New Roman" w:eastAsia="Times New Roman" w:hAnsi="Times New Roman" w:cs="Times New Roman"/>
                <w:lang w:val="en-GB"/>
              </w:rPr>
              <w:t>cultural heritage for the sustainable development, development breakthrough and resilience of tourism.</w:t>
            </w:r>
          </w:p>
        </w:tc>
      </w:tr>
      <w:tr w:rsidR="00143DBE" w:rsidRPr="00A66F03" w14:paraId="592CB169" w14:textId="77777777" w:rsidTr="002C3693">
        <w:tc>
          <w:tcPr>
            <w:tcW w:w="700" w:type="pct"/>
            <w:tcBorders>
              <w:top w:val="single" w:sz="6" w:space="0" w:color="000000"/>
              <w:left w:val="single" w:sz="6" w:space="0" w:color="000000"/>
              <w:bottom w:val="single" w:sz="6" w:space="0" w:color="000000"/>
              <w:right w:val="single" w:sz="6" w:space="0" w:color="000000"/>
            </w:tcBorders>
            <w:shd w:val="clear" w:color="auto" w:fill="auto"/>
          </w:tcPr>
          <w:p w14:paraId="2ECDAF0B" w14:textId="77777777" w:rsidR="00941D23" w:rsidRPr="00A66F03" w:rsidRDefault="00976636" w:rsidP="00941D23">
            <w:pPr>
              <w:tabs>
                <w:tab w:val="center" w:pos="647"/>
              </w:tabs>
              <w:spacing w:after="0" w:line="276" w:lineRule="auto"/>
              <w:rPr>
                <w:rFonts w:ascii="Times New Roman" w:eastAsia="Times New Roman" w:hAnsi="Times New Roman" w:cs="Times New Roman"/>
                <w:lang w:val="en-GB"/>
              </w:rPr>
            </w:pPr>
            <w:r w:rsidRPr="00A66F03">
              <w:rPr>
                <w:rFonts w:ascii="Times New Roman" w:eastAsia="Times New Roman" w:hAnsi="Times New Roman" w:cs="Times New Roman"/>
                <w:lang w:val="en-GB"/>
              </w:rPr>
              <w:lastRenderedPageBreak/>
              <w:t>PO4: A more social Europe implementing the European Pillar of Social Rights</w:t>
            </w:r>
          </w:p>
        </w:tc>
        <w:tc>
          <w:tcPr>
            <w:tcW w:w="705" w:type="pct"/>
            <w:tcBorders>
              <w:top w:val="single" w:sz="6" w:space="0" w:color="000000"/>
              <w:left w:val="single" w:sz="6" w:space="0" w:color="000000"/>
              <w:bottom w:val="single" w:sz="6" w:space="0" w:color="000000"/>
              <w:right w:val="single" w:sz="6" w:space="0" w:color="000000"/>
            </w:tcBorders>
            <w:shd w:val="clear" w:color="auto" w:fill="auto"/>
          </w:tcPr>
          <w:p w14:paraId="23C0FE02" w14:textId="77777777" w:rsidR="00941D23" w:rsidRPr="00A66F03" w:rsidRDefault="00976636" w:rsidP="002C3693">
            <w:pPr>
              <w:spacing w:after="0" w:line="276" w:lineRule="auto"/>
              <w:rPr>
                <w:rFonts w:ascii="Times New Roman" w:eastAsia="Times New Roman" w:hAnsi="Times New Roman" w:cs="Times New Roman"/>
                <w:lang w:val="en-GB"/>
              </w:rPr>
            </w:pPr>
            <w:r w:rsidRPr="00A66F03">
              <w:rPr>
                <w:rFonts w:ascii="Times New Roman" w:eastAsia="Times New Roman" w:hAnsi="Times New Roman" w:cs="Times New Roman"/>
                <w:lang w:val="en-GB"/>
              </w:rPr>
              <w:t>Programme to Eliminate Material Deprivation in Slovenia 2021–2027</w:t>
            </w:r>
          </w:p>
        </w:tc>
        <w:tc>
          <w:tcPr>
            <w:tcW w:w="469" w:type="pct"/>
            <w:tcBorders>
              <w:top w:val="single" w:sz="6" w:space="0" w:color="000000"/>
              <w:left w:val="single" w:sz="6" w:space="0" w:color="000000"/>
              <w:bottom w:val="single" w:sz="6" w:space="0" w:color="000000"/>
              <w:right w:val="single" w:sz="6" w:space="0" w:color="000000"/>
            </w:tcBorders>
            <w:shd w:val="clear" w:color="auto" w:fill="auto"/>
          </w:tcPr>
          <w:p w14:paraId="3DDD515E" w14:textId="77777777" w:rsidR="00941D23" w:rsidRPr="00A66F03" w:rsidRDefault="00976636" w:rsidP="002C3693">
            <w:pPr>
              <w:spacing w:after="0" w:line="276" w:lineRule="auto"/>
              <w:rPr>
                <w:rFonts w:ascii="Times New Roman" w:eastAsia="Times New Roman" w:hAnsi="Times New Roman" w:cs="Times New Roman"/>
                <w:lang w:val="en-GB"/>
              </w:rPr>
            </w:pPr>
            <w:r w:rsidRPr="00A66F03">
              <w:rPr>
                <w:rFonts w:ascii="Times New Roman" w:eastAsia="Times New Roman" w:hAnsi="Times New Roman" w:cs="Times New Roman"/>
                <w:lang w:val="en-GB"/>
              </w:rPr>
              <w:t>ESF+</w:t>
            </w:r>
          </w:p>
        </w:tc>
        <w:tc>
          <w:tcPr>
            <w:tcW w:w="3126" w:type="pct"/>
            <w:tcBorders>
              <w:top w:val="single" w:sz="6" w:space="0" w:color="000000"/>
              <w:left w:val="single" w:sz="6" w:space="0" w:color="000000"/>
              <w:bottom w:val="single" w:sz="6" w:space="0" w:color="000000"/>
              <w:right w:val="single" w:sz="6" w:space="0" w:color="000000"/>
            </w:tcBorders>
            <w:shd w:val="clear" w:color="auto" w:fill="auto"/>
          </w:tcPr>
          <w:p w14:paraId="6E87574A" w14:textId="77777777" w:rsidR="00941D23" w:rsidRPr="00A66F03" w:rsidRDefault="00976636" w:rsidP="00941D23">
            <w:pPr>
              <w:spacing w:after="0" w:line="276" w:lineRule="auto"/>
              <w:jc w:val="both"/>
              <w:rPr>
                <w:rFonts w:ascii="Times New Roman" w:hAnsi="Times New Roman" w:cs="Times New Roman"/>
                <w:lang w:val="en-GB"/>
              </w:rPr>
            </w:pPr>
            <w:r w:rsidRPr="00A66F03">
              <w:rPr>
                <w:rFonts w:ascii="Times New Roman" w:hAnsi="Times New Roman" w:cs="Times New Roman"/>
                <w:lang w:val="en-GB"/>
              </w:rPr>
              <w:t xml:space="preserve">By </w:t>
            </w:r>
            <w:r w:rsidRPr="00A66F03">
              <w:rPr>
                <w:rFonts w:ascii="Times New Roman" w:hAnsi="Times New Roman" w:cs="Times New Roman"/>
                <w:lang w:val="en-GB"/>
              </w:rPr>
              <w:t>analysing needs, we have identified the following as the most materially disadvantaged groups: jobless households with dependent children, households with partially active adults with dependent children, households without dependent children and no work in</w:t>
            </w:r>
            <w:r w:rsidRPr="00A66F03">
              <w:rPr>
                <w:rFonts w:ascii="Times New Roman" w:hAnsi="Times New Roman" w:cs="Times New Roman"/>
                <w:lang w:val="en-GB"/>
              </w:rPr>
              <w:t>tensity, the unemployed, retired women (especially those over 75), and one-member households (particularly one-</w:t>
            </w:r>
            <w:r w:rsidRPr="00A66F03">
              <w:rPr>
                <w:rFonts w:ascii="Times New Roman" w:hAnsi="Times New Roman" w:cs="Times New Roman"/>
                <w:lang w:val="en-GB"/>
              </w:rPr>
              <w:lastRenderedPageBreak/>
              <w:t>member households containing a person aged 65 or over). The key objective of the programme is therefore to provide continuous assistance to the i</w:t>
            </w:r>
            <w:r w:rsidRPr="00A66F03">
              <w:rPr>
                <w:rFonts w:ascii="Times New Roman" w:hAnsi="Times New Roman" w:cs="Times New Roman"/>
                <w:lang w:val="en-GB"/>
              </w:rPr>
              <w:t xml:space="preserve">dentified target groups in the form of food and to involve those groups in various accompanying measures that will stimulate their social inclusion. </w:t>
            </w:r>
          </w:p>
        </w:tc>
      </w:tr>
      <w:tr w:rsidR="00143DBE" w:rsidRPr="00A66F03" w14:paraId="7B232319" w14:textId="77777777" w:rsidTr="002C3693">
        <w:tc>
          <w:tcPr>
            <w:tcW w:w="700" w:type="pct"/>
            <w:tcBorders>
              <w:top w:val="single" w:sz="6" w:space="0" w:color="000000"/>
              <w:left w:val="single" w:sz="6" w:space="0" w:color="000000"/>
              <w:bottom w:val="single" w:sz="6" w:space="0" w:color="000000"/>
              <w:right w:val="single" w:sz="6" w:space="0" w:color="000000"/>
            </w:tcBorders>
            <w:shd w:val="clear" w:color="auto" w:fill="auto"/>
          </w:tcPr>
          <w:p w14:paraId="229EE8FB" w14:textId="77777777" w:rsidR="00941D23" w:rsidRPr="00A66F03" w:rsidRDefault="00976636" w:rsidP="00941D23">
            <w:pPr>
              <w:tabs>
                <w:tab w:val="center" w:pos="647"/>
              </w:tabs>
              <w:spacing w:after="0" w:line="276" w:lineRule="auto"/>
              <w:rPr>
                <w:rFonts w:ascii="Times New Roman" w:eastAsia="Times New Roman" w:hAnsi="Times New Roman" w:cs="Times New Roman"/>
                <w:lang w:val="en-GB"/>
              </w:rPr>
            </w:pPr>
            <w:r w:rsidRPr="00A66F03">
              <w:rPr>
                <w:rFonts w:ascii="Times New Roman" w:eastAsia="Times New Roman" w:hAnsi="Times New Roman" w:cs="Times New Roman"/>
                <w:lang w:val="en-GB"/>
              </w:rPr>
              <w:lastRenderedPageBreak/>
              <w:t xml:space="preserve">PO5: A Europe closer to citizens by fostering the sustainable and integrated development of urban, rural </w:t>
            </w:r>
            <w:r w:rsidRPr="00A66F03">
              <w:rPr>
                <w:rFonts w:ascii="Times New Roman" w:eastAsia="Times New Roman" w:hAnsi="Times New Roman" w:cs="Times New Roman"/>
                <w:lang w:val="en-GB"/>
              </w:rPr>
              <w:t>and coastal areas and local initiatives</w:t>
            </w:r>
          </w:p>
        </w:tc>
        <w:tc>
          <w:tcPr>
            <w:tcW w:w="705" w:type="pct"/>
            <w:tcBorders>
              <w:top w:val="single" w:sz="6" w:space="0" w:color="000000"/>
              <w:left w:val="single" w:sz="6" w:space="0" w:color="000000"/>
              <w:bottom w:val="single" w:sz="6" w:space="0" w:color="000000"/>
              <w:right w:val="single" w:sz="6" w:space="0" w:color="000000"/>
            </w:tcBorders>
            <w:shd w:val="clear" w:color="auto" w:fill="auto"/>
          </w:tcPr>
          <w:p w14:paraId="455CA4DF" w14:textId="77777777" w:rsidR="00941D23" w:rsidRPr="00A66F03" w:rsidRDefault="00976636" w:rsidP="002C3693">
            <w:pPr>
              <w:spacing w:after="0" w:line="276" w:lineRule="auto"/>
              <w:rPr>
                <w:rFonts w:ascii="Times New Roman" w:eastAsia="Times New Roman" w:hAnsi="Times New Roman" w:cs="Times New Roman"/>
                <w:lang w:val="en-GB"/>
              </w:rPr>
            </w:pPr>
            <w:r w:rsidRPr="00A66F03">
              <w:rPr>
                <w:rFonts w:ascii="Times New Roman" w:eastAsia="Times New Roman" w:hAnsi="Times New Roman" w:cs="Times New Roman"/>
                <w:lang w:val="en-GB"/>
              </w:rPr>
              <w:t>ECP 2021–2027 programme</w:t>
            </w:r>
          </w:p>
        </w:tc>
        <w:tc>
          <w:tcPr>
            <w:tcW w:w="469" w:type="pct"/>
            <w:tcBorders>
              <w:top w:val="single" w:sz="6" w:space="0" w:color="000000"/>
              <w:left w:val="single" w:sz="6" w:space="0" w:color="000000"/>
              <w:bottom w:val="single" w:sz="6" w:space="0" w:color="000000"/>
              <w:right w:val="single" w:sz="6" w:space="0" w:color="000000"/>
            </w:tcBorders>
            <w:shd w:val="clear" w:color="auto" w:fill="auto"/>
          </w:tcPr>
          <w:p w14:paraId="0E2DE7FD" w14:textId="77777777" w:rsidR="00941D23" w:rsidRPr="00A66F03" w:rsidRDefault="00976636" w:rsidP="002C3693">
            <w:pPr>
              <w:spacing w:after="0" w:line="276" w:lineRule="auto"/>
              <w:rPr>
                <w:rFonts w:ascii="Times New Roman" w:hAnsi="Times New Roman" w:cs="Times New Roman"/>
                <w:lang w:val="en-GB"/>
              </w:rPr>
            </w:pPr>
            <w:r w:rsidRPr="00A66F03">
              <w:rPr>
                <w:rFonts w:ascii="Times New Roman" w:hAnsi="Times New Roman" w:cs="Times New Roman"/>
                <w:lang w:val="en-GB"/>
              </w:rPr>
              <w:t>ERDF</w:t>
            </w:r>
          </w:p>
          <w:p w14:paraId="12299ABF" w14:textId="77777777" w:rsidR="00941D23" w:rsidRPr="00A66F03" w:rsidRDefault="00976636" w:rsidP="002C3693">
            <w:pPr>
              <w:spacing w:after="0" w:line="276" w:lineRule="auto"/>
              <w:rPr>
                <w:rFonts w:ascii="Times New Roman" w:eastAsia="Times New Roman" w:hAnsi="Times New Roman" w:cs="Times New Roman"/>
                <w:lang w:val="en-GB"/>
              </w:rPr>
            </w:pPr>
            <w:r w:rsidRPr="00A66F03">
              <w:rPr>
                <w:rFonts w:ascii="Times New Roman" w:eastAsia="Times New Roman" w:hAnsi="Times New Roman" w:cs="Times New Roman"/>
                <w:lang w:val="en-GB"/>
              </w:rPr>
              <w:t>EMFAF</w:t>
            </w:r>
          </w:p>
        </w:tc>
        <w:tc>
          <w:tcPr>
            <w:tcW w:w="3126" w:type="pct"/>
            <w:tcBorders>
              <w:top w:val="single" w:sz="6" w:space="0" w:color="000000"/>
              <w:left w:val="single" w:sz="6" w:space="0" w:color="000000"/>
              <w:bottom w:val="single" w:sz="6" w:space="0" w:color="000000"/>
              <w:right w:val="single" w:sz="6" w:space="0" w:color="000000"/>
            </w:tcBorders>
            <w:shd w:val="clear" w:color="auto" w:fill="auto"/>
          </w:tcPr>
          <w:p w14:paraId="61224FF3" w14:textId="77777777" w:rsidR="00941D23" w:rsidRPr="00A66F03" w:rsidRDefault="00976636" w:rsidP="00941D23">
            <w:pPr>
              <w:spacing w:after="0" w:line="276" w:lineRule="auto"/>
              <w:ind w:right="195"/>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t>Adequate promotion of balanced economic, social and spatial development is key to better harnessing development potentials at regional and local levels. Balanced regional, local and</w:t>
            </w:r>
            <w:r w:rsidRPr="00A66F03">
              <w:rPr>
                <w:rFonts w:ascii="Times New Roman" w:eastAsia="Times New Roman" w:hAnsi="Times New Roman" w:cs="Times New Roman"/>
                <w:lang w:val="en-GB"/>
              </w:rPr>
              <w:t xml:space="preserve"> urban development is one of the important factors in maintaining key macroeconomic balances.</w:t>
            </w:r>
            <w:r w:rsidRPr="00A66F03">
              <w:rPr>
                <w:rFonts w:ascii="Times New Roman" w:eastAsia="Times New Roman" w:hAnsi="Times New Roman" w:cs="Times New Roman"/>
                <w:vertAlign w:val="superscript"/>
                <w:lang w:val="en-GB"/>
              </w:rPr>
              <w:t xml:space="preserve"> </w:t>
            </w:r>
            <w:r w:rsidRPr="00A66F03">
              <w:rPr>
                <w:rFonts w:ascii="Times New Roman" w:eastAsia="Times New Roman" w:hAnsi="Times New Roman" w:cs="Times New Roman"/>
                <w:vertAlign w:val="superscript"/>
                <w:lang w:val="en-GB"/>
              </w:rPr>
              <w:footnoteReference w:id="84"/>
            </w:r>
            <w:r w:rsidRPr="00A66F03">
              <w:rPr>
                <w:rFonts w:ascii="Times New Roman" w:eastAsia="Times New Roman" w:hAnsi="Times New Roman" w:cs="Times New Roman"/>
                <w:lang w:val="en-GB"/>
              </w:rPr>
              <w:t xml:space="preserve"> The key challenge faced by Slovenia and addressed by the SDS 2030, the EU Council Recommendations of 2019 and 2020 and the Strategic Platform for the Developmen</w:t>
            </w:r>
            <w:r w:rsidRPr="00A66F03">
              <w:rPr>
                <w:rFonts w:ascii="Times New Roman" w:eastAsia="Times New Roman" w:hAnsi="Times New Roman" w:cs="Times New Roman"/>
                <w:lang w:val="en-GB"/>
              </w:rPr>
              <w:t>t of the WSCR</w:t>
            </w:r>
            <w:r w:rsidRPr="00A66F03">
              <w:rPr>
                <w:rStyle w:val="Sprotnaopomba-sklic"/>
                <w:rFonts w:ascii="Times New Roman" w:eastAsia="Times New Roman" w:hAnsi="Times New Roman" w:cs="Times New Roman"/>
                <w:lang w:val="en-GB"/>
              </w:rPr>
              <w:footnoteReference w:id="85"/>
            </w:r>
            <w:r w:rsidRPr="00A66F03">
              <w:rPr>
                <w:rFonts w:ascii="Times New Roman" w:eastAsia="Times New Roman" w:hAnsi="Times New Roman" w:cs="Times New Roman"/>
                <w:lang w:val="en-GB"/>
              </w:rPr>
              <w:t xml:space="preserve"> and ESCR</w:t>
            </w:r>
            <w:r w:rsidRPr="00A66F03">
              <w:rPr>
                <w:rStyle w:val="Sprotnaopomba-sklic"/>
                <w:rFonts w:ascii="Times New Roman" w:eastAsia="Times New Roman" w:hAnsi="Times New Roman" w:cs="Times New Roman"/>
                <w:lang w:val="en-GB"/>
              </w:rPr>
              <w:footnoteReference w:id="86"/>
            </w:r>
            <w:r w:rsidRPr="00A66F03">
              <w:rPr>
                <w:rFonts w:ascii="Times New Roman" w:eastAsia="Times New Roman" w:hAnsi="Times New Roman" w:cs="Times New Roman"/>
                <w:lang w:val="en-GB"/>
              </w:rPr>
              <w:t xml:space="preserve"> is:</w:t>
            </w:r>
          </w:p>
          <w:p w14:paraId="7C6210D0" w14:textId="77777777" w:rsidR="00941D23" w:rsidRPr="00A66F03" w:rsidRDefault="00941D23" w:rsidP="00941D23">
            <w:pPr>
              <w:spacing w:after="0" w:line="276" w:lineRule="auto"/>
              <w:ind w:right="195"/>
              <w:jc w:val="both"/>
              <w:rPr>
                <w:rFonts w:ascii="Times New Roman" w:eastAsia="Times New Roman" w:hAnsi="Times New Roman" w:cs="Times New Roman"/>
                <w:lang w:val="en-GB"/>
              </w:rPr>
            </w:pPr>
          </w:p>
          <w:p w14:paraId="592BFF36" w14:textId="77777777" w:rsidR="00941D23" w:rsidRPr="00A66F03" w:rsidRDefault="00976636" w:rsidP="00941D23">
            <w:pPr>
              <w:spacing w:after="0" w:line="276" w:lineRule="auto"/>
              <w:ind w:right="195"/>
              <w:jc w:val="both"/>
              <w:rPr>
                <w:rFonts w:ascii="Times New Roman" w:eastAsia="Times New Roman" w:hAnsi="Times New Roman" w:cs="Times New Roman"/>
                <w:b/>
                <w:lang w:val="en-GB"/>
              </w:rPr>
            </w:pPr>
            <w:r w:rsidRPr="00A66F03">
              <w:rPr>
                <w:rFonts w:ascii="Times New Roman" w:eastAsia="Times New Roman" w:hAnsi="Times New Roman" w:cs="Times New Roman"/>
                <w:b/>
                <w:bCs/>
                <w:lang w:val="en-GB"/>
              </w:rPr>
              <w:t>Reducing development disparities</w:t>
            </w:r>
          </w:p>
          <w:p w14:paraId="07EA9A01" w14:textId="77777777" w:rsidR="00941D23" w:rsidRPr="00A66F03" w:rsidRDefault="00976636" w:rsidP="00941D23">
            <w:pPr>
              <w:spacing w:after="0" w:line="276" w:lineRule="auto"/>
              <w:ind w:right="195"/>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t xml:space="preserve">Although Slovenia reached 90% of the EU’s average development level in 2008, the financial and economic crisis again widened the gap; and although the gap narrowed with the strengthening of </w:t>
            </w:r>
            <w:r w:rsidRPr="00A66F03">
              <w:rPr>
                <w:rFonts w:ascii="Times New Roman" w:eastAsia="Times New Roman" w:hAnsi="Times New Roman" w:cs="Times New Roman"/>
                <w:lang w:val="en-GB"/>
              </w:rPr>
              <w:t>economic growth from 2016, the process was once again interrupted, this time by the Covid-19 pandemic.</w:t>
            </w:r>
            <w:r w:rsidRPr="00A66F03">
              <w:rPr>
                <w:rFonts w:ascii="Times New Roman" w:eastAsia="Times New Roman" w:hAnsi="Times New Roman" w:cs="Times New Roman"/>
                <w:vertAlign w:val="superscript"/>
                <w:lang w:val="en-GB"/>
              </w:rPr>
              <w:footnoteReference w:id="87"/>
            </w:r>
            <w:r w:rsidRPr="00A66F03">
              <w:rPr>
                <w:rFonts w:ascii="Times New Roman" w:eastAsia="Times New Roman" w:hAnsi="Times New Roman" w:cs="Times New Roman"/>
                <w:lang w:val="en-GB"/>
              </w:rPr>
              <w:t xml:space="preserve"> </w:t>
            </w:r>
          </w:p>
          <w:p w14:paraId="4E22D49B" w14:textId="77777777" w:rsidR="00941D23" w:rsidRPr="00A66F03" w:rsidRDefault="00976636" w:rsidP="00941D23">
            <w:pPr>
              <w:spacing w:after="0" w:line="276" w:lineRule="auto"/>
              <w:ind w:right="195"/>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t>Slovenia has two NUTS 2 regions with differing levels of development. The challenge facing the ESCR, as the less-developed region, is to reduce the dev</w:t>
            </w:r>
            <w:r w:rsidRPr="00A66F03">
              <w:rPr>
                <w:rFonts w:ascii="Times New Roman" w:eastAsia="Times New Roman" w:hAnsi="Times New Roman" w:cs="Times New Roman"/>
                <w:lang w:val="en-GB"/>
              </w:rPr>
              <w:t xml:space="preserve">elopment gap at EU level, the level of the Slovenian average and the level of the more developed WSCR region. Despite the overall higher level of development of the WSCR as a whole, there are significant differences in the level of development between and </w:t>
            </w:r>
            <w:r w:rsidRPr="00A66F03">
              <w:rPr>
                <w:rFonts w:ascii="Times New Roman" w:eastAsia="Times New Roman" w:hAnsi="Times New Roman" w:cs="Times New Roman"/>
                <w:lang w:val="en-GB"/>
              </w:rPr>
              <w:t>within the NUTS 3 development regions. After a prolonged period of stability, the Covid-19 pandemic in 2020 led to an increase in regional disparities, particularly between the constituent regions of the WSCR.</w:t>
            </w:r>
            <w:r w:rsidRPr="00A66F03">
              <w:rPr>
                <w:rStyle w:val="Sprotnaopomba-sklic"/>
                <w:rFonts w:ascii="Times New Roman" w:eastAsia="Times New Roman" w:hAnsi="Times New Roman" w:cs="Times New Roman"/>
                <w:lang w:val="en-GB"/>
              </w:rPr>
              <w:footnoteReference w:id="88"/>
            </w:r>
            <w:r w:rsidRPr="00A66F03">
              <w:rPr>
                <w:rFonts w:ascii="Times New Roman" w:eastAsia="Times New Roman" w:hAnsi="Times New Roman" w:cs="Times New Roman"/>
                <w:lang w:val="en-GB"/>
              </w:rPr>
              <w:t xml:space="preserve"> The most pressing disparities are those relat</w:t>
            </w:r>
            <w:r w:rsidRPr="00A66F03">
              <w:rPr>
                <w:rFonts w:ascii="Times New Roman" w:eastAsia="Times New Roman" w:hAnsi="Times New Roman" w:cs="Times New Roman"/>
                <w:lang w:val="en-GB"/>
              </w:rPr>
              <w:t>ing to demographics (the above-average ageing of the population and depopulation on the one hand, and high overall population growth and a lack of social infrastructure to meet that growth on the other hand). More attention should therefore be paid to incr</w:t>
            </w:r>
            <w:r w:rsidRPr="00A66F03">
              <w:rPr>
                <w:rFonts w:ascii="Times New Roman" w:eastAsia="Times New Roman" w:hAnsi="Times New Roman" w:cs="Times New Roman"/>
                <w:lang w:val="en-GB"/>
              </w:rPr>
              <w:t>easing the diversity and accessibility of services of general social importance (health care, social care, culture) and to ensuring adequate social infrastructure, which is important for cross-border cooperation, intercultural dialogue and improved quality</w:t>
            </w:r>
            <w:r w:rsidRPr="00A66F03">
              <w:rPr>
                <w:rFonts w:ascii="Times New Roman" w:eastAsia="Times New Roman" w:hAnsi="Times New Roman" w:cs="Times New Roman"/>
                <w:lang w:val="en-GB"/>
              </w:rPr>
              <w:t xml:space="preserve"> of life. </w:t>
            </w:r>
          </w:p>
          <w:p w14:paraId="294319A6" w14:textId="77777777" w:rsidR="00941D23" w:rsidRPr="00A66F03" w:rsidRDefault="00976636" w:rsidP="00941D23">
            <w:pPr>
              <w:spacing w:after="0" w:line="276" w:lineRule="auto"/>
              <w:ind w:right="195"/>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lastRenderedPageBreak/>
              <w:t xml:space="preserve">Of the NUTS 3 regions, only Osrednjeslovenska (Central Slovenia) exceeded the EU average in 2019. Closing the considerable development gap between the less-developed regions and the European average is a long-term objective of those regions and </w:t>
            </w:r>
            <w:r w:rsidRPr="00A66F03">
              <w:rPr>
                <w:rFonts w:ascii="Times New Roman" w:eastAsia="Times New Roman" w:hAnsi="Times New Roman" w:cs="Times New Roman"/>
                <w:lang w:val="en-GB"/>
              </w:rPr>
              <w:t>one that will take a considerable amount of effort to achieve.</w:t>
            </w:r>
            <w:r w:rsidRPr="00A66F03">
              <w:rPr>
                <w:rStyle w:val="Sprotnaopomba-sklic"/>
                <w:rFonts w:ascii="Times New Roman" w:eastAsia="Times New Roman" w:hAnsi="Times New Roman" w:cs="Times New Roman"/>
                <w:lang w:val="en-GB"/>
              </w:rPr>
              <w:footnoteReference w:id="89"/>
            </w:r>
          </w:p>
          <w:p w14:paraId="0E3BB8E5" w14:textId="77777777" w:rsidR="00872602" w:rsidRPr="00A66F03" w:rsidRDefault="00976636" w:rsidP="00941D23">
            <w:pPr>
              <w:spacing w:after="0" w:line="276" w:lineRule="auto"/>
              <w:ind w:right="195"/>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t>At the same time and in parallel with regional disparities, consideration should be given to the specific characteristics of different forms of settlement. Urban and rural areas face different</w:t>
            </w:r>
            <w:r w:rsidRPr="00A66F03">
              <w:rPr>
                <w:rFonts w:ascii="Times New Roman" w:eastAsia="Times New Roman" w:hAnsi="Times New Roman" w:cs="Times New Roman"/>
                <w:lang w:val="en-GB"/>
              </w:rPr>
              <w:t xml:space="preserve"> challenges in development that affect quality of life.</w:t>
            </w:r>
            <w:r w:rsidRPr="00A66F03">
              <w:rPr>
                <w:rFonts w:ascii="Times New Roman" w:eastAsia="Times New Roman" w:hAnsi="Times New Roman" w:cs="Times New Roman"/>
                <w:vertAlign w:val="superscript"/>
                <w:lang w:val="en-GB"/>
              </w:rPr>
              <w:footnoteReference w:id="90"/>
            </w:r>
            <w:r w:rsidRPr="00A66F03">
              <w:rPr>
                <w:rFonts w:ascii="Times New Roman" w:eastAsia="Times New Roman" w:hAnsi="Times New Roman" w:cs="Times New Roman"/>
                <w:lang w:val="en-GB"/>
              </w:rPr>
              <w:t xml:space="preserve"> </w:t>
            </w:r>
          </w:p>
          <w:p w14:paraId="2430D686" w14:textId="77777777" w:rsidR="00941D23" w:rsidRPr="00A66F03" w:rsidRDefault="00976636" w:rsidP="00941D23">
            <w:pPr>
              <w:spacing w:after="0" w:line="276" w:lineRule="auto"/>
              <w:ind w:right="195"/>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t>Slovenian towns and cities are centres of employment, education, administration, culture and services, and play a key role in the balanced development of the country. Over half (55%) of the Slovenia</w:t>
            </w:r>
            <w:r w:rsidRPr="00A66F03">
              <w:rPr>
                <w:rFonts w:ascii="Times New Roman" w:eastAsia="Times New Roman" w:hAnsi="Times New Roman" w:cs="Times New Roman"/>
                <w:lang w:val="en-GB"/>
              </w:rPr>
              <w:t>n population live in towns and cities, which are also where more than 90% of all people work. Urban areas in Slovenia, as in the rest of the world, are faced with high levels of suburbanisation. The uncontrolled expansion of urban areas and settlements als</w:t>
            </w:r>
            <w:r w:rsidRPr="00A66F03">
              <w:rPr>
                <w:rFonts w:ascii="Times New Roman" w:eastAsia="Times New Roman" w:hAnsi="Times New Roman" w:cs="Times New Roman"/>
                <w:lang w:val="en-GB"/>
              </w:rPr>
              <w:t>o puts great pressure on areas that have not yet been built on and that should primarily be dedicated to nature conservation and food supply. At the same time, inner cities contain free, under-utilised and, in some cases, even environmentally degraded area</w:t>
            </w:r>
            <w:r w:rsidRPr="00A66F03">
              <w:rPr>
                <w:rFonts w:ascii="Times New Roman" w:eastAsia="Times New Roman" w:hAnsi="Times New Roman" w:cs="Times New Roman"/>
                <w:lang w:val="en-GB"/>
              </w:rPr>
              <w:t>s whose renovation or revitalisation could help to reduce the need for urban expansion. Under the Spatial Planning Act (ZUreP-3), the premises laid down by the EU for achieving the net-zero growth of built-up areas and the findings of at least two EU Urban</w:t>
            </w:r>
            <w:r w:rsidRPr="00A66F03">
              <w:rPr>
                <w:rFonts w:ascii="Times New Roman" w:eastAsia="Times New Roman" w:hAnsi="Times New Roman" w:cs="Times New Roman"/>
                <w:lang w:val="en-GB"/>
              </w:rPr>
              <w:t xml:space="preserve"> Agenda partnerships on culture and cultural heritage and on the sustainable use of space and nature-based solutions, we will, within this priority, continue to promote measures to renovate and revitalise empty and under-utilised buildings and/or land for </w:t>
            </w:r>
            <w:r w:rsidRPr="00A66F03">
              <w:rPr>
                <w:rFonts w:ascii="Times New Roman" w:eastAsia="Times New Roman" w:hAnsi="Times New Roman" w:cs="Times New Roman"/>
                <w:lang w:val="en-GB"/>
              </w:rPr>
              <w:t>greener, more socially inclusive and more productive Slovenian towns and cities.</w:t>
            </w:r>
          </w:p>
          <w:p w14:paraId="00A2A867" w14:textId="77777777" w:rsidR="00941D23" w:rsidRPr="00A66F03" w:rsidRDefault="00976636" w:rsidP="00453344">
            <w:pPr>
              <w:spacing w:after="0" w:line="276" w:lineRule="auto"/>
              <w:ind w:right="195"/>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t xml:space="preserve">Regional development programmes identify a variety of development needs and challenges that are then further defined in the sustainable urban strategies and local development </w:t>
            </w:r>
            <w:r w:rsidRPr="00A66F03">
              <w:rPr>
                <w:rFonts w:ascii="Times New Roman" w:eastAsia="Times New Roman" w:hAnsi="Times New Roman" w:cs="Times New Roman"/>
                <w:lang w:val="en-GB"/>
              </w:rPr>
              <w:t>strategies that underpin the preparation and implementation of operations. The active involvement and participation of partners at lower levels, who have greater knowledge of local potentials and challenges, can make a key contribution to balanced developm</w:t>
            </w:r>
            <w:r w:rsidRPr="00A66F03">
              <w:rPr>
                <w:rFonts w:ascii="Times New Roman" w:eastAsia="Times New Roman" w:hAnsi="Times New Roman" w:cs="Times New Roman"/>
                <w:lang w:val="en-GB"/>
              </w:rPr>
              <w:t xml:space="preserve">ent, higher value added and an increase in the territorial resilience in both cohesion regions. </w:t>
            </w:r>
          </w:p>
        </w:tc>
      </w:tr>
      <w:tr w:rsidR="00143DBE" w:rsidRPr="00A66F03" w14:paraId="4D1D0ABA" w14:textId="77777777" w:rsidTr="002C3693">
        <w:tc>
          <w:tcPr>
            <w:tcW w:w="700" w:type="pct"/>
            <w:tcBorders>
              <w:top w:val="single" w:sz="6" w:space="0" w:color="000000"/>
              <w:left w:val="single" w:sz="6" w:space="0" w:color="000000"/>
              <w:bottom w:val="single" w:sz="6" w:space="0" w:color="000000"/>
              <w:right w:val="single" w:sz="6" w:space="0" w:color="000000"/>
            </w:tcBorders>
            <w:shd w:val="clear" w:color="auto" w:fill="auto"/>
          </w:tcPr>
          <w:p w14:paraId="0E067251" w14:textId="77777777" w:rsidR="00941D23" w:rsidRPr="00A66F03" w:rsidRDefault="00976636" w:rsidP="00941D23">
            <w:pPr>
              <w:tabs>
                <w:tab w:val="center" w:pos="647"/>
              </w:tabs>
              <w:spacing w:after="0" w:line="276" w:lineRule="auto"/>
              <w:rPr>
                <w:rFonts w:ascii="Times New Roman" w:eastAsia="Times New Roman" w:hAnsi="Times New Roman" w:cs="Times New Roman"/>
                <w:lang w:val="en-GB"/>
              </w:rPr>
            </w:pPr>
            <w:r w:rsidRPr="00A66F03">
              <w:rPr>
                <w:rFonts w:ascii="Times New Roman" w:eastAsia="Times New Roman" w:hAnsi="Times New Roman" w:cs="Times New Roman"/>
                <w:lang w:val="en-GB"/>
              </w:rPr>
              <w:lastRenderedPageBreak/>
              <w:t xml:space="preserve">JTF-specific objective: Europe for a </w:t>
            </w:r>
            <w:r w:rsidRPr="00A66F03">
              <w:rPr>
                <w:rFonts w:ascii="Times New Roman" w:eastAsia="Times New Roman" w:hAnsi="Times New Roman" w:cs="Times New Roman"/>
                <w:lang w:val="en-GB"/>
              </w:rPr>
              <w:lastRenderedPageBreak/>
              <w:t>Just Transition</w:t>
            </w:r>
          </w:p>
        </w:tc>
        <w:tc>
          <w:tcPr>
            <w:tcW w:w="705" w:type="pct"/>
            <w:tcBorders>
              <w:top w:val="single" w:sz="6" w:space="0" w:color="000000"/>
              <w:left w:val="single" w:sz="6" w:space="0" w:color="000000"/>
              <w:bottom w:val="single" w:sz="6" w:space="0" w:color="000000"/>
              <w:right w:val="single" w:sz="6" w:space="0" w:color="000000"/>
            </w:tcBorders>
            <w:shd w:val="clear" w:color="auto" w:fill="auto"/>
          </w:tcPr>
          <w:p w14:paraId="285C5296" w14:textId="77777777" w:rsidR="00941D23" w:rsidRPr="00A66F03" w:rsidRDefault="00976636" w:rsidP="002C3693">
            <w:pPr>
              <w:tabs>
                <w:tab w:val="left" w:pos="647"/>
              </w:tabs>
              <w:spacing w:after="0" w:line="276" w:lineRule="auto"/>
              <w:rPr>
                <w:rFonts w:ascii="Times New Roman" w:eastAsia="Times New Roman" w:hAnsi="Times New Roman" w:cs="Times New Roman"/>
                <w:lang w:val="en-GB"/>
              </w:rPr>
            </w:pPr>
            <w:r w:rsidRPr="00A66F03">
              <w:rPr>
                <w:rFonts w:ascii="Times New Roman" w:eastAsia="Times New Roman" w:hAnsi="Times New Roman" w:cs="Times New Roman"/>
                <w:lang w:val="en-GB"/>
              </w:rPr>
              <w:lastRenderedPageBreak/>
              <w:t>ECP 2021–2027 programme</w:t>
            </w:r>
          </w:p>
        </w:tc>
        <w:tc>
          <w:tcPr>
            <w:tcW w:w="469" w:type="pct"/>
            <w:tcBorders>
              <w:top w:val="single" w:sz="6" w:space="0" w:color="000000"/>
              <w:left w:val="single" w:sz="6" w:space="0" w:color="000000"/>
              <w:bottom w:val="single" w:sz="6" w:space="0" w:color="000000"/>
              <w:right w:val="single" w:sz="6" w:space="0" w:color="000000"/>
            </w:tcBorders>
            <w:shd w:val="clear" w:color="auto" w:fill="auto"/>
          </w:tcPr>
          <w:p w14:paraId="78D91111" w14:textId="77777777" w:rsidR="00941D23" w:rsidRPr="00A66F03" w:rsidRDefault="00976636" w:rsidP="002C3693">
            <w:pPr>
              <w:spacing w:after="0" w:line="276" w:lineRule="auto"/>
              <w:rPr>
                <w:rFonts w:ascii="Times New Roman" w:eastAsia="Times New Roman" w:hAnsi="Times New Roman" w:cs="Times New Roman"/>
                <w:lang w:val="en-GB"/>
              </w:rPr>
            </w:pPr>
            <w:r w:rsidRPr="00A66F03">
              <w:rPr>
                <w:rFonts w:ascii="Times New Roman" w:eastAsia="Times New Roman" w:hAnsi="Times New Roman" w:cs="Times New Roman"/>
                <w:lang w:val="en-GB"/>
              </w:rPr>
              <w:t>JTF</w:t>
            </w:r>
          </w:p>
        </w:tc>
        <w:tc>
          <w:tcPr>
            <w:tcW w:w="3126" w:type="pct"/>
            <w:tcBorders>
              <w:top w:val="single" w:sz="6" w:space="0" w:color="000000"/>
              <w:left w:val="single" w:sz="6" w:space="0" w:color="000000"/>
              <w:bottom w:val="single" w:sz="6" w:space="0" w:color="000000"/>
              <w:right w:val="single" w:sz="6" w:space="0" w:color="000000"/>
            </w:tcBorders>
            <w:shd w:val="clear" w:color="auto" w:fill="auto"/>
          </w:tcPr>
          <w:p w14:paraId="3A70AB71" w14:textId="77777777" w:rsidR="00941D23" w:rsidRPr="00A66F03" w:rsidRDefault="00976636" w:rsidP="00941D23">
            <w:pPr>
              <w:spacing w:after="0" w:line="276" w:lineRule="auto"/>
              <w:ind w:right="195"/>
              <w:jc w:val="both"/>
              <w:rPr>
                <w:rFonts w:ascii="Times New Roman" w:eastAsia="Times New Roman" w:hAnsi="Times New Roman" w:cs="Times New Roman"/>
                <w:lang w:val="en-GB"/>
              </w:rPr>
            </w:pPr>
            <w:r w:rsidRPr="00A66F03">
              <w:rPr>
                <w:rFonts w:ascii="Times New Roman" w:hAnsi="Times New Roman" w:cs="Times New Roman"/>
                <w:lang w:val="en-GB"/>
              </w:rPr>
              <w:t xml:space="preserve">In line with the Paris Agreement, which commits almost 200 countries to limit climate change, in 2018 the European Commission set the long-term goal of a climate-neutral Europe by 2050. With the adoption of the Regulation establishing the </w:t>
            </w:r>
            <w:r w:rsidRPr="00A66F03">
              <w:rPr>
                <w:rFonts w:ascii="Times New Roman" w:hAnsi="Times New Roman" w:cs="Times New Roman"/>
                <w:lang w:val="en-GB"/>
              </w:rPr>
              <w:lastRenderedPageBreak/>
              <w:t>framework for ach</w:t>
            </w:r>
            <w:r w:rsidRPr="00A66F03">
              <w:rPr>
                <w:rFonts w:ascii="Times New Roman" w:hAnsi="Times New Roman" w:cs="Times New Roman"/>
                <w:lang w:val="en-GB"/>
              </w:rPr>
              <w:t>ieving climate neutrality on 9 July 2021, this commitment became legally binding on Member States. The transition to a climate-neutral economy poses a challenge for all Member States, particularly for those heavily dependent on fossil fuels and/or greenhou</w:t>
            </w:r>
            <w:r w:rsidRPr="00A66F03">
              <w:rPr>
                <w:rFonts w:ascii="Times New Roman" w:hAnsi="Times New Roman" w:cs="Times New Roman"/>
                <w:lang w:val="en-GB"/>
              </w:rPr>
              <w:t>se-gas-intensive industries. In Annex D of the Country Report for Slovenia of 26 February 2020, the EC identified two coal regions: Savinjsko-Šaleška and Zasavska.</w:t>
            </w:r>
          </w:p>
          <w:p w14:paraId="0F6DE80B" w14:textId="77777777" w:rsidR="00941D23" w:rsidRPr="00A66F03" w:rsidRDefault="00941D23" w:rsidP="00941D23">
            <w:pPr>
              <w:spacing w:after="0" w:line="276" w:lineRule="auto"/>
              <w:ind w:right="195"/>
              <w:jc w:val="both"/>
              <w:rPr>
                <w:rFonts w:ascii="Times New Roman" w:eastAsia="Times New Roman" w:hAnsi="Times New Roman" w:cs="Times New Roman"/>
                <w:lang w:val="en-GB"/>
              </w:rPr>
            </w:pPr>
          </w:p>
          <w:p w14:paraId="066BA73F" w14:textId="77777777" w:rsidR="00941D23" w:rsidRPr="00A66F03" w:rsidRDefault="00976636" w:rsidP="00941D23">
            <w:pPr>
              <w:spacing w:after="0" w:line="276" w:lineRule="auto"/>
              <w:ind w:right="195"/>
              <w:jc w:val="both"/>
              <w:rPr>
                <w:rFonts w:ascii="Times New Roman" w:eastAsia="Times New Roman" w:hAnsi="Times New Roman" w:cs="Times New Roman"/>
                <w:b/>
                <w:lang w:val="en-GB"/>
              </w:rPr>
            </w:pPr>
            <w:r w:rsidRPr="00A66F03">
              <w:rPr>
                <w:rFonts w:ascii="Times New Roman" w:eastAsia="Times New Roman" w:hAnsi="Times New Roman" w:cs="Times New Roman"/>
                <w:b/>
                <w:bCs/>
                <w:lang w:val="en-GB"/>
              </w:rPr>
              <w:t>Coal regions: Savinjsko-Šaleška and Zasavska</w:t>
            </w:r>
          </w:p>
          <w:p w14:paraId="6AFBC6AB" w14:textId="77777777" w:rsidR="00941D23" w:rsidRPr="00A66F03" w:rsidRDefault="00976636" w:rsidP="00941D23">
            <w:pPr>
              <w:spacing w:after="0" w:line="276" w:lineRule="auto"/>
              <w:ind w:right="195"/>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t>An important part of the transition is the phasing-out of coal use – and this is the case in Slovenia as well. The NECP envisages a reduction in coal consumption by at least 30% by 2030; this is mainly dependent on the closure of Block 5 of the Šoštanj the</w:t>
            </w:r>
            <w:r w:rsidRPr="00A66F03">
              <w:rPr>
                <w:rFonts w:ascii="Times New Roman" w:eastAsia="Times New Roman" w:hAnsi="Times New Roman" w:cs="Times New Roman"/>
                <w:lang w:val="en-GB"/>
              </w:rPr>
              <w:t>rmal power plant, which is, as a result of the phase-out activities that have already been carried out, currently the only operational coal-fire thermal power plant in the country. Block 6 of the plant, which only started operating in 2016, generates energ</w:t>
            </w:r>
            <w:r w:rsidRPr="00A66F03">
              <w:rPr>
                <w:rFonts w:ascii="Times New Roman" w:eastAsia="Times New Roman" w:hAnsi="Times New Roman" w:cs="Times New Roman"/>
                <w:lang w:val="en-GB"/>
              </w:rPr>
              <w:t xml:space="preserve">y from lignite excavated in the last working Slovenian coal mine (Premogovnik Velenje). The mine employs 1,200 workers (approximately 2,000 are employed in the Premogovnik Velenje Group), down from the figure of 12,500 for the Slovenian mining industry as </w:t>
            </w:r>
            <w:r w:rsidRPr="00A66F03">
              <w:rPr>
                <w:rFonts w:ascii="Times New Roman" w:eastAsia="Times New Roman" w:hAnsi="Times New Roman" w:cs="Times New Roman"/>
                <w:lang w:val="en-GB"/>
              </w:rPr>
              <w:t>a whole before the mines began to be closed prior to 1990. Past mine closures did not follow the principles of Just Transition for all, as the focus was mainly on land remediation and care for workers who were directly employed in mining. A Just Transition</w:t>
            </w:r>
            <w:r w:rsidRPr="00A66F03">
              <w:rPr>
                <w:rFonts w:ascii="Times New Roman" w:eastAsia="Times New Roman" w:hAnsi="Times New Roman" w:cs="Times New Roman"/>
                <w:lang w:val="en-GB"/>
              </w:rPr>
              <w:t xml:space="preserve"> should also address the long-term restructuring of the region, from the economic, social and environmental points of view and taking into account the provision of a stable (new) source of energy. In the case of the Zasavska region, which has seen the clos</w:t>
            </w:r>
            <w:r w:rsidRPr="00A66F03">
              <w:rPr>
                <w:rFonts w:ascii="Times New Roman" w:eastAsia="Times New Roman" w:hAnsi="Times New Roman" w:cs="Times New Roman"/>
                <w:lang w:val="en-GB"/>
              </w:rPr>
              <w:t>ure of the Zagorje, Trbovlje and Hrastnik mines, these principles were not consistently observed.</w:t>
            </w:r>
            <w:r w:rsidRPr="00A66F03">
              <w:rPr>
                <w:rFonts w:ascii="Times New Roman" w:eastAsia="Times New Roman" w:hAnsi="Times New Roman" w:cs="Times New Roman"/>
                <w:vertAlign w:val="superscript"/>
                <w:lang w:val="en-GB"/>
              </w:rPr>
              <w:footnoteReference w:id="91"/>
            </w:r>
          </w:p>
          <w:p w14:paraId="58018375" w14:textId="77777777" w:rsidR="00941D23" w:rsidRPr="00A66F03" w:rsidRDefault="00976636" w:rsidP="00941D23">
            <w:pPr>
              <w:spacing w:after="0" w:line="276" w:lineRule="auto"/>
              <w:ind w:right="195"/>
              <w:jc w:val="both"/>
              <w:rPr>
                <w:rFonts w:ascii="Times New Roman" w:eastAsia="Times New Roman" w:hAnsi="Times New Roman" w:cs="Times New Roman"/>
                <w:lang w:val="en-GB"/>
              </w:rPr>
            </w:pPr>
            <w:r w:rsidRPr="00A66F03">
              <w:rPr>
                <w:rFonts w:ascii="Times New Roman" w:hAnsi="Times New Roman" w:cs="Times New Roman"/>
                <w:lang w:val="en-GB"/>
              </w:rPr>
              <w:t>Taking into account the principles of Just Transition, a National Strategy for the Phasing-Out of Coal and the Restructuring of Coal Regions was drawn up and</w:t>
            </w:r>
            <w:r w:rsidRPr="00A66F03">
              <w:rPr>
                <w:rFonts w:ascii="Times New Roman" w:hAnsi="Times New Roman" w:cs="Times New Roman"/>
                <w:lang w:val="en-GB"/>
              </w:rPr>
              <w:t xml:space="preserve"> adopted by the Slovenian government on 13 January 2022 and sets 2033 as the year in which Slovenia makes its final exit from coal. Together with the comprehensive environmental impact assessment, it provides the basis for regional Just Transition plans fo</w:t>
            </w:r>
            <w:r w:rsidRPr="00A66F03">
              <w:rPr>
                <w:rFonts w:ascii="Times New Roman" w:hAnsi="Times New Roman" w:cs="Times New Roman"/>
                <w:lang w:val="en-GB"/>
              </w:rPr>
              <w:t>r both coal regions, Savinjsko-Šaleška and Zasavska, and more specifically for the most affected functional areas within those two regions.</w:t>
            </w:r>
          </w:p>
        </w:tc>
      </w:tr>
    </w:tbl>
    <w:p w14:paraId="6E3158A2" w14:textId="77777777" w:rsidR="00A76FF9" w:rsidRPr="00A66F03" w:rsidRDefault="00A76FF9" w:rsidP="00B72629">
      <w:pPr>
        <w:shd w:val="clear" w:color="auto" w:fill="FFFFFF"/>
        <w:spacing w:after="0" w:line="276" w:lineRule="auto"/>
        <w:jc w:val="both"/>
        <w:rPr>
          <w:rFonts w:ascii="Times New Roman" w:eastAsia="Times New Roman" w:hAnsi="Times New Roman" w:cs="Times New Roman"/>
          <w:b/>
          <w:bCs/>
          <w:color w:val="5B9BD5" w:themeColor="accent1"/>
          <w:sz w:val="27"/>
          <w:szCs w:val="27"/>
          <w:lang w:val="en-GB"/>
        </w:rPr>
      </w:pPr>
    </w:p>
    <w:tbl>
      <w:tblPr>
        <w:tblW w:w="5000" w:type="pct"/>
        <w:tblCellMar>
          <w:top w:w="150" w:type="dxa"/>
          <w:left w:w="150" w:type="dxa"/>
          <w:bottom w:w="150" w:type="dxa"/>
          <w:right w:w="150" w:type="dxa"/>
        </w:tblCellMar>
        <w:tblLook w:val="04A0" w:firstRow="1" w:lastRow="0" w:firstColumn="1" w:lastColumn="0" w:noHBand="0" w:noVBand="1"/>
      </w:tblPr>
      <w:tblGrid>
        <w:gridCol w:w="9072"/>
      </w:tblGrid>
      <w:tr w:rsidR="00143DBE" w:rsidRPr="00A66F03" w14:paraId="675D80B7" w14:textId="77777777" w:rsidTr="00016FD7">
        <w:tc>
          <w:tcPr>
            <w:tcW w:w="0" w:type="auto"/>
            <w:shd w:val="clear" w:color="auto" w:fill="auto"/>
            <w:tcMar>
              <w:top w:w="0" w:type="dxa"/>
              <w:left w:w="0" w:type="dxa"/>
              <w:bottom w:w="0" w:type="dxa"/>
              <w:right w:w="0" w:type="dxa"/>
            </w:tcMar>
            <w:vAlign w:val="center"/>
            <w:hideMark/>
          </w:tcPr>
          <w:p w14:paraId="76224199" w14:textId="77777777" w:rsidR="00016FD7" w:rsidRPr="00A66F03" w:rsidRDefault="00976636" w:rsidP="00B72629">
            <w:pPr>
              <w:pStyle w:val="Naslov1"/>
              <w:spacing w:before="0" w:line="276" w:lineRule="auto"/>
              <w:rPr>
                <w:rFonts w:eastAsia="Times New Roman" w:cs="Times New Roman"/>
                <w:lang w:val="en-GB"/>
              </w:rPr>
            </w:pPr>
            <w:bookmarkStart w:id="3" w:name="_Toc115336007"/>
            <w:bookmarkStart w:id="4" w:name="_Toc77593995"/>
            <w:r w:rsidRPr="00A66F03">
              <w:rPr>
                <w:rFonts w:eastAsia="Times New Roman" w:cs="Times New Roman"/>
                <w:bCs/>
                <w:lang w:val="en-GB"/>
              </w:rPr>
              <w:lastRenderedPageBreak/>
              <w:t>2.   Policy choices, coordination and complementarity</w:t>
            </w:r>
            <w:bookmarkEnd w:id="3"/>
          </w:p>
          <w:p w14:paraId="1B3B8970" w14:textId="77777777" w:rsidR="00016FD7" w:rsidRPr="00A66F03" w:rsidRDefault="00016FD7" w:rsidP="00B72629">
            <w:pPr>
              <w:keepNext/>
              <w:keepLines/>
              <w:spacing w:after="0" w:line="276" w:lineRule="auto"/>
              <w:jc w:val="both"/>
              <w:outlineLvl w:val="2"/>
              <w:rPr>
                <w:rFonts w:ascii="Times New Roman" w:eastAsiaTheme="majorEastAsia" w:hAnsi="Times New Roman" w:cs="Times New Roman"/>
                <w:lang w:val="en-GB"/>
              </w:rPr>
            </w:pPr>
          </w:p>
          <w:p w14:paraId="56145518" w14:textId="77777777" w:rsidR="005629C2" w:rsidRPr="00A66F03" w:rsidRDefault="00976636" w:rsidP="005629C2">
            <w:pPr>
              <w:spacing w:after="0" w:line="276" w:lineRule="auto"/>
              <w:jc w:val="both"/>
              <w:rPr>
                <w:rFonts w:ascii="Times New Roman" w:hAnsi="Times New Roman" w:cs="Times New Roman"/>
                <w:lang w:val="en-GB"/>
              </w:rPr>
            </w:pPr>
            <w:bookmarkStart w:id="5" w:name="_Toc86310921"/>
            <w:r w:rsidRPr="00A66F03">
              <w:rPr>
                <w:rFonts w:ascii="Times New Roman" w:hAnsi="Times New Roman" w:cs="Times New Roman"/>
                <w:lang w:val="en-GB"/>
              </w:rPr>
              <w:t xml:space="preserve">Where relevant, cohesion policy programmes will support </w:t>
            </w:r>
            <w:r w:rsidRPr="00A66F03">
              <w:rPr>
                <w:rFonts w:ascii="Times New Roman" w:hAnsi="Times New Roman" w:cs="Times New Roman"/>
                <w:lang w:val="en-GB"/>
              </w:rPr>
              <w:t>investments that successfully link the principles of sustainability, aesthetics and inclusiveness in line with the New European Bauhaus initiative, with a view to finding accessible, inclusive, sustainable and attractive solutions to the challenges posed b</w:t>
            </w:r>
            <w:r w:rsidRPr="00A66F03">
              <w:rPr>
                <w:rFonts w:ascii="Times New Roman" w:hAnsi="Times New Roman" w:cs="Times New Roman"/>
                <w:lang w:val="en-GB"/>
              </w:rPr>
              <w:t>y climate change.</w:t>
            </w:r>
          </w:p>
          <w:p w14:paraId="65115787" w14:textId="77777777" w:rsidR="005629C2" w:rsidRPr="00A66F03" w:rsidRDefault="005629C2" w:rsidP="008155BD">
            <w:pPr>
              <w:pStyle w:val="Naslov2"/>
              <w:rPr>
                <w:lang w:val="en-GB"/>
              </w:rPr>
            </w:pPr>
          </w:p>
          <w:p w14:paraId="6557BFC4" w14:textId="77777777" w:rsidR="002D4358" w:rsidRPr="00A66F03" w:rsidRDefault="00976636" w:rsidP="008155BD">
            <w:pPr>
              <w:pStyle w:val="Naslov2"/>
              <w:rPr>
                <w:lang w:val="en-GB"/>
              </w:rPr>
            </w:pPr>
            <w:bookmarkStart w:id="6" w:name="_Toc115336008"/>
            <w:r w:rsidRPr="00A66F03">
              <w:rPr>
                <w:lang w:val="en-GB"/>
              </w:rPr>
              <w:t>Policy Objective 1: A more competitive and smarter Europe by promoting innovative and smart economic transformation and regional ICT connectivity</w:t>
            </w:r>
            <w:bookmarkEnd w:id="4"/>
            <w:bookmarkEnd w:id="5"/>
            <w:bookmarkEnd w:id="6"/>
          </w:p>
          <w:p w14:paraId="7264A75B" w14:textId="77777777" w:rsidR="002D4358" w:rsidRPr="00A66F03" w:rsidRDefault="002D4358" w:rsidP="00B72629">
            <w:pPr>
              <w:spacing w:after="0" w:line="276" w:lineRule="auto"/>
              <w:jc w:val="both"/>
              <w:rPr>
                <w:rFonts w:ascii="Times New Roman" w:hAnsi="Times New Roman" w:cs="Times New Roman"/>
                <w:lang w:val="en-GB"/>
              </w:rPr>
            </w:pPr>
          </w:p>
          <w:p w14:paraId="1A753024" w14:textId="77777777" w:rsidR="002468ED" w:rsidRPr="00A66F03" w:rsidRDefault="00976636" w:rsidP="002468ED">
            <w:pPr>
              <w:spacing w:after="0" w:line="276" w:lineRule="auto"/>
              <w:jc w:val="both"/>
              <w:rPr>
                <w:rFonts w:ascii="Times New Roman" w:eastAsia="Arial" w:hAnsi="Times New Roman" w:cs="Times New Roman"/>
                <w:lang w:val="en-GB"/>
              </w:rPr>
            </w:pPr>
            <w:r w:rsidRPr="00A66F03">
              <w:rPr>
                <w:rFonts w:ascii="Times New Roman" w:hAnsi="Times New Roman"/>
                <w:lang w:val="en-GB"/>
              </w:rPr>
              <w:t xml:space="preserve">With a view to </w:t>
            </w:r>
            <w:r w:rsidRPr="00A66F03">
              <w:rPr>
                <w:rFonts w:ascii="Times New Roman" w:hAnsi="Times New Roman"/>
                <w:b/>
                <w:bCs/>
                <w:lang w:val="en-GB"/>
              </w:rPr>
              <w:t>developing and improving research and innovation capacities and deploying a</w:t>
            </w:r>
            <w:r w:rsidRPr="00A66F03">
              <w:rPr>
                <w:rFonts w:ascii="Times New Roman" w:hAnsi="Times New Roman"/>
                <w:b/>
                <w:bCs/>
                <w:lang w:val="en-GB"/>
              </w:rPr>
              <w:t>dvanced technologies</w:t>
            </w:r>
            <w:r w:rsidRPr="00A66F03">
              <w:rPr>
                <w:rFonts w:ascii="Times New Roman" w:hAnsi="Times New Roman"/>
                <w:lang w:val="en-GB"/>
              </w:rPr>
              <w:t>, we will use ERDF funds to bolster investment in research infrastructure, particularly public research infrastructure, and research capacities (with a focus on those that relate to national strategic development priorities). This is cr</w:t>
            </w:r>
            <w:r w:rsidRPr="00A66F03">
              <w:rPr>
                <w:rFonts w:ascii="Times New Roman" w:hAnsi="Times New Roman"/>
                <w:lang w:val="en-GB"/>
              </w:rPr>
              <w:t>ucial for scientific excellence and for the implementation of cutting-edge research. In the priority areas of the Slovenian Sustainable Smart Specialisation Strategy (S5), we will provide support to innovation clusters (Strategic Research and Innovation Pa</w:t>
            </w:r>
            <w:r w:rsidRPr="00A66F03">
              <w:rPr>
                <w:rFonts w:ascii="Times New Roman" w:hAnsi="Times New Roman"/>
                <w:lang w:val="en-GB"/>
              </w:rPr>
              <w:t>rtnerships, SRIPs) and research projects mainly at TRL 3-9,</w:t>
            </w:r>
            <w:r w:rsidRPr="00A66F03">
              <w:rPr>
                <w:lang w:val="en-GB"/>
              </w:rPr>
              <w:t xml:space="preserve"> </w:t>
            </w:r>
            <w:r w:rsidRPr="00A66F03">
              <w:rPr>
                <w:rFonts w:ascii="Times New Roman" w:hAnsi="Times New Roman"/>
                <w:lang w:val="en-GB"/>
              </w:rPr>
              <w:t>as well as individual instruments</w:t>
            </w:r>
            <w:r w:rsidRPr="00A66F03">
              <w:rPr>
                <w:lang w:val="en-GB"/>
              </w:rPr>
              <w:t xml:space="preserve"> </w:t>
            </w:r>
            <w:r w:rsidRPr="00A66F03">
              <w:rPr>
                <w:rFonts w:ascii="Times New Roman" w:hAnsi="Times New Roman"/>
                <w:lang w:val="en-GB"/>
              </w:rPr>
              <w:t>at lower TRLs, e.g. financing concept-testing as a means of continuing to fund selected projects (e.g. the Centre for Creativity). We will upgrade the Knowledge T</w:t>
            </w:r>
            <w:r w:rsidRPr="00A66F03">
              <w:rPr>
                <w:rFonts w:ascii="Times New Roman" w:hAnsi="Times New Roman"/>
                <w:lang w:val="en-GB"/>
              </w:rPr>
              <w:t>ransfer Offices (KTOs) and ensure the accelerated transfer of research results into society is carried out in a way that is stable over the long term. Closer cooperation will be established between the KTOs, Slovenian Business Points (SPOT) and the measure</w:t>
            </w:r>
            <w:r w:rsidRPr="00A66F03">
              <w:rPr>
                <w:rFonts w:ascii="Times New Roman" w:hAnsi="Times New Roman"/>
                <w:lang w:val="en-GB"/>
              </w:rPr>
              <w:t>s taken by the Slovenian Enterprise Fund. Investments to strengthen research infrastructure will be prioritised. Investments in research infrastructure (facilities and equipment) are essential if the scientific research and innovation ecosystem is to be up</w:t>
            </w:r>
            <w:r w:rsidRPr="00A66F03">
              <w:rPr>
                <w:rFonts w:ascii="Times New Roman" w:hAnsi="Times New Roman"/>
                <w:lang w:val="en-GB"/>
              </w:rPr>
              <w:t>graded to an extent that ensures adequate knowledge transfer between the academic (universities and institutes) and commercial spheres and to society as a whole. Top-class research infrastructure will foster integration with the economy and the creation of</w:t>
            </w:r>
            <w:r w:rsidRPr="00A66F03">
              <w:rPr>
                <w:rFonts w:ascii="Times New Roman" w:hAnsi="Times New Roman"/>
                <w:lang w:val="en-GB"/>
              </w:rPr>
              <w:t xml:space="preserve"> new innovative products and technologies, thereby making the economy more competitive and integrating it into international research and innovation networks; it will also create new jobs with high value added per employee and strengthen innovation activit</w:t>
            </w:r>
            <w:r w:rsidRPr="00A66F03">
              <w:rPr>
                <w:rFonts w:ascii="Times New Roman" w:hAnsi="Times New Roman"/>
                <w:lang w:val="en-GB"/>
              </w:rPr>
              <w:t>y overall. The actions complement PO4 actions, which address educational infrastructure. We will also promote the recruitment of young researchers in public research organisations and in business and industry. We will horizontally link research and innovat</w:t>
            </w:r>
            <w:r w:rsidRPr="00A66F03">
              <w:rPr>
                <w:rFonts w:ascii="Times New Roman" w:hAnsi="Times New Roman"/>
                <w:lang w:val="en-GB"/>
              </w:rPr>
              <w:t>ion actions and ensure their integration with complementary EU funding instruments (e.g. Horizon Europe) and activities to develop the European Research Area, including through transnational actions. In all S5 priority areas, particular attention will be p</w:t>
            </w:r>
            <w:r w:rsidRPr="00A66F03">
              <w:rPr>
                <w:rFonts w:ascii="Times New Roman" w:hAnsi="Times New Roman"/>
                <w:lang w:val="en-GB"/>
              </w:rPr>
              <w:t>aid to promoting the principles of innovation, a low-carbon, circular economy and the acceleration of digitalisation, the deployment of enabling technologies (KETs), relevant knowledge and skills, and support for investments that manage to link together th</w:t>
            </w:r>
            <w:r w:rsidRPr="00A66F03">
              <w:rPr>
                <w:rFonts w:ascii="Times New Roman" w:hAnsi="Times New Roman"/>
                <w:lang w:val="en-GB"/>
              </w:rPr>
              <w:t xml:space="preserve">e principles of sustainability, aesthetics and inclusiveness in line with the New European Bauhaus initiative. Given the sustainable nature of the upgraded S5, with the central objective of the green transition pursued in all priority areas throughout the </w:t>
            </w:r>
            <w:r w:rsidRPr="00A66F03">
              <w:rPr>
                <w:rFonts w:ascii="Times New Roman" w:hAnsi="Times New Roman"/>
                <w:lang w:val="en-GB"/>
              </w:rPr>
              <w:t>entire package of measures, integration with PO2 measures will also be ensured at a horizontal level.</w:t>
            </w:r>
          </w:p>
          <w:p w14:paraId="1CC4A614" w14:textId="77777777" w:rsidR="00FE4582" w:rsidRPr="00A66F03" w:rsidRDefault="00FE4582" w:rsidP="00FE4582">
            <w:pPr>
              <w:spacing w:after="0" w:line="276" w:lineRule="auto"/>
              <w:jc w:val="both"/>
              <w:rPr>
                <w:rFonts w:ascii="Times New Roman" w:hAnsi="Times New Roman" w:cs="Times New Roman"/>
                <w:lang w:val="en-GB"/>
              </w:rPr>
            </w:pPr>
          </w:p>
          <w:p w14:paraId="3F240E4E" w14:textId="77777777" w:rsidR="00FE4582" w:rsidRPr="00A66F03" w:rsidRDefault="00976636" w:rsidP="00FE4582">
            <w:pPr>
              <w:spacing w:after="0" w:line="276" w:lineRule="auto"/>
              <w:jc w:val="both"/>
              <w:rPr>
                <w:rFonts w:ascii="Times New Roman" w:hAnsi="Times New Roman" w:cs="Times New Roman"/>
                <w:lang w:val="en-GB"/>
              </w:rPr>
            </w:pPr>
            <w:r w:rsidRPr="00A66F03">
              <w:rPr>
                <w:rFonts w:ascii="Times New Roman" w:hAnsi="Times New Roman" w:cs="Times New Roman"/>
                <w:lang w:val="en-GB"/>
              </w:rPr>
              <w:t xml:space="preserve">Within the framework of the relevant specific objectives/measures, the use of financial instruments is envisaged insofar as the results of the analysis </w:t>
            </w:r>
            <w:r w:rsidRPr="00A66F03">
              <w:rPr>
                <w:rFonts w:ascii="Times New Roman" w:hAnsi="Times New Roman" w:cs="Times New Roman"/>
                <w:lang w:val="en-GB"/>
              </w:rPr>
              <w:t>of the preliminary assessments of market needs and the funding gaps on the market for the implementation of financial instruments in the 2021–2027 programming period demonstrate the need to use financial instruments.</w:t>
            </w:r>
          </w:p>
          <w:p w14:paraId="65459349" w14:textId="77777777" w:rsidR="002D4358" w:rsidRPr="00A66F03" w:rsidRDefault="002D4358" w:rsidP="00B72629">
            <w:pPr>
              <w:spacing w:after="0" w:line="276" w:lineRule="auto"/>
              <w:jc w:val="both"/>
              <w:rPr>
                <w:rFonts w:ascii="Times New Roman" w:eastAsia="Arial" w:hAnsi="Times New Roman" w:cs="Times New Roman"/>
                <w:b/>
                <w:lang w:val="en-GB"/>
              </w:rPr>
            </w:pPr>
          </w:p>
          <w:p w14:paraId="39304644" w14:textId="77777777" w:rsidR="00B703E8" w:rsidRPr="00A66F03" w:rsidRDefault="00976636" w:rsidP="00B72629">
            <w:pPr>
              <w:spacing w:after="0" w:line="276" w:lineRule="auto"/>
              <w:jc w:val="both"/>
              <w:rPr>
                <w:rFonts w:ascii="Times New Roman" w:eastAsia="Arial" w:hAnsi="Times New Roman" w:cs="Times New Roman"/>
                <w:b/>
                <w:lang w:val="en-GB"/>
              </w:rPr>
            </w:pPr>
            <w:r w:rsidRPr="00A66F03">
              <w:rPr>
                <w:rFonts w:ascii="Times New Roman" w:hAnsi="Times New Roman"/>
                <w:lang w:val="en-GB"/>
              </w:rPr>
              <w:lastRenderedPageBreak/>
              <w:t xml:space="preserve">In order to strengthen the </w:t>
            </w:r>
            <w:r w:rsidRPr="00A66F03">
              <w:rPr>
                <w:rFonts w:ascii="Times New Roman" w:hAnsi="Times New Roman"/>
                <w:b/>
                <w:bCs/>
                <w:lang w:val="en-GB"/>
              </w:rPr>
              <w:t>sustainable</w:t>
            </w:r>
            <w:r w:rsidRPr="00A66F03">
              <w:rPr>
                <w:rFonts w:ascii="Times New Roman" w:hAnsi="Times New Roman"/>
                <w:b/>
                <w:bCs/>
                <w:lang w:val="en-GB"/>
              </w:rPr>
              <w:t xml:space="preserve"> growth and competitiveness of SMEs and create jobs</w:t>
            </w:r>
            <w:r w:rsidRPr="00A66F03">
              <w:rPr>
                <w:rFonts w:ascii="Times New Roman" w:hAnsi="Times New Roman"/>
                <w:lang w:val="en-GB"/>
              </w:rPr>
              <w:t>, we will use ERDF resources to upgrade and implement supportive enterprise and innovation environment services, including at regional level, for competitive enterprise. This will include providing more ef</w:t>
            </w:r>
            <w:r w:rsidRPr="00A66F03">
              <w:rPr>
                <w:rFonts w:ascii="Times New Roman" w:hAnsi="Times New Roman"/>
                <w:lang w:val="en-GB"/>
              </w:rPr>
              <w:t>ficient support for international business through the use of integrated services to businesses (e.g. SPOT Global, SPOT points, innovative environment operators), and developing and providing services for specific target groups (e.g. young people, women, t</w:t>
            </w:r>
            <w:r w:rsidRPr="00A66F03">
              <w:rPr>
                <w:rFonts w:ascii="Times New Roman" w:hAnsi="Times New Roman"/>
                <w:lang w:val="en-GB"/>
              </w:rPr>
              <w:t>he elderly, the cultural and creative sector). We will promote internationalisation by strengthening brands, export plans, feasibility studies, participation at international fairs, etc.) and trans-regional cooperation, support young and start-up enterpris</w:t>
            </w:r>
            <w:r w:rsidRPr="00A66F03">
              <w:rPr>
                <w:rFonts w:ascii="Times New Roman" w:hAnsi="Times New Roman"/>
                <w:lang w:val="en-GB"/>
              </w:rPr>
              <w:t>es in their initial operations, and promote business growth and development (incentives to strengthen the competitiveness and competencies of SMEs and incentives for innovation, including social innovation)</w:t>
            </w:r>
            <w:r w:rsidRPr="00A66F03">
              <w:rPr>
                <w:rFonts w:ascii="Times New Roman" w:hAnsi="Times New Roman"/>
                <w:color w:val="000000"/>
                <w:lang w:val="en-GB"/>
              </w:rPr>
              <w:t xml:space="preserve">. </w:t>
            </w:r>
            <w:r w:rsidRPr="00A66F03">
              <w:rPr>
                <w:rFonts w:ascii="Times New Roman" w:hAnsi="Times New Roman"/>
                <w:lang w:val="en-GB"/>
              </w:rPr>
              <w:t>Actions will focus on the introduction of innova</w:t>
            </w:r>
            <w:r w:rsidRPr="00A66F03">
              <w:rPr>
                <w:rFonts w:ascii="Times New Roman" w:hAnsi="Times New Roman"/>
                <w:lang w:val="en-GB"/>
              </w:rPr>
              <w:t>tive approaches across various business segments, driven by trends in the global environment and incorporating, for example, the development of new and improved products and services, including in the field of the silver economy and the use of natural rene</w:t>
            </w:r>
            <w:r w:rsidRPr="00A66F03">
              <w:rPr>
                <w:rFonts w:ascii="Times New Roman" w:hAnsi="Times New Roman"/>
                <w:lang w:val="en-GB"/>
              </w:rPr>
              <w:t>wable materials, thereby enabling a faster green transition. We will bolster the transition of new enterprise units and start-ups to a faster growth phase by providing support for fast-growing enterprises</w:t>
            </w:r>
            <w:r w:rsidRPr="00A66F03">
              <w:rPr>
                <w:lang w:val="en-GB"/>
              </w:rPr>
              <w:t xml:space="preserve"> (</w:t>
            </w:r>
            <w:r w:rsidRPr="00A66F03">
              <w:rPr>
                <w:rFonts w:ascii="Times New Roman" w:hAnsi="Times New Roman"/>
                <w:lang w:val="en-GB"/>
              </w:rPr>
              <w:t xml:space="preserve">scale-up financing, particularly equity). We will </w:t>
            </w:r>
            <w:r w:rsidRPr="00A66F03">
              <w:rPr>
                <w:rFonts w:ascii="Times New Roman" w:hAnsi="Times New Roman"/>
                <w:lang w:val="en-GB"/>
              </w:rPr>
              <w:t>promote development partnerships to strengthen cooperation in global value chains, and support pilot and demonstration projects.</w:t>
            </w:r>
          </w:p>
          <w:p w14:paraId="0C046404" w14:textId="77777777" w:rsidR="002D4358" w:rsidRPr="00A66F03" w:rsidRDefault="002D4358" w:rsidP="00B72629">
            <w:pPr>
              <w:spacing w:after="0" w:line="276" w:lineRule="auto"/>
              <w:jc w:val="both"/>
              <w:rPr>
                <w:rFonts w:ascii="Times New Roman" w:hAnsi="Times New Roman" w:cs="Times New Roman"/>
                <w:b/>
                <w:lang w:val="en-GB"/>
              </w:rPr>
            </w:pPr>
          </w:p>
          <w:p w14:paraId="1F7DA19B" w14:textId="77777777" w:rsidR="002D4358" w:rsidRPr="00A66F03" w:rsidRDefault="00976636" w:rsidP="00B72629">
            <w:pPr>
              <w:spacing w:after="0" w:line="276" w:lineRule="auto"/>
              <w:jc w:val="both"/>
              <w:rPr>
                <w:rFonts w:ascii="Times New Roman" w:hAnsi="Times New Roman" w:cs="Times New Roman"/>
                <w:lang w:val="en-GB"/>
              </w:rPr>
            </w:pPr>
            <w:r w:rsidRPr="00A66F03">
              <w:rPr>
                <w:rFonts w:ascii="Times New Roman" w:hAnsi="Times New Roman" w:cs="Times New Roman"/>
                <w:lang w:val="en-GB"/>
              </w:rPr>
              <w:t xml:space="preserve">Using ERDF resources, we will address all key target groups when promoting </w:t>
            </w:r>
            <w:r w:rsidRPr="00A66F03">
              <w:rPr>
                <w:rFonts w:ascii="Times New Roman" w:hAnsi="Times New Roman" w:cs="Times New Roman"/>
                <w:b/>
                <w:bCs/>
                <w:lang w:val="en-GB"/>
              </w:rPr>
              <w:t>knowledge and skills for smart specialisation, indu</w:t>
            </w:r>
            <w:r w:rsidRPr="00A66F03">
              <w:rPr>
                <w:rFonts w:ascii="Times New Roman" w:hAnsi="Times New Roman" w:cs="Times New Roman"/>
                <w:b/>
                <w:bCs/>
                <w:lang w:val="en-GB"/>
              </w:rPr>
              <w:t>strial transition and entrepreneurship</w:t>
            </w:r>
            <w:r w:rsidRPr="00A66F03">
              <w:rPr>
                <w:rFonts w:ascii="Times New Roman" w:hAnsi="Times New Roman" w:cs="Times New Roman"/>
                <w:lang w:val="en-GB"/>
              </w:rPr>
              <w:t>,</w:t>
            </w:r>
            <w:r w:rsidRPr="00A66F03">
              <w:rPr>
                <w:rFonts w:ascii="Times New Roman" w:hAnsi="Times New Roman" w:cs="Times New Roman"/>
                <w:b/>
                <w:bCs/>
                <w:lang w:val="en-GB"/>
              </w:rPr>
              <w:t xml:space="preserve"> </w:t>
            </w:r>
            <w:r w:rsidRPr="00A66F03">
              <w:rPr>
                <w:rFonts w:ascii="Times New Roman" w:hAnsi="Times New Roman" w:cs="Times New Roman"/>
                <w:lang w:val="en-GB"/>
              </w:rPr>
              <w:t>while other types of measure/target group will be addressed through PO4 or ESF+ actions (including measures of a horizontal-cross-sectional or systemic nature). The core sets of measures will aim to strengthen knowle</w:t>
            </w:r>
            <w:r w:rsidRPr="00A66F03">
              <w:rPr>
                <w:rFonts w:ascii="Times New Roman" w:hAnsi="Times New Roman" w:cs="Times New Roman"/>
                <w:lang w:val="en-GB"/>
              </w:rPr>
              <w:t>dge and skills for smart specialisation and the industrial transition and to support innovation for businesses and other stakeholders in the economy, chiefly by upgrading staff development measures in the S5 priority areas and horizontal topics towards gre</w:t>
            </w:r>
            <w:r w:rsidRPr="00A66F03">
              <w:rPr>
                <w:rFonts w:ascii="Times New Roman" w:hAnsi="Times New Roman" w:cs="Times New Roman"/>
                <w:lang w:val="en-GB"/>
              </w:rPr>
              <w:t>ater openness and flexibility. We will support the design and implementation of flexible study programmes for the upskilling of graduates in S5 areas with a view to closing the gap between graduate skills and employers’ expectations more quickly, and secur</w:t>
            </w:r>
            <w:r w:rsidRPr="00A66F03">
              <w:rPr>
                <w:rFonts w:ascii="Times New Roman" w:hAnsi="Times New Roman" w:cs="Times New Roman"/>
                <w:lang w:val="en-GB"/>
              </w:rPr>
              <w:t xml:space="preserve">e longer-term effects by updating regular study programmes. We will also consolidate skills for all systemic smart specialisation providers, both at stakeholder (SRIPs, social partners, etc.) and institutional level (ministries, services, agencies, etc.). </w:t>
            </w:r>
            <w:r w:rsidRPr="00A66F03">
              <w:rPr>
                <w:rFonts w:ascii="Times New Roman" w:hAnsi="Times New Roman" w:cs="Times New Roman"/>
                <w:lang w:val="en-GB"/>
              </w:rPr>
              <w:t>We will also develop skills and competencies for social innovation and systemic innovation by creating a hub to tackle social challenges, piloting the transition to a low-carbon circular economy, including the blue economy sectors. A new systemic tool, the</w:t>
            </w:r>
            <w:r w:rsidRPr="00A66F03">
              <w:rPr>
                <w:rFonts w:ascii="Times New Roman" w:hAnsi="Times New Roman" w:cs="Times New Roman"/>
                <w:lang w:val="en-GB"/>
              </w:rPr>
              <w:t xml:space="preserve"> Foresight Competence Platform, which, </w:t>
            </w:r>
            <w:r w:rsidRPr="00A66F03">
              <w:rPr>
                <w:rFonts w:ascii="Times New Roman" w:hAnsi="Times New Roman" w:cs="Times New Roman"/>
                <w:color w:val="111111"/>
                <w:lang w:val="en-GB"/>
              </w:rPr>
              <w:t>like other measures of a more systemic nature, is relevant to S5 (education system, career centres and lifelong career guidance, scholarship policy, etc.)</w:t>
            </w:r>
            <w:r w:rsidRPr="00A66F03">
              <w:rPr>
                <w:rFonts w:ascii="Times New Roman" w:hAnsi="Times New Roman" w:cs="Times New Roman"/>
                <w:lang w:val="en-GB"/>
              </w:rPr>
              <w:t xml:space="preserve"> is being developed within the context of PO4 and is crucial to</w:t>
            </w:r>
            <w:r w:rsidRPr="00A66F03">
              <w:rPr>
                <w:rFonts w:ascii="Times New Roman" w:hAnsi="Times New Roman" w:cs="Times New Roman"/>
                <w:lang w:val="en-GB"/>
              </w:rPr>
              <w:t xml:space="preserve"> the implementation of measures to promote the development of knowledge and skills. </w:t>
            </w:r>
          </w:p>
          <w:p w14:paraId="31AD7AF8" w14:textId="77777777" w:rsidR="008706EF" w:rsidRPr="00A66F03" w:rsidRDefault="008706EF" w:rsidP="00B72629">
            <w:pPr>
              <w:spacing w:after="0" w:line="276" w:lineRule="auto"/>
              <w:jc w:val="both"/>
              <w:rPr>
                <w:rFonts w:ascii="Times New Roman" w:eastAsia="Arial" w:hAnsi="Times New Roman" w:cs="Times New Roman"/>
                <w:lang w:val="en-GB"/>
              </w:rPr>
            </w:pPr>
          </w:p>
          <w:p w14:paraId="675356C1" w14:textId="77777777" w:rsidR="00E76D8C" w:rsidRPr="00A66F03" w:rsidRDefault="00976636" w:rsidP="00E76D8C">
            <w:pPr>
              <w:spacing w:after="0" w:line="276" w:lineRule="auto"/>
              <w:jc w:val="both"/>
              <w:rPr>
                <w:rFonts w:ascii="Times New Roman" w:eastAsia="Arial" w:hAnsi="Times New Roman" w:cs="Times New Roman"/>
                <w:bCs/>
                <w:lang w:val="en-GB"/>
              </w:rPr>
            </w:pPr>
            <w:r w:rsidRPr="00A66F03">
              <w:rPr>
                <w:rFonts w:ascii="Times New Roman" w:hAnsi="Times New Roman" w:cs="Times New Roman"/>
                <w:lang w:val="en-GB"/>
              </w:rPr>
              <w:t xml:space="preserve">Taking the identified development gaps into account, we will take action to promote a supportive and business environment for the digital transformation of society, the public sector and businesses: the actions will support the comprehensive and secure </w:t>
            </w:r>
            <w:r w:rsidRPr="00A66F03">
              <w:rPr>
                <w:rFonts w:ascii="Times New Roman" w:hAnsi="Times New Roman" w:cs="Times New Roman"/>
                <w:b/>
                <w:bCs/>
                <w:lang w:val="en-GB"/>
              </w:rPr>
              <w:t>dig</w:t>
            </w:r>
            <w:r w:rsidRPr="00A66F03">
              <w:rPr>
                <w:rFonts w:ascii="Times New Roman" w:hAnsi="Times New Roman" w:cs="Times New Roman"/>
                <w:b/>
                <w:bCs/>
                <w:lang w:val="en-GB"/>
              </w:rPr>
              <w:t>ital transformation of SMEs</w:t>
            </w:r>
            <w:r w:rsidRPr="00A66F03">
              <w:rPr>
                <w:rFonts w:ascii="Times New Roman" w:hAnsi="Times New Roman" w:cs="Times New Roman"/>
                <w:lang w:val="en-GB"/>
              </w:rPr>
              <w:t>, both by upgrading the support and business environment (strengthening the functioning of existing and new digital transformation mechanisms and institutions) and by deploying targeted instruments for SMEs (e.g. digital vouchers</w:t>
            </w:r>
            <w:r w:rsidRPr="00A66F03">
              <w:rPr>
                <w:rFonts w:ascii="Times New Roman" w:hAnsi="Times New Roman" w:cs="Times New Roman"/>
                <w:lang w:val="en-GB"/>
              </w:rPr>
              <w:t>, incentives for digital transformation, e-business) as a response to the low integration of digital technologies into SMEs’ business processes. The actions will also address promotion of the development and use of artificial intelligence and other advance</w:t>
            </w:r>
            <w:r w:rsidRPr="00A66F03">
              <w:rPr>
                <w:rFonts w:ascii="Times New Roman" w:hAnsi="Times New Roman" w:cs="Times New Roman"/>
                <w:lang w:val="en-GB"/>
              </w:rPr>
              <w:t xml:space="preserve">d digital technologies in the economy and society. We will also support investments in a common standardised architecture and digital infrastructure for the deployment of new technologies (Internet of Things, Big Data, artificial </w:t>
            </w:r>
            <w:r w:rsidRPr="00A66F03">
              <w:rPr>
                <w:rFonts w:ascii="Times New Roman" w:hAnsi="Times New Roman" w:cs="Times New Roman"/>
                <w:lang w:val="en-GB"/>
              </w:rPr>
              <w:lastRenderedPageBreak/>
              <w:t>intelligence/machine learn</w:t>
            </w:r>
            <w:r w:rsidRPr="00A66F03">
              <w:rPr>
                <w:rFonts w:ascii="Times New Roman" w:hAnsi="Times New Roman" w:cs="Times New Roman"/>
                <w:lang w:val="en-GB"/>
              </w:rPr>
              <w:t>ing, blockchain and cybersecurity), providing users with greater access to digital services.</w:t>
            </w:r>
          </w:p>
          <w:p w14:paraId="03342214" w14:textId="77777777" w:rsidR="000B2793" w:rsidRPr="00A66F03" w:rsidRDefault="000B2793" w:rsidP="00E76D8C">
            <w:pPr>
              <w:spacing w:after="0" w:line="276" w:lineRule="auto"/>
              <w:jc w:val="both"/>
              <w:rPr>
                <w:rFonts w:ascii="Times New Roman" w:eastAsia="Arial" w:hAnsi="Times New Roman" w:cs="Times New Roman"/>
                <w:b/>
                <w:bCs/>
                <w:lang w:val="en-GB"/>
              </w:rPr>
            </w:pPr>
          </w:p>
          <w:p w14:paraId="020C0554" w14:textId="77777777" w:rsidR="00E76D8C" w:rsidRPr="00A66F03" w:rsidRDefault="00976636" w:rsidP="00E76D8C">
            <w:pPr>
              <w:spacing w:after="0" w:line="276" w:lineRule="auto"/>
              <w:jc w:val="both"/>
              <w:rPr>
                <w:rFonts w:ascii="Times New Roman" w:eastAsia="Arial" w:hAnsi="Times New Roman" w:cs="Times New Roman"/>
                <w:lang w:val="en-GB"/>
              </w:rPr>
            </w:pPr>
            <w:r w:rsidRPr="00A66F03">
              <w:rPr>
                <w:rFonts w:ascii="Times New Roman" w:eastAsia="Arial" w:hAnsi="Times New Roman" w:cs="Times New Roman"/>
                <w:lang w:val="en-GB"/>
              </w:rPr>
              <w:t>Using ERDF funds, we will support the digitalisation of public administration services and processes for businesses and citizens/society as a whole. We will follo</w:t>
            </w:r>
            <w:r w:rsidRPr="00A66F03">
              <w:rPr>
                <w:rFonts w:ascii="Times New Roman" w:eastAsia="Arial" w:hAnsi="Times New Roman" w:cs="Times New Roman"/>
                <w:lang w:val="en-GB"/>
              </w:rPr>
              <w:t>w the modern principle of co-creation with users, make full use of data and advanced digital technologies, and provide building blocks for the development of smart digital services. The actions will address smart cities, communities and villages (we will m</w:t>
            </w:r>
            <w:r w:rsidRPr="00A66F03">
              <w:rPr>
                <w:rFonts w:ascii="Times New Roman" w:eastAsia="Arial" w:hAnsi="Times New Roman" w:cs="Times New Roman"/>
                <w:lang w:val="en-GB"/>
              </w:rPr>
              <w:t xml:space="preserve">onitor local communities in Slovenia, and measure the participation of local communities/municipalities in the sharing or use of data within a common data infrastructure). </w:t>
            </w:r>
          </w:p>
          <w:p w14:paraId="22351381" w14:textId="77777777" w:rsidR="00E76D8C" w:rsidRPr="00A66F03" w:rsidRDefault="00976636" w:rsidP="00E76D8C">
            <w:pPr>
              <w:spacing w:after="0" w:line="276" w:lineRule="auto"/>
              <w:jc w:val="both"/>
              <w:rPr>
                <w:rFonts w:ascii="Times New Roman" w:eastAsia="Arial" w:hAnsi="Times New Roman" w:cs="Times New Roman"/>
                <w:lang w:val="en-GB"/>
              </w:rPr>
            </w:pPr>
            <w:r w:rsidRPr="00A66F03">
              <w:rPr>
                <w:rFonts w:ascii="Times New Roman" w:eastAsia="Arial" w:hAnsi="Times New Roman" w:cs="Times New Roman"/>
                <w:lang w:val="en-GB"/>
              </w:rPr>
              <w:t>We will address the issue of the digitalisation of the Slovenian language (includin</w:t>
            </w:r>
            <w:r w:rsidRPr="00A66F03">
              <w:rPr>
                <w:rFonts w:ascii="Times New Roman" w:eastAsia="Arial" w:hAnsi="Times New Roman" w:cs="Times New Roman"/>
                <w:lang w:val="en-GB"/>
              </w:rPr>
              <w:t>g through the provision of modern digital resources and language technologies with the help of artificial intelligence), including adaptations for vulnerable groups and the established, publicly available Slovenian language corpuses necessary for algorithm</w:t>
            </w:r>
            <w:r w:rsidRPr="00A66F03">
              <w:rPr>
                <w:rFonts w:ascii="Times New Roman" w:eastAsia="Arial" w:hAnsi="Times New Roman" w:cs="Times New Roman"/>
                <w:lang w:val="en-GB"/>
              </w:rPr>
              <w:t>ic processing to the economy, the public sector and academia, digital innovation in the accessibility of culture,</w:t>
            </w:r>
            <w:r w:rsidRPr="00A66F03">
              <w:rPr>
                <w:rFonts w:ascii="Times New Roman" w:eastAsia="Arial" w:hAnsi="Times New Roman" w:cs="Times New Roman"/>
                <w:vertAlign w:val="superscript"/>
                <w:lang w:val="en-GB"/>
              </w:rPr>
              <w:footnoteReference w:id="92"/>
            </w:r>
            <w:r w:rsidRPr="00A66F03">
              <w:rPr>
                <w:rFonts w:ascii="Times New Roman" w:eastAsia="Arial" w:hAnsi="Times New Roman" w:cs="Times New Roman"/>
                <w:lang w:val="en-GB"/>
              </w:rPr>
              <w:t xml:space="preserve"> the integration of digital content into the education system or e-education, assistance in the transfer of innovation and developed technolog</w:t>
            </w:r>
            <w:r w:rsidRPr="00A66F03">
              <w:rPr>
                <w:rFonts w:ascii="Times New Roman" w:eastAsia="Arial" w:hAnsi="Times New Roman" w:cs="Times New Roman"/>
                <w:lang w:val="en-GB"/>
              </w:rPr>
              <w:t>ies to the economy and public administration, and e-space (development of the ‘geospatial digital twin’, e-justice, etc.).  We will take additional action to increase digital inclusion and digital competencies in society and the economy.</w:t>
            </w:r>
          </w:p>
          <w:p w14:paraId="6939F7E0" w14:textId="77777777" w:rsidR="00BB51A2" w:rsidRPr="00A66F03" w:rsidRDefault="00BB51A2" w:rsidP="00B72629">
            <w:pPr>
              <w:spacing w:after="0" w:line="276" w:lineRule="auto"/>
              <w:jc w:val="both"/>
              <w:rPr>
                <w:rFonts w:ascii="Times New Roman" w:eastAsia="Times New Roman" w:hAnsi="Times New Roman" w:cs="Times New Roman"/>
                <w:lang w:val="en-GB"/>
              </w:rPr>
            </w:pPr>
          </w:p>
          <w:p w14:paraId="6FE73187" w14:textId="77777777" w:rsidR="00DE4F2E" w:rsidRPr="00A66F03" w:rsidRDefault="00976636" w:rsidP="00B72629">
            <w:pPr>
              <w:spacing w:after="0" w:line="276" w:lineRule="auto"/>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t xml:space="preserve">We will use ERDF </w:t>
            </w:r>
            <w:r w:rsidRPr="00A66F03">
              <w:rPr>
                <w:rFonts w:ascii="Times New Roman" w:eastAsia="Times New Roman" w:hAnsi="Times New Roman" w:cs="Times New Roman"/>
                <w:lang w:val="en-GB"/>
              </w:rPr>
              <w:t xml:space="preserve">resources to </w:t>
            </w:r>
            <w:r w:rsidRPr="00A66F03">
              <w:rPr>
                <w:rFonts w:ascii="Times New Roman" w:eastAsia="Times New Roman" w:hAnsi="Times New Roman" w:cs="Times New Roman"/>
                <w:b/>
                <w:bCs/>
                <w:lang w:val="en-GB"/>
              </w:rPr>
              <w:t xml:space="preserve">improve digital connectivity </w:t>
            </w:r>
            <w:r w:rsidRPr="00A66F03">
              <w:rPr>
                <w:rFonts w:ascii="Times New Roman" w:eastAsia="Times New Roman" w:hAnsi="Times New Roman" w:cs="Times New Roman"/>
                <w:lang w:val="en-GB"/>
              </w:rPr>
              <w:t xml:space="preserve">and support the construction of open, high-capacity broadband infrastructure to businesses, households and public institutions in areas where such networks do not yet exist (capacity will enable speeds of at least </w:t>
            </w:r>
            <w:r w:rsidRPr="00A66F03">
              <w:rPr>
                <w:rFonts w:ascii="Times New Roman" w:eastAsia="Times New Roman" w:hAnsi="Times New Roman" w:cs="Times New Roman"/>
                <w:lang w:val="en-GB"/>
              </w:rPr>
              <w:t>100 Mbps to the end-user, upgradable to 1 Gbps in the future) and there is no interest in building them on the part of operators/developers. For educational institutions, those investments will also be supported outside those areas in order to ensure long-</w:t>
            </w:r>
            <w:r w:rsidRPr="00A66F03">
              <w:rPr>
                <w:rFonts w:ascii="Times New Roman" w:eastAsia="Times New Roman" w:hAnsi="Times New Roman" w:cs="Times New Roman"/>
                <w:lang w:val="en-GB"/>
              </w:rPr>
              <w:t>term economic sustainability and adequate technical management of this infrastructure, which is necessary for ensuring a smooth education process.  We will use ERDF resources to support the construction of high-capacity broadband infrastructure in the ESCR</w:t>
            </w:r>
            <w:r w:rsidRPr="00A66F03">
              <w:rPr>
                <w:rFonts w:ascii="Times New Roman" w:eastAsia="Times New Roman" w:hAnsi="Times New Roman" w:cs="Times New Roman"/>
                <w:lang w:val="en-GB"/>
              </w:rPr>
              <w:t xml:space="preserve"> and the WSCR. </w:t>
            </w:r>
          </w:p>
          <w:p w14:paraId="1363EA21" w14:textId="77777777" w:rsidR="00954EC4" w:rsidRPr="00A66F03" w:rsidRDefault="00954EC4" w:rsidP="00B72629">
            <w:pPr>
              <w:spacing w:after="0" w:line="276" w:lineRule="auto"/>
              <w:jc w:val="both"/>
              <w:rPr>
                <w:rFonts w:ascii="Times New Roman" w:eastAsiaTheme="majorEastAsia" w:hAnsi="Times New Roman" w:cs="Times New Roman"/>
                <w:lang w:val="en-GB"/>
              </w:rPr>
            </w:pPr>
          </w:p>
          <w:p w14:paraId="7B199E9F" w14:textId="77777777" w:rsidR="00775460" w:rsidRPr="00A66F03" w:rsidRDefault="00976636" w:rsidP="00B72629">
            <w:pPr>
              <w:spacing w:after="0" w:line="276" w:lineRule="auto"/>
              <w:jc w:val="both"/>
              <w:rPr>
                <w:rFonts w:ascii="Times New Roman" w:eastAsiaTheme="majorEastAsia" w:hAnsi="Times New Roman" w:cs="Times New Roman"/>
                <w:b/>
                <w:lang w:val="en-GB"/>
              </w:rPr>
            </w:pPr>
            <w:r w:rsidRPr="00A66F03">
              <w:rPr>
                <w:rFonts w:ascii="Times New Roman" w:eastAsiaTheme="majorEastAsia" w:hAnsi="Times New Roman" w:cs="Times New Roman"/>
                <w:lang w:val="en-GB"/>
              </w:rPr>
              <w:t>According to the Innovation Index, the ESCR lags behind the WSCR, although the WSCR’s</w:t>
            </w:r>
            <w:r w:rsidRPr="00A66F03">
              <w:rPr>
                <w:rFonts w:ascii="Times New Roman" w:eastAsiaTheme="majorEastAsia" w:hAnsi="Times New Roman" w:cs="Times New Roman"/>
                <w:lang w:val="en-GB"/>
              </w:rPr>
              <w:t xml:space="preserve"> results have recently declined. We will therefore invest in research, development and innovation and in strengthening SMEs in both regions. Given the fact that educational institutions are situated in the WSCR as a matter of priority, resources for the st</w:t>
            </w:r>
            <w:r w:rsidRPr="00A66F03">
              <w:rPr>
                <w:rFonts w:ascii="Times New Roman" w:eastAsiaTheme="majorEastAsia" w:hAnsi="Times New Roman" w:cs="Times New Roman"/>
                <w:lang w:val="en-GB"/>
              </w:rPr>
              <w:t>rengthening of knowledge and skills will be allocated to the WSCR to a greater extent, although steps will be taken to ensure that the impact of the measures is shared equally between the two regions. In the area of digital connectivity, we will build on t</w:t>
            </w:r>
            <w:r w:rsidRPr="00A66F03">
              <w:rPr>
                <w:rFonts w:ascii="Times New Roman" w:eastAsiaTheme="majorEastAsia" w:hAnsi="Times New Roman" w:cs="Times New Roman"/>
                <w:lang w:val="en-GB"/>
              </w:rPr>
              <w:t>he real needs that have been identified in the Gigabit Infrastructure Development Plan 2030 and that are fully in line with the EU’s digital objectives. The plan is to ensure (i) gigabit connectivity for all major drivers of socio-economic development, suc</w:t>
            </w:r>
            <w:r w:rsidRPr="00A66F03">
              <w:rPr>
                <w:rFonts w:ascii="Times New Roman" w:eastAsiaTheme="majorEastAsia" w:hAnsi="Times New Roman" w:cs="Times New Roman"/>
                <w:lang w:val="en-GB"/>
              </w:rPr>
              <w:t>h as schools and transport hubs, and the major providers of public services and digitally intensive businesses by 2025; (ii) uninterrupted 5G coverage for all urban areas and for all major terrestrial transport routes by 2025; (iii) internet connectivity o</w:t>
            </w:r>
            <w:r w:rsidRPr="00A66F03">
              <w:rPr>
                <w:rFonts w:ascii="Times New Roman" w:eastAsiaTheme="majorEastAsia" w:hAnsi="Times New Roman" w:cs="Times New Roman"/>
                <w:lang w:val="en-GB"/>
              </w:rPr>
              <w:t>f at least 100 Mbps to the user, which may be upgraded to gigabit speed for all households in rural and urban areas by 2025; (iv) gigabit connectivity for all households in rural and urban areas by 2028; (v) 5G coverage for all populated areas by 2028.</w:t>
            </w:r>
          </w:p>
          <w:p w14:paraId="20E7212A" w14:textId="77777777" w:rsidR="002F44E5" w:rsidRPr="00A66F03" w:rsidRDefault="002F44E5" w:rsidP="00B72629">
            <w:pPr>
              <w:spacing w:after="0" w:line="276" w:lineRule="auto"/>
              <w:jc w:val="both"/>
              <w:rPr>
                <w:rFonts w:ascii="Times New Roman" w:eastAsiaTheme="majorEastAsia" w:hAnsi="Times New Roman" w:cs="Times New Roman"/>
                <w:lang w:val="en-GB"/>
              </w:rPr>
            </w:pPr>
          </w:p>
          <w:p w14:paraId="5DF01535" w14:textId="77777777" w:rsidR="002D4358" w:rsidRPr="00A66F03" w:rsidRDefault="00976636" w:rsidP="00CF3C20">
            <w:pPr>
              <w:pStyle w:val="Naslov2"/>
              <w:rPr>
                <w:lang w:val="en-GB"/>
              </w:rPr>
            </w:pPr>
            <w:bookmarkStart w:id="7" w:name="_Toc77593996"/>
            <w:bookmarkStart w:id="8" w:name="_Toc86310922"/>
            <w:bookmarkStart w:id="9" w:name="_Toc115336009"/>
            <w:r w:rsidRPr="00A66F03">
              <w:rPr>
                <w:lang w:val="en-GB"/>
              </w:rPr>
              <w:lastRenderedPageBreak/>
              <w:t>Po</w:t>
            </w:r>
            <w:r w:rsidRPr="00A66F03">
              <w:rPr>
                <w:lang w:val="en-GB"/>
              </w:rPr>
              <w:t>licy Objective 2: A greener, low-carbon Europe transitioning towards a net-zero carbon economy and resilient Europe by promoting clean and fair energy transition, green and blue investment, the circular economy, climate change mitigation and adaptation and</w:t>
            </w:r>
            <w:r w:rsidRPr="00A66F03">
              <w:rPr>
                <w:lang w:val="en-GB"/>
              </w:rPr>
              <w:t xml:space="preserve"> risk prevention and management, and sustainable urban mobility</w:t>
            </w:r>
            <w:bookmarkEnd w:id="7"/>
            <w:bookmarkEnd w:id="8"/>
            <w:bookmarkEnd w:id="9"/>
          </w:p>
          <w:p w14:paraId="5E6A80FF" w14:textId="77777777" w:rsidR="002D4358" w:rsidRPr="00A66F03" w:rsidRDefault="002D4358" w:rsidP="00B72629">
            <w:pPr>
              <w:spacing w:after="0" w:line="276" w:lineRule="auto"/>
              <w:jc w:val="both"/>
              <w:rPr>
                <w:rFonts w:ascii="Times New Roman" w:hAnsi="Times New Roman" w:cs="Times New Roman"/>
                <w:lang w:val="en-GB"/>
              </w:rPr>
            </w:pPr>
          </w:p>
          <w:p w14:paraId="36E3A24F" w14:textId="77777777" w:rsidR="000D13A0" w:rsidRPr="00A66F03" w:rsidRDefault="00976636" w:rsidP="00B72629">
            <w:pPr>
              <w:spacing w:after="0" w:line="276" w:lineRule="auto"/>
              <w:jc w:val="both"/>
              <w:rPr>
                <w:rFonts w:ascii="Times New Roman" w:hAnsi="Times New Roman" w:cs="Times New Roman"/>
                <w:lang w:val="en-GB"/>
              </w:rPr>
            </w:pPr>
            <w:r w:rsidRPr="00A66F03">
              <w:rPr>
                <w:rFonts w:ascii="Times New Roman" w:hAnsi="Times New Roman" w:cs="Times New Roman"/>
                <w:lang w:val="en-GB"/>
              </w:rPr>
              <w:t>The European Green Deal has set ambitious targets for the transformation of the EU economy towards a sustainable future, and established a framework to shape the pathway towards a climate-neu</w:t>
            </w:r>
            <w:r w:rsidRPr="00A66F03">
              <w:rPr>
                <w:rFonts w:ascii="Times New Roman" w:hAnsi="Times New Roman" w:cs="Times New Roman"/>
                <w:lang w:val="en-GB"/>
              </w:rPr>
              <w:t>tral, circular economy no later than by 2050. In this context, Slovenia undertakes, using Partnership Agreement resources, to secure the greatest impact on: the supply of clean, accessible and secure energy; acceleration of the transition towards sustainab</w:t>
            </w:r>
            <w:r w:rsidRPr="00A66F03">
              <w:rPr>
                <w:rFonts w:ascii="Times New Roman" w:hAnsi="Times New Roman" w:cs="Times New Roman"/>
                <w:lang w:val="en-GB"/>
              </w:rPr>
              <w:t>le and smart mobility; the mobilisation of industry for a clean and circular economy; renovation initiatives involving construction and renovation that complies with energy and materials efficiency principles; ambitions to achieve zero pollution for an env</w:t>
            </w:r>
            <w:r w:rsidRPr="00A66F03">
              <w:rPr>
                <w:rFonts w:ascii="Times New Roman" w:hAnsi="Times New Roman" w:cs="Times New Roman"/>
                <w:lang w:val="en-GB"/>
              </w:rPr>
              <w:t xml:space="preserve">ironment free of toxic substances; the preservation and restoration of ecosystems and biodiversity and the mitigation of climate change; the construction of regions and cities that are resilient to the impacts of climate change and in other areas, in line </w:t>
            </w:r>
            <w:r w:rsidRPr="00A66F03">
              <w:rPr>
                <w:rFonts w:ascii="Times New Roman" w:hAnsi="Times New Roman" w:cs="Times New Roman"/>
                <w:lang w:val="en-GB"/>
              </w:rPr>
              <w:t>with specific initiatives under the European Green Deal. Slovenia will also use funds to mobilise and strengthen research into sustainability. Slovenia also undertakes to respect the ‘do no significant harm’ principle when making investments under all poli</w:t>
            </w:r>
            <w:r w:rsidRPr="00A66F03">
              <w:rPr>
                <w:rFonts w:ascii="Times New Roman" w:hAnsi="Times New Roman" w:cs="Times New Roman"/>
                <w:lang w:val="en-GB"/>
              </w:rPr>
              <w:t>cy objectives. Bearing in mind that the European Green Deal also highlights the fact that the objectives can only be achieved if no one is left behind and if they are carried out in a fair and inclusive way, Slovenia will support those who are most vulnera</w:t>
            </w:r>
            <w:r w:rsidRPr="00A66F03">
              <w:rPr>
                <w:rFonts w:ascii="Times New Roman" w:hAnsi="Times New Roman" w:cs="Times New Roman"/>
                <w:lang w:val="en-GB"/>
              </w:rPr>
              <w:t xml:space="preserve">ble and most exposed to the social and economic consequences of the transition, for example through reskilling and upskilling. </w:t>
            </w:r>
          </w:p>
          <w:p w14:paraId="55D68B36" w14:textId="77777777" w:rsidR="00951C8B" w:rsidRPr="00A66F03" w:rsidRDefault="00951C8B" w:rsidP="00B72629">
            <w:pPr>
              <w:spacing w:after="0" w:line="276" w:lineRule="auto"/>
              <w:jc w:val="both"/>
              <w:rPr>
                <w:rFonts w:ascii="Times New Roman" w:hAnsi="Times New Roman" w:cs="Times New Roman"/>
                <w:lang w:val="en-GB"/>
              </w:rPr>
            </w:pPr>
          </w:p>
          <w:p w14:paraId="22A780A5" w14:textId="77777777" w:rsidR="00951C8B" w:rsidRPr="00A66F03" w:rsidRDefault="00976636" w:rsidP="00B72629">
            <w:pPr>
              <w:spacing w:after="0" w:line="276" w:lineRule="auto"/>
              <w:jc w:val="both"/>
              <w:rPr>
                <w:rFonts w:ascii="Times New Roman" w:hAnsi="Times New Roman" w:cs="Times New Roman"/>
                <w:lang w:val="en-GB"/>
              </w:rPr>
            </w:pPr>
            <w:r w:rsidRPr="00A66F03">
              <w:rPr>
                <w:rFonts w:ascii="Times New Roman" w:hAnsi="Times New Roman" w:cs="Times New Roman"/>
                <w:lang w:val="en-GB"/>
              </w:rPr>
              <w:t>We will dedicate resources from the ERDF, CF and EMFAF, in addition to national resources, to support investments in this area,</w:t>
            </w:r>
            <w:r w:rsidRPr="00A66F03">
              <w:rPr>
                <w:rFonts w:ascii="Times New Roman" w:hAnsi="Times New Roman" w:cs="Times New Roman"/>
                <w:lang w:val="en-GB"/>
              </w:rPr>
              <w:t xml:space="preserve"> including the blue economy sectors. The EMFAF will contribute to the green transition and ensure the resilience of the marine commercial fishing, aquaculture and processing sectors. In the context of the implementation of the Common Fisheries Policy and i</w:t>
            </w:r>
            <w:r w:rsidRPr="00A66F03">
              <w:rPr>
                <w:rFonts w:ascii="Times New Roman" w:hAnsi="Times New Roman" w:cs="Times New Roman"/>
                <w:lang w:val="en-GB"/>
              </w:rPr>
              <w:t xml:space="preserve">nvestments in aquaculture and processing, the EMFAF will also contribute to the digital transition. </w:t>
            </w:r>
          </w:p>
          <w:p w14:paraId="0EFEEE3F" w14:textId="77777777" w:rsidR="002D4358" w:rsidRPr="00A66F03" w:rsidRDefault="002D4358" w:rsidP="00B72629">
            <w:pPr>
              <w:spacing w:after="0" w:line="276" w:lineRule="auto"/>
              <w:jc w:val="both"/>
              <w:rPr>
                <w:rFonts w:ascii="Times New Roman" w:hAnsi="Times New Roman" w:cs="Times New Roman"/>
                <w:lang w:val="en-GB"/>
              </w:rPr>
            </w:pPr>
          </w:p>
          <w:p w14:paraId="6506921E" w14:textId="77777777" w:rsidR="00FE4582" w:rsidRPr="00A66F03" w:rsidRDefault="00976636" w:rsidP="00FE4582">
            <w:pPr>
              <w:spacing w:after="0" w:line="276" w:lineRule="auto"/>
              <w:jc w:val="both"/>
              <w:rPr>
                <w:rFonts w:ascii="Times New Roman" w:hAnsi="Times New Roman" w:cs="Times New Roman"/>
                <w:lang w:val="en-GB"/>
              </w:rPr>
            </w:pPr>
            <w:r w:rsidRPr="00A66F03">
              <w:rPr>
                <w:rFonts w:ascii="Times New Roman" w:hAnsi="Times New Roman" w:cs="Times New Roman"/>
                <w:lang w:val="en-GB"/>
              </w:rPr>
              <w:t>Within the framework of the relevant specific objectives/measures, the use of financial instruments is envisaged insofar as the results of the analysis of</w:t>
            </w:r>
            <w:r w:rsidRPr="00A66F03">
              <w:rPr>
                <w:rFonts w:ascii="Times New Roman" w:hAnsi="Times New Roman" w:cs="Times New Roman"/>
                <w:lang w:val="en-GB"/>
              </w:rPr>
              <w:t xml:space="preserve"> the preliminary assessments of market needs and the funding gaps on the market for the implementation of financial instruments in the 2021–2027 programming period demonstrate the need to use financial instruments.</w:t>
            </w:r>
          </w:p>
          <w:p w14:paraId="482081AF" w14:textId="77777777" w:rsidR="00FE4582" w:rsidRPr="00A66F03" w:rsidRDefault="00FE4582" w:rsidP="00B72629">
            <w:pPr>
              <w:spacing w:after="0" w:line="276" w:lineRule="auto"/>
              <w:jc w:val="both"/>
              <w:rPr>
                <w:rFonts w:ascii="Times New Roman" w:hAnsi="Times New Roman" w:cs="Times New Roman"/>
                <w:lang w:val="en-GB"/>
              </w:rPr>
            </w:pPr>
          </w:p>
          <w:p w14:paraId="221BE8EC" w14:textId="77777777" w:rsidR="002D4358" w:rsidRPr="00A66F03" w:rsidRDefault="00976636" w:rsidP="00B72629">
            <w:pPr>
              <w:spacing w:after="0" w:line="276" w:lineRule="auto"/>
              <w:jc w:val="both"/>
              <w:rPr>
                <w:rFonts w:ascii="Times New Roman" w:hAnsi="Times New Roman" w:cs="Times New Roman"/>
                <w:lang w:val="en-GB"/>
              </w:rPr>
            </w:pPr>
            <w:r w:rsidRPr="00A66F03">
              <w:rPr>
                <w:rFonts w:ascii="Times New Roman" w:hAnsi="Times New Roman" w:cs="Times New Roman"/>
                <w:lang w:val="en-GB"/>
              </w:rPr>
              <w:t xml:space="preserve">In the </w:t>
            </w:r>
            <w:r w:rsidRPr="00A66F03">
              <w:rPr>
                <w:rFonts w:ascii="Times New Roman" w:hAnsi="Times New Roman" w:cs="Times New Roman"/>
                <w:noProof/>
                <w:lang w:val="en-GB"/>
              </w:rPr>
              <w:t xml:space="preserve">field of </w:t>
            </w:r>
            <w:r w:rsidRPr="00A66F03">
              <w:rPr>
                <w:rFonts w:ascii="Times New Roman" w:hAnsi="Times New Roman" w:cs="Times New Roman"/>
                <w:b/>
                <w:bCs/>
                <w:color w:val="000000" w:themeColor="text1"/>
                <w:lang w:val="en-GB"/>
              </w:rPr>
              <w:t xml:space="preserve">reducing greenhouse gas </w:t>
            </w:r>
            <w:r w:rsidRPr="00A66F03">
              <w:rPr>
                <w:rFonts w:ascii="Times New Roman" w:hAnsi="Times New Roman" w:cs="Times New Roman"/>
                <w:b/>
                <w:bCs/>
                <w:color w:val="000000" w:themeColor="text1"/>
                <w:lang w:val="en-GB"/>
              </w:rPr>
              <w:t>emissions</w:t>
            </w:r>
            <w:r w:rsidRPr="00A66F03">
              <w:rPr>
                <w:rFonts w:ascii="Times New Roman" w:hAnsi="Times New Roman" w:cs="Times New Roman"/>
                <w:noProof/>
                <w:lang w:val="en-GB"/>
              </w:rPr>
              <w:t xml:space="preserve">, we will use ERDF and CF funds </w:t>
            </w:r>
            <w:r w:rsidRPr="00A66F03">
              <w:rPr>
                <w:rFonts w:ascii="Times New Roman" w:hAnsi="Times New Roman" w:cs="Times New Roman"/>
                <w:lang w:val="en-GB"/>
              </w:rPr>
              <w:t>to invest in the energy renovation of buildings as a matter of priority, in line with the NECP and the policies set out in S5</w:t>
            </w:r>
            <w:r w:rsidRPr="00A66F03">
              <w:rPr>
                <w:rFonts w:ascii="Times New Roman" w:hAnsi="Times New Roman" w:cs="Times New Roman"/>
                <w:noProof/>
                <w:lang w:val="en-GB"/>
              </w:rPr>
              <w:t>. The investment priorities are set out in the Long-Term Strategy for the Energy Renovatio</w:t>
            </w:r>
            <w:r w:rsidRPr="00A66F03">
              <w:rPr>
                <w:rFonts w:ascii="Times New Roman" w:hAnsi="Times New Roman" w:cs="Times New Roman"/>
                <w:noProof/>
                <w:lang w:val="en-GB"/>
              </w:rPr>
              <w:t xml:space="preserve">n of Buildings by 2050. </w:t>
            </w:r>
            <w:r w:rsidRPr="00A66F03">
              <w:rPr>
                <w:rFonts w:ascii="Times New Roman" w:hAnsi="Times New Roman" w:cs="Times New Roman"/>
                <w:lang w:val="en-GB"/>
              </w:rPr>
              <w:t>In the economy, support will be given to horizontal measures to increase the efficient use of energy and the use of renewables in SMEs.</w:t>
            </w:r>
            <w:r w:rsidRPr="00A66F03">
              <w:rPr>
                <w:rFonts w:ascii="Times New Roman" w:hAnsi="Times New Roman" w:cs="Times New Roman"/>
                <w:color w:val="7030A0"/>
                <w:lang w:val="en-GB"/>
              </w:rPr>
              <w:t xml:space="preserve"> </w:t>
            </w:r>
            <w:r w:rsidRPr="00A66F03">
              <w:rPr>
                <w:rFonts w:ascii="Times New Roman" w:hAnsi="Times New Roman" w:cs="Times New Roman"/>
                <w:noProof/>
                <w:lang w:val="en-GB"/>
              </w:rPr>
              <w:t xml:space="preserve">In the field of renewables, we will support district heating and cooling systems by deploying the technologies identified in the NECP, thereby achieving synergies between climate and air protection policies. </w:t>
            </w:r>
            <w:r w:rsidRPr="00A66F03">
              <w:rPr>
                <w:rFonts w:ascii="Times New Roman" w:hAnsi="Times New Roman" w:cs="Times New Roman"/>
                <w:lang w:val="en-GB"/>
              </w:rPr>
              <w:t>As geothermal energy is one of the underexploite</w:t>
            </w:r>
            <w:r w:rsidRPr="00A66F03">
              <w:rPr>
                <w:rFonts w:ascii="Times New Roman" w:hAnsi="Times New Roman" w:cs="Times New Roman"/>
                <w:lang w:val="en-GB"/>
              </w:rPr>
              <w:t>d potentials of renewable sources, Slovenia will increase investment in its exploitation.</w:t>
            </w:r>
          </w:p>
          <w:p w14:paraId="23C3711D" w14:textId="77777777" w:rsidR="00701420" w:rsidRPr="00A66F03" w:rsidRDefault="00701420" w:rsidP="00B72629">
            <w:pPr>
              <w:spacing w:after="0" w:line="276" w:lineRule="auto"/>
              <w:jc w:val="both"/>
              <w:rPr>
                <w:rFonts w:ascii="Times New Roman" w:hAnsi="Times New Roman" w:cs="Times New Roman"/>
                <w:color w:val="7030A0"/>
                <w:lang w:val="en-GB"/>
              </w:rPr>
            </w:pPr>
          </w:p>
          <w:p w14:paraId="1BD73509" w14:textId="77777777" w:rsidR="00F951B6" w:rsidRPr="00A66F03" w:rsidRDefault="00976636" w:rsidP="00B72629">
            <w:pPr>
              <w:spacing w:after="0" w:line="276" w:lineRule="auto"/>
              <w:jc w:val="both"/>
              <w:rPr>
                <w:rFonts w:ascii="Times New Roman" w:hAnsi="Times New Roman" w:cs="Times New Roman"/>
                <w:noProof/>
                <w:lang w:val="en-GB"/>
              </w:rPr>
            </w:pPr>
            <w:r w:rsidRPr="00A66F03">
              <w:rPr>
                <w:rFonts w:ascii="Times New Roman" w:hAnsi="Times New Roman" w:cs="Times New Roman"/>
                <w:noProof/>
                <w:lang w:val="en-GB"/>
              </w:rPr>
              <w:t>Using EMFAF resources, we will support investments in a greener and more energy efficient fleet, in more selective fishing gear and in increasing the environmental p</w:t>
            </w:r>
            <w:r w:rsidRPr="00A66F03">
              <w:rPr>
                <w:rFonts w:ascii="Times New Roman" w:hAnsi="Times New Roman" w:cs="Times New Roman"/>
                <w:noProof/>
                <w:lang w:val="en-GB"/>
              </w:rPr>
              <w:t xml:space="preserve">erformance of the fisheries, aquaculture and processing sectors (e.g. by building closed recirculating aquaculture systems (RAS), combined with investments in energy efficiency, the modernisation of water ventilation equipment using modern </w:t>
            </w:r>
            <w:r w:rsidRPr="00A66F03">
              <w:rPr>
                <w:rFonts w:ascii="Times New Roman" w:hAnsi="Times New Roman" w:cs="Times New Roman"/>
                <w:noProof/>
                <w:lang w:val="en-GB"/>
              </w:rPr>
              <w:lastRenderedPageBreak/>
              <w:t>technologies, e.</w:t>
            </w:r>
            <w:r w:rsidRPr="00A66F03">
              <w:rPr>
                <w:rFonts w:ascii="Times New Roman" w:hAnsi="Times New Roman" w:cs="Times New Roman"/>
                <w:noProof/>
                <w:lang w:val="en-GB"/>
              </w:rPr>
              <w:t>g. algae water purification technologies). As algae and shellfish farming contribute to CO</w:t>
            </w:r>
            <w:r w:rsidRPr="00A66F03">
              <w:rPr>
                <w:rFonts w:ascii="Times New Roman" w:hAnsi="Times New Roman" w:cs="Times New Roman"/>
                <w:noProof/>
                <w:vertAlign w:val="subscript"/>
                <w:lang w:val="en-GB"/>
              </w:rPr>
              <w:t xml:space="preserve">2 </w:t>
            </w:r>
            <w:r w:rsidRPr="00A66F03">
              <w:rPr>
                <w:rFonts w:ascii="Times New Roman" w:hAnsi="Times New Roman" w:cs="Times New Roman"/>
                <w:noProof/>
                <w:lang w:val="en-GB"/>
              </w:rPr>
              <w:t>reduction, the EMFAF will encourage investments in these sectors as well (low-trophic-level aquatic organisms).</w:t>
            </w:r>
          </w:p>
          <w:p w14:paraId="2A1A6965" w14:textId="77777777" w:rsidR="002D4358" w:rsidRPr="00A66F03" w:rsidRDefault="002D4358" w:rsidP="00B72629">
            <w:pPr>
              <w:spacing w:after="0" w:line="276" w:lineRule="auto"/>
              <w:jc w:val="both"/>
              <w:rPr>
                <w:rFonts w:ascii="Times New Roman" w:hAnsi="Times New Roman" w:cs="Times New Roman"/>
                <w:noProof/>
                <w:lang w:val="en-GB"/>
              </w:rPr>
            </w:pPr>
          </w:p>
          <w:p w14:paraId="524A1A56" w14:textId="77777777" w:rsidR="00605AA0" w:rsidRPr="00A66F03" w:rsidRDefault="00976636" w:rsidP="00B72629">
            <w:pPr>
              <w:spacing w:after="0" w:line="276" w:lineRule="auto"/>
              <w:jc w:val="both"/>
              <w:rPr>
                <w:rFonts w:ascii="Times New Roman" w:hAnsi="Times New Roman" w:cs="Times New Roman"/>
                <w:lang w:val="en-GB"/>
              </w:rPr>
            </w:pPr>
            <w:r w:rsidRPr="00A66F03">
              <w:rPr>
                <w:rFonts w:ascii="Times New Roman" w:hAnsi="Times New Roman" w:cs="Times New Roman"/>
                <w:lang w:val="en-GB"/>
              </w:rPr>
              <w:t xml:space="preserve">We will address the transition to a low-carbon </w:t>
            </w:r>
            <w:r w:rsidRPr="00A66F03">
              <w:rPr>
                <w:rFonts w:ascii="Times New Roman" w:hAnsi="Times New Roman" w:cs="Times New Roman"/>
                <w:b/>
                <w:bCs/>
                <w:lang w:val="en-GB"/>
              </w:rPr>
              <w:t xml:space="preserve">circular economy </w:t>
            </w:r>
            <w:r w:rsidRPr="00A66F03">
              <w:rPr>
                <w:rFonts w:ascii="Times New Roman" w:hAnsi="Times New Roman" w:cs="Times New Roman"/>
                <w:lang w:val="en-GB"/>
              </w:rPr>
              <w:t>by supporting horizontal measures and measures to create and strengthen an appropriate supportive and innovative environment and to develop appropriate instruments to support the transformation of the economic sector (SMEs, start-ups, valu</w:t>
            </w:r>
            <w:r w:rsidRPr="00A66F03">
              <w:rPr>
                <w:rFonts w:ascii="Times New Roman" w:hAnsi="Times New Roman" w:cs="Times New Roman"/>
                <w:lang w:val="en-GB"/>
              </w:rPr>
              <w:t>e chains) towards climate neutrality and resource efficiency. The creative and cultural sector will also play an important role in this, as the European Commission also recognises.</w:t>
            </w:r>
            <w:r w:rsidRPr="00A66F03">
              <w:rPr>
                <w:rFonts w:ascii="Times New Roman" w:hAnsi="Times New Roman" w:cs="Times New Roman"/>
                <w:vertAlign w:val="superscript"/>
                <w:lang w:val="en-GB"/>
              </w:rPr>
              <w:footnoteReference w:id="93"/>
            </w:r>
            <w:r w:rsidRPr="00A66F03">
              <w:rPr>
                <w:rFonts w:ascii="Times New Roman" w:hAnsi="Times New Roman" w:cs="Times New Roman"/>
                <w:lang w:val="en-GB"/>
              </w:rPr>
              <w:t xml:space="preserve"> In accordance with the revised Slovenian Waste Management and Prevention P</w:t>
            </w:r>
            <w:r w:rsidRPr="00A66F03">
              <w:rPr>
                <w:rFonts w:ascii="Times New Roman" w:hAnsi="Times New Roman" w:cs="Times New Roman"/>
                <w:lang w:val="en-GB"/>
              </w:rPr>
              <w:t>rogramme (2022), we will support measures to promote investments to regulate sewage sludge treatment at municipal and joint treatment plants; this will have a positive impact on the transition to a circular economy. We will also ensure that measures are in</w:t>
            </w:r>
            <w:r w:rsidRPr="00A66F03">
              <w:rPr>
                <w:rFonts w:ascii="Times New Roman" w:hAnsi="Times New Roman" w:cs="Times New Roman"/>
                <w:lang w:val="en-GB"/>
              </w:rPr>
              <w:t>terlinked within the context of the implementation of Slovenia’s Comprehensive Strategic Decarbonisation Project through the transition to a circular economy. In line with the policies set out in the NECP and S5, we will ensure integration with PO1 actions</w:t>
            </w:r>
            <w:r w:rsidRPr="00A66F03">
              <w:rPr>
                <w:rFonts w:ascii="Times New Roman" w:hAnsi="Times New Roman" w:cs="Times New Roman"/>
                <w:lang w:val="en-GB"/>
              </w:rPr>
              <w:t xml:space="preserve"> when carrying out research and development measures. Using ERDF resources, we will also support the capacity-building of stakeholders in the economy and support environment, and deploy ESF+ resources for labour market, education and training measures.</w:t>
            </w:r>
            <w:r w:rsidRPr="00A66F03">
              <w:rPr>
                <w:rFonts w:ascii="Times New Roman" w:hAnsi="Times New Roman" w:cs="Times New Roman"/>
                <w:lang w:val="en-GB"/>
              </w:rPr>
              <w:tab/>
              <w:t xml:space="preserve">In </w:t>
            </w:r>
            <w:r w:rsidRPr="00A66F03">
              <w:rPr>
                <w:rFonts w:ascii="Times New Roman" w:hAnsi="Times New Roman" w:cs="Times New Roman"/>
                <w:lang w:val="en-GB"/>
              </w:rPr>
              <w:t xml:space="preserve">relation to the circular economy, EMFAF resources will be used to help commercial marine fisheries companies to purchase fishing gear that can be recycled after its use comes to an end (Polyamide 6). EMFAF resources will also go towards innovations in the </w:t>
            </w:r>
            <w:r w:rsidRPr="00A66F03">
              <w:rPr>
                <w:rFonts w:ascii="Times New Roman" w:hAnsi="Times New Roman" w:cs="Times New Roman"/>
                <w:lang w:val="en-GB"/>
              </w:rPr>
              <w:t>aquaculture and processing sectors, the building of closed RASs, the use of alternative energy sources and secondary raw materials, and increases in resource efficiency in SMEs. We will complement the investments with the actions set out in PO5. By investi</w:t>
            </w:r>
            <w:r w:rsidRPr="00A66F03">
              <w:rPr>
                <w:rFonts w:ascii="Times New Roman" w:hAnsi="Times New Roman" w:cs="Times New Roman"/>
                <w:lang w:val="en-GB"/>
              </w:rPr>
              <w:t>ng in the preservation and development of small aquaculture-breeding establishments, we will help to strengthen local supply chains and improve the supply of high-quality food, as well preserve biodiversity and the country’s aquaculture tradition.</w:t>
            </w:r>
            <w:r w:rsidRPr="00A66F03">
              <w:rPr>
                <w:rFonts w:ascii="Times New Roman" w:hAnsi="Times New Roman" w:cs="Times New Roman"/>
                <w:vertAlign w:val="superscript"/>
                <w:lang w:val="en-GB"/>
              </w:rPr>
              <w:footnoteReference w:id="94"/>
            </w:r>
            <w:r w:rsidRPr="00A66F03">
              <w:rPr>
                <w:rFonts w:ascii="Times New Roman" w:hAnsi="Times New Roman" w:cs="Times New Roman"/>
                <w:lang w:val="en-GB"/>
              </w:rPr>
              <w:t xml:space="preserve"> We will</w:t>
            </w:r>
            <w:r w:rsidRPr="00A66F03">
              <w:rPr>
                <w:rFonts w:ascii="Times New Roman" w:hAnsi="Times New Roman" w:cs="Times New Roman"/>
                <w:lang w:val="en-GB"/>
              </w:rPr>
              <w:t xml:space="preserve"> support measures to raise consumer awareness of the benefits that the consumption of local products brings to the environment and to human health. The sustainable blue economy sectors will play a fundamental role within the context of the EMFAF for the tr</w:t>
            </w:r>
            <w:r w:rsidRPr="00A66F03">
              <w:rPr>
                <w:rFonts w:ascii="Times New Roman" w:hAnsi="Times New Roman" w:cs="Times New Roman"/>
                <w:lang w:val="en-GB"/>
              </w:rPr>
              <w:t xml:space="preserve">ansition to a circular economy as well, in line with the EU Guidelines for a Sustainable Blue Economy. </w:t>
            </w:r>
          </w:p>
          <w:p w14:paraId="7FE13C7D" w14:textId="77777777" w:rsidR="002D4358" w:rsidRPr="00A66F03" w:rsidRDefault="002D4358" w:rsidP="00B72629">
            <w:pPr>
              <w:spacing w:after="0" w:line="276" w:lineRule="auto"/>
              <w:jc w:val="both"/>
              <w:rPr>
                <w:rFonts w:ascii="Times New Roman" w:hAnsi="Times New Roman" w:cs="Times New Roman"/>
                <w:lang w:val="en-GB"/>
              </w:rPr>
            </w:pPr>
          </w:p>
          <w:p w14:paraId="7EDA9326" w14:textId="77777777" w:rsidR="006B76ED" w:rsidRPr="00A66F03" w:rsidRDefault="00976636" w:rsidP="00B72629">
            <w:pPr>
              <w:spacing w:after="0" w:line="276" w:lineRule="auto"/>
              <w:jc w:val="both"/>
              <w:rPr>
                <w:rFonts w:ascii="Times New Roman" w:hAnsi="Times New Roman" w:cs="Times New Roman"/>
                <w:lang w:val="en-GB"/>
              </w:rPr>
            </w:pPr>
            <w:r w:rsidRPr="00A66F03">
              <w:rPr>
                <w:rFonts w:ascii="Times New Roman" w:hAnsi="Times New Roman"/>
                <w:lang w:val="en-GB"/>
              </w:rPr>
              <w:t xml:space="preserve">In the area of </w:t>
            </w:r>
            <w:r w:rsidRPr="00A66F03">
              <w:rPr>
                <w:rFonts w:ascii="Times New Roman" w:hAnsi="Times New Roman"/>
                <w:b/>
                <w:bCs/>
                <w:lang w:val="en-GB"/>
              </w:rPr>
              <w:t>climate change adaptation</w:t>
            </w:r>
            <w:r w:rsidRPr="00A66F03">
              <w:rPr>
                <w:rFonts w:ascii="Times New Roman" w:hAnsi="Times New Roman"/>
                <w:lang w:val="en-GB"/>
              </w:rPr>
              <w:t xml:space="preserve">, and with the help of CF and ERDF resources, a substantial portion of investments will be aimed at </w:t>
            </w:r>
            <w:r w:rsidRPr="00A66F03">
              <w:rPr>
                <w:rFonts w:ascii="Times New Roman" w:hAnsi="Times New Roman"/>
                <w:lang w:val="en-GB"/>
              </w:rPr>
              <w:t>flood-safety measures, the upgrading of the system for warning and providing information in relation to weather-related emergencies and adaptation to them in a changing climate, improvements to preparedness and response to floods,</w:t>
            </w:r>
            <w:r w:rsidRPr="00A66F03">
              <w:rPr>
                <w:lang w:val="en-GB"/>
              </w:rPr>
              <w:t xml:space="preserve"> </w:t>
            </w:r>
            <w:r w:rsidRPr="00A66F03">
              <w:rPr>
                <w:rFonts w:ascii="Times New Roman" w:hAnsi="Times New Roman"/>
                <w:lang w:val="en-GB"/>
              </w:rPr>
              <w:t>large-scale wildfires, ic</w:t>
            </w:r>
            <w:r w:rsidRPr="00A66F03">
              <w:rPr>
                <w:rFonts w:ascii="Times New Roman" w:hAnsi="Times New Roman"/>
                <w:lang w:val="en-GB"/>
              </w:rPr>
              <w:t>e storms and extreme weather generally.  Flood-related measures will be implemented in areas identified as being at serious risk of flooding in order to plan and implement a combination of construction and non-construction flood protection measures that wi</w:t>
            </w:r>
            <w:r w:rsidRPr="00A66F03">
              <w:rPr>
                <w:rFonts w:ascii="Times New Roman" w:hAnsi="Times New Roman"/>
                <w:lang w:val="en-GB"/>
              </w:rPr>
              <w:t>ll take into account ecosystem-based flood safety approaches at the planning stage itself. We will support measures that increase the capacity level of protection, rescue and relief forces (infrastructure, programming and implementation), preparedness, res</w:t>
            </w:r>
            <w:r w:rsidRPr="00A66F03">
              <w:rPr>
                <w:rFonts w:ascii="Times New Roman" w:hAnsi="Times New Roman"/>
                <w:lang w:val="en-GB"/>
              </w:rPr>
              <w:t>ponse and equipment (purchase of specialised equipment).</w:t>
            </w:r>
          </w:p>
          <w:p w14:paraId="224C0FDE" w14:textId="77777777" w:rsidR="00997579" w:rsidRPr="00A66F03" w:rsidRDefault="00997579" w:rsidP="00B72629">
            <w:pPr>
              <w:spacing w:after="0" w:line="276" w:lineRule="auto"/>
              <w:jc w:val="both"/>
              <w:rPr>
                <w:rFonts w:ascii="Times New Roman" w:hAnsi="Times New Roman" w:cs="Times New Roman"/>
                <w:lang w:val="en-GB"/>
              </w:rPr>
            </w:pPr>
          </w:p>
          <w:p w14:paraId="5B098340" w14:textId="77777777" w:rsidR="002D4358" w:rsidRPr="00A66F03" w:rsidRDefault="00976636" w:rsidP="00B72629">
            <w:pPr>
              <w:spacing w:after="0" w:line="276" w:lineRule="auto"/>
              <w:jc w:val="both"/>
              <w:rPr>
                <w:rFonts w:ascii="Times New Roman" w:hAnsi="Times New Roman" w:cs="Times New Roman"/>
                <w:lang w:val="en-GB"/>
              </w:rPr>
            </w:pPr>
            <w:r w:rsidRPr="00A66F03">
              <w:rPr>
                <w:rFonts w:ascii="Times New Roman" w:hAnsi="Times New Roman" w:cs="Times New Roman"/>
                <w:lang w:val="en-GB"/>
              </w:rPr>
              <w:t>EMFAF resources will be directed towards improving the efficiency of the use of natural resources in fisheries, aquaculture and processing. By investing in improvements to the energy efficiency of v</w:t>
            </w:r>
            <w:r w:rsidRPr="00A66F03">
              <w:rPr>
                <w:rFonts w:ascii="Times New Roman" w:hAnsi="Times New Roman" w:cs="Times New Roman"/>
                <w:lang w:val="en-GB"/>
              </w:rPr>
              <w:t xml:space="preserve">essels, emission reduction, more selective fishing and gear with Polyamide 6, the EMFAF will contribute to </w:t>
            </w:r>
            <w:r w:rsidRPr="00A66F03">
              <w:rPr>
                <w:rFonts w:ascii="Times New Roman" w:hAnsi="Times New Roman" w:cs="Times New Roman"/>
                <w:color w:val="000000"/>
                <w:lang w:val="en-GB"/>
              </w:rPr>
              <w:lastRenderedPageBreak/>
              <w:t xml:space="preserve">improving the marine environment and </w:t>
            </w:r>
            <w:r w:rsidRPr="00A66F03">
              <w:rPr>
                <w:rFonts w:ascii="Times New Roman" w:hAnsi="Times New Roman" w:cs="Times New Roman"/>
                <w:lang w:val="en-GB"/>
              </w:rPr>
              <w:t>reducing by-catches. In aquaculture and processing, investments in improving water quality and resource utilisat</w:t>
            </w:r>
            <w:r w:rsidRPr="00A66F03">
              <w:rPr>
                <w:rFonts w:ascii="Times New Roman" w:hAnsi="Times New Roman" w:cs="Times New Roman"/>
                <w:lang w:val="en-GB"/>
              </w:rPr>
              <w:t>ion and innovations (e.g. RAS, the introduction of new mollusc species, algae farming, better use of water</w:t>
            </w:r>
            <w:r w:rsidRPr="00A66F03">
              <w:rPr>
                <w:rFonts w:ascii="Times New Roman" w:hAnsi="Times New Roman" w:cs="Times New Roman"/>
                <w:color w:val="000000"/>
                <w:lang w:val="en-GB"/>
              </w:rPr>
              <w:t xml:space="preserve"> through ventilation</w:t>
            </w:r>
            <w:r w:rsidRPr="00A66F03">
              <w:rPr>
                <w:rFonts w:ascii="Times New Roman" w:hAnsi="Times New Roman" w:cs="Times New Roman"/>
                <w:lang w:val="en-GB"/>
              </w:rPr>
              <w:t xml:space="preserve">, solutions to reduce processing waste, the development of environment-friendly packaging) will contribute to efforts to adapt to </w:t>
            </w:r>
            <w:r w:rsidRPr="00A66F03">
              <w:rPr>
                <w:rFonts w:ascii="Times New Roman" w:hAnsi="Times New Roman" w:cs="Times New Roman"/>
                <w:lang w:val="en-GB"/>
              </w:rPr>
              <w:t>climate change. The EMFAF will also contribute to increasing the environmental performance of fisheries (selectivity, temporary suspension of fishing activities, implementation of the Common Fisheries Policy and GFCM recommendations for achieving MSY), aqu</w:t>
            </w:r>
            <w:r w:rsidRPr="00A66F03">
              <w:rPr>
                <w:rFonts w:ascii="Times New Roman" w:hAnsi="Times New Roman" w:cs="Times New Roman"/>
                <w:lang w:val="en-GB"/>
              </w:rPr>
              <w:t>aculture and processing sectors to manage risks and respond to adverse events.</w:t>
            </w:r>
          </w:p>
          <w:p w14:paraId="16FD12A8" w14:textId="77777777" w:rsidR="002D4358" w:rsidRPr="00A66F03" w:rsidRDefault="002D4358" w:rsidP="00B72629">
            <w:pPr>
              <w:spacing w:after="0" w:line="276" w:lineRule="auto"/>
              <w:jc w:val="both"/>
              <w:rPr>
                <w:rFonts w:ascii="Times New Roman" w:hAnsi="Times New Roman" w:cs="Times New Roman"/>
                <w:lang w:val="en-GB"/>
              </w:rPr>
            </w:pPr>
          </w:p>
          <w:p w14:paraId="05C179CC" w14:textId="77777777" w:rsidR="00B7133D" w:rsidRPr="00A66F03" w:rsidRDefault="00976636" w:rsidP="00B7133D">
            <w:pPr>
              <w:spacing w:after="0" w:line="276" w:lineRule="auto"/>
              <w:jc w:val="both"/>
              <w:rPr>
                <w:rFonts w:ascii="Times New Roman" w:hAnsi="Times New Roman" w:cs="Times New Roman"/>
                <w:color w:val="000000"/>
                <w:lang w:val="en-GB"/>
              </w:rPr>
            </w:pPr>
            <w:r w:rsidRPr="00A66F03">
              <w:rPr>
                <w:rFonts w:ascii="Times New Roman" w:hAnsi="Times New Roman" w:cs="Times New Roman"/>
                <w:noProof/>
                <w:lang w:val="en-GB"/>
              </w:rPr>
              <w:t xml:space="preserve">We will invest CF and ERDF resources in the construction of </w:t>
            </w:r>
            <w:r w:rsidRPr="00A66F03">
              <w:rPr>
                <w:rFonts w:ascii="Times New Roman" w:hAnsi="Times New Roman" w:cs="Times New Roman"/>
                <w:b/>
                <w:bCs/>
                <w:noProof/>
                <w:lang w:val="en-GB"/>
              </w:rPr>
              <w:t>environmental infrastructure</w:t>
            </w:r>
            <w:r w:rsidRPr="00A66F03">
              <w:rPr>
                <w:rFonts w:ascii="Times New Roman" w:hAnsi="Times New Roman" w:cs="Times New Roman"/>
                <w:noProof/>
                <w:lang w:val="en-GB"/>
              </w:rPr>
              <w:t>, in particular to achieve compliance with the requirements of European legislation in t</w:t>
            </w:r>
            <w:r w:rsidRPr="00A66F03">
              <w:rPr>
                <w:rFonts w:ascii="Times New Roman" w:hAnsi="Times New Roman" w:cs="Times New Roman"/>
                <w:noProof/>
                <w:lang w:val="en-GB"/>
              </w:rPr>
              <w:t xml:space="preserve">he priority areas set out in the current Operational Programme for the Drainage and Treatment of Urban Waste Water. </w:t>
            </w:r>
            <w:r w:rsidRPr="00A66F03">
              <w:rPr>
                <w:rFonts w:ascii="Times New Roman" w:hAnsi="Times New Roman" w:cs="Times New Roman"/>
                <w:color w:val="000000"/>
                <w:lang w:val="en-GB"/>
              </w:rPr>
              <w:t xml:space="preserve">Only investments in equipping agglomerations with a total load equal to or greater than 2,000 p.e. will be supported. For </w:t>
            </w:r>
            <w:r w:rsidRPr="00A66F03">
              <w:rPr>
                <w:rFonts w:ascii="Times New Roman" w:hAnsi="Times New Roman" w:cs="Times New Roman"/>
                <w:lang w:val="en-GB"/>
              </w:rPr>
              <w:t>drinking water sup</w:t>
            </w:r>
            <w:r w:rsidRPr="00A66F03">
              <w:rPr>
                <w:rFonts w:ascii="Times New Roman" w:hAnsi="Times New Roman" w:cs="Times New Roman"/>
                <w:lang w:val="en-GB"/>
              </w:rPr>
              <w:t>ply</w:t>
            </w:r>
            <w:r w:rsidRPr="00A66F03">
              <w:rPr>
                <w:rFonts w:ascii="Times New Roman" w:hAnsi="Times New Roman" w:cs="Times New Roman"/>
                <w:color w:val="000000"/>
                <w:lang w:val="en-GB"/>
              </w:rPr>
              <w:t xml:space="preserve">, the basis for the prioritisation of investments will be set out in the </w:t>
            </w:r>
            <w:r w:rsidRPr="00A66F03">
              <w:rPr>
                <w:rFonts w:ascii="Times New Roman" w:hAnsi="Times New Roman" w:cs="Times New Roman"/>
                <w:noProof/>
                <w:lang w:val="en-GB"/>
              </w:rPr>
              <w:t>Operational Programme for</w:t>
            </w:r>
            <w:r w:rsidRPr="00A66F03">
              <w:rPr>
                <w:rFonts w:ascii="Times New Roman" w:hAnsi="Times New Roman" w:cs="Times New Roman"/>
                <w:color w:val="000000"/>
                <w:lang w:val="en-GB"/>
              </w:rPr>
              <w:t xml:space="preserve"> Drinking Water Supply. Funding will be reserved for supply systems that serve more than 10,000 inhabitants.</w:t>
            </w:r>
          </w:p>
          <w:p w14:paraId="6A6A3483" w14:textId="77777777" w:rsidR="002D4358" w:rsidRPr="00A66F03" w:rsidRDefault="002D4358" w:rsidP="00B72629">
            <w:pPr>
              <w:spacing w:after="0" w:line="276" w:lineRule="auto"/>
              <w:jc w:val="both"/>
              <w:rPr>
                <w:rFonts w:ascii="Times New Roman" w:hAnsi="Times New Roman" w:cs="Times New Roman"/>
                <w:color w:val="000000"/>
                <w:lang w:val="en-GB"/>
              </w:rPr>
            </w:pPr>
          </w:p>
          <w:p w14:paraId="076D88A5" w14:textId="77777777" w:rsidR="00F96C61" w:rsidRPr="00A66F03" w:rsidRDefault="00976636" w:rsidP="00F96C61">
            <w:pPr>
              <w:autoSpaceDE w:val="0"/>
              <w:autoSpaceDN w:val="0"/>
              <w:adjustRightInd w:val="0"/>
              <w:spacing w:after="0" w:line="276" w:lineRule="auto"/>
              <w:jc w:val="both"/>
              <w:rPr>
                <w:rFonts w:ascii="Times New Roman" w:hAnsi="Times New Roman" w:cs="Times New Roman"/>
                <w:lang w:val="en-GB"/>
              </w:rPr>
            </w:pPr>
            <w:r w:rsidRPr="00A66F03">
              <w:rPr>
                <w:rFonts w:ascii="Times New Roman" w:hAnsi="Times New Roman"/>
                <w:lang w:val="en-GB"/>
              </w:rPr>
              <w:t xml:space="preserve">For </w:t>
            </w:r>
            <w:r w:rsidRPr="00A66F03">
              <w:rPr>
                <w:rFonts w:ascii="Times New Roman" w:hAnsi="Times New Roman"/>
                <w:b/>
                <w:bCs/>
                <w:noProof/>
                <w:lang w:val="en-GB"/>
              </w:rPr>
              <w:t>biodiversity conservation</w:t>
            </w:r>
            <w:r w:rsidRPr="00A66F03">
              <w:rPr>
                <w:rFonts w:ascii="Times New Roman" w:hAnsi="Times New Roman"/>
                <w:noProof/>
                <w:lang w:val="en-GB"/>
              </w:rPr>
              <w:t xml:space="preserve">, </w:t>
            </w:r>
            <w:r w:rsidRPr="00A66F03">
              <w:rPr>
                <w:rFonts w:ascii="Times New Roman" w:hAnsi="Times New Roman"/>
                <w:lang w:val="en-GB"/>
              </w:rPr>
              <w:t xml:space="preserve">we will focus </w:t>
            </w:r>
            <w:r w:rsidRPr="00A66F03">
              <w:rPr>
                <w:rFonts w:ascii="Times New Roman" w:hAnsi="Times New Roman"/>
                <w:noProof/>
                <w:lang w:val="en-GB"/>
              </w:rPr>
              <w:t xml:space="preserve">ERDF </w:t>
            </w:r>
            <w:r w:rsidRPr="00A66F03">
              <w:rPr>
                <w:rFonts w:ascii="Times New Roman" w:hAnsi="Times New Roman"/>
                <w:lang w:val="en-GB"/>
              </w:rPr>
              <w:t>funding, as a matter of priority, on those Natura 2000 sites that will be defined in the Natura 2000 Management Programme 2022–2028.  We will support activities to improve the conservation status of habitats and habitat types in Natura 2000 areas that</w:t>
            </w:r>
            <w:r w:rsidRPr="00A66F03">
              <w:rPr>
                <w:rFonts w:ascii="Times New Roman" w:hAnsi="Times New Roman"/>
                <w:lang w:val="en-GB"/>
              </w:rPr>
              <w:t xml:space="preserve"> do not have a favourable conservation status, provide high-quality interpretative services in those parts of nature laid out for public visits, and improve the status of natural values. The implementation of these measures will also significantly contribu</w:t>
            </w:r>
            <w:r w:rsidRPr="00A66F03">
              <w:rPr>
                <w:rFonts w:ascii="Times New Roman" w:hAnsi="Times New Roman"/>
                <w:lang w:val="en-GB"/>
              </w:rPr>
              <w:t>te to the achievement of several objectives of the EU Biodiversity Strategy for 2030</w:t>
            </w:r>
            <w:r w:rsidRPr="00A66F03">
              <w:rPr>
                <w:lang w:val="en-GB"/>
              </w:rPr>
              <w:t xml:space="preserve"> </w:t>
            </w:r>
            <w:r w:rsidRPr="00A66F03">
              <w:rPr>
                <w:rFonts w:ascii="Times New Roman" w:hAnsi="Times New Roman"/>
                <w:lang w:val="en-GB"/>
              </w:rPr>
              <w:t>, to the implementation of the Habitats Directive (92/43/EEC) and the Birds Directive (2009/147/EC) and to compliance with the legally binding EU targets for restoring deg</w:t>
            </w:r>
            <w:r w:rsidRPr="00A66F03">
              <w:rPr>
                <w:rFonts w:ascii="Times New Roman" w:hAnsi="Times New Roman"/>
                <w:lang w:val="en-GB"/>
              </w:rPr>
              <w:t>raded ecosystems.</w:t>
            </w:r>
            <w:r w:rsidRPr="00A66F03">
              <w:rPr>
                <w:rFonts w:ascii="Times New Roman" w:hAnsi="Times New Roman"/>
                <w:noProof/>
                <w:lang w:val="en-GB"/>
              </w:rPr>
              <w:t xml:space="preserve"> </w:t>
            </w:r>
            <w:r w:rsidRPr="00A66F03">
              <w:rPr>
                <w:rFonts w:ascii="Times New Roman" w:hAnsi="Times New Roman"/>
                <w:lang w:val="en-GB"/>
              </w:rPr>
              <w:t xml:space="preserve">We will also invest in </w:t>
            </w:r>
            <w:r w:rsidRPr="00A66F03">
              <w:rPr>
                <w:rFonts w:ascii="Times New Roman" w:hAnsi="Times New Roman"/>
                <w:b/>
                <w:bCs/>
                <w:lang w:val="en-GB"/>
              </w:rPr>
              <w:t>green infrastructure in the urban environment</w:t>
            </w:r>
            <w:r w:rsidRPr="00A66F03">
              <w:rPr>
                <w:rFonts w:ascii="Times New Roman" w:hAnsi="Times New Roman"/>
                <w:lang w:val="en-GB"/>
              </w:rPr>
              <w:t>, addressing improvements to the quality and usability of existing and the creation of new green infrastructure</w:t>
            </w:r>
            <w:r w:rsidRPr="00A66F03">
              <w:rPr>
                <w:rFonts w:ascii="Times New Roman" w:hAnsi="Times New Roman"/>
                <w:noProof/>
                <w:lang w:val="en-GB"/>
              </w:rPr>
              <w:t xml:space="preserve">, </w:t>
            </w:r>
            <w:r w:rsidRPr="00A66F03">
              <w:rPr>
                <w:rFonts w:ascii="Times New Roman" w:hAnsi="Times New Roman"/>
                <w:b/>
                <w:bCs/>
                <w:noProof/>
                <w:lang w:val="en-GB"/>
              </w:rPr>
              <w:t>and improve the ambient air pollution information and ale</w:t>
            </w:r>
            <w:r w:rsidRPr="00A66F03">
              <w:rPr>
                <w:rFonts w:ascii="Times New Roman" w:hAnsi="Times New Roman"/>
                <w:b/>
                <w:bCs/>
                <w:noProof/>
                <w:lang w:val="en-GB"/>
              </w:rPr>
              <w:t>rt system for citizens</w:t>
            </w:r>
            <w:r w:rsidRPr="00A66F03">
              <w:rPr>
                <w:rFonts w:ascii="Times New Roman" w:hAnsi="Times New Roman"/>
                <w:noProof/>
                <w:lang w:val="en-GB"/>
              </w:rPr>
              <w:t xml:space="preserve"> by expanding the existing national monitoring network to areas not yet covered by measuring stations, thereby enabling adequate policy planning and making data available to the public.</w:t>
            </w:r>
          </w:p>
          <w:p w14:paraId="101FC982" w14:textId="77777777" w:rsidR="00F56C41" w:rsidRPr="00A66F03" w:rsidRDefault="00F56C41" w:rsidP="00B72629">
            <w:pPr>
              <w:autoSpaceDE w:val="0"/>
              <w:autoSpaceDN w:val="0"/>
              <w:adjustRightInd w:val="0"/>
              <w:spacing w:after="0" w:line="276" w:lineRule="auto"/>
              <w:jc w:val="both"/>
              <w:rPr>
                <w:rFonts w:ascii="Times New Roman" w:hAnsi="Times New Roman" w:cs="Times New Roman"/>
                <w:lang w:val="en-GB"/>
              </w:rPr>
            </w:pPr>
          </w:p>
          <w:p w14:paraId="2E82301B" w14:textId="77777777" w:rsidR="00C04E00" w:rsidRPr="00A66F03" w:rsidRDefault="00976636" w:rsidP="00B72629">
            <w:pPr>
              <w:autoSpaceDE w:val="0"/>
              <w:autoSpaceDN w:val="0"/>
              <w:adjustRightInd w:val="0"/>
              <w:spacing w:after="0" w:line="276" w:lineRule="auto"/>
              <w:jc w:val="both"/>
              <w:rPr>
                <w:rFonts w:ascii="Times New Roman" w:hAnsi="Times New Roman" w:cs="Times New Roman"/>
                <w:color w:val="000000"/>
                <w:lang w:val="en-GB"/>
              </w:rPr>
            </w:pPr>
            <w:r w:rsidRPr="00A66F03">
              <w:rPr>
                <w:rFonts w:ascii="Times New Roman" w:hAnsi="Times New Roman" w:cs="Times New Roman"/>
                <w:lang w:val="en-GB"/>
              </w:rPr>
              <w:t>Complementary to these investments, EMFAF resou</w:t>
            </w:r>
            <w:r w:rsidRPr="00A66F03">
              <w:rPr>
                <w:rFonts w:ascii="Times New Roman" w:hAnsi="Times New Roman" w:cs="Times New Roman"/>
                <w:lang w:val="en-GB"/>
              </w:rPr>
              <w:t>rces will focus on achieving maximum sustainable yield (MSY) as a key objective of the Common Fisheries Policy and the GFCM recommendations for the conservation of marine biological resources and the marine environment, on modernising the fishing sector th</w:t>
            </w:r>
            <w:r w:rsidRPr="00A66F03">
              <w:rPr>
                <w:rFonts w:ascii="Times New Roman" w:hAnsi="Times New Roman" w:cs="Times New Roman"/>
                <w:lang w:val="en-GB"/>
              </w:rPr>
              <w:t>rough more selective fishing gear, on temporarily suspending fishing activities, and on implementing other obligations under the Common Fisheries Policy. Achieving good environmental status of the sea and inland waters is crucial for Slovenia. An important</w:t>
            </w:r>
            <w:r w:rsidRPr="00A66F03">
              <w:rPr>
                <w:rFonts w:ascii="Times New Roman" w:hAnsi="Times New Roman" w:cs="Times New Roman"/>
                <w:lang w:val="en-GB"/>
              </w:rPr>
              <w:t xml:space="preserve"> part of the EMFAF is the conservation of marine biodiversity in line with the Biodiversity Strategy for 2030, in particular by improving the management of protected areas and contributing to the creation of new protected areas in line with the Biodiversit</w:t>
            </w:r>
            <w:r w:rsidRPr="00A66F03">
              <w:rPr>
                <w:rFonts w:ascii="Times New Roman" w:hAnsi="Times New Roman" w:cs="Times New Roman"/>
                <w:lang w:val="en-GB"/>
              </w:rPr>
              <w:t>y Strategy 2030 Action Plan. We will also invest in the digitalisation of controls and investments to improve traceability and enforcement in fisheries, and in measures to combat illegal, unreported and unregulated (IUU) fishing. In addition to data collec</w:t>
            </w:r>
            <w:r w:rsidRPr="00A66F03">
              <w:rPr>
                <w:rFonts w:ascii="Times New Roman" w:hAnsi="Times New Roman" w:cs="Times New Roman"/>
                <w:lang w:val="en-GB"/>
              </w:rPr>
              <w:t>tion under the Common Fisheries Policy (data on the fishing of commercial species and other data), the EMFAF will also contribute to increasing scientific knowledge about marine resources and the environment in order to fill the data gaps</w:t>
            </w:r>
            <w:r w:rsidRPr="00A66F03">
              <w:rPr>
                <w:rFonts w:ascii="Times New Roman" w:hAnsi="Times New Roman" w:cs="Times New Roman"/>
                <w:vertAlign w:val="superscript"/>
                <w:lang w:val="en-GB"/>
              </w:rPr>
              <w:footnoteReference w:id="95"/>
            </w:r>
            <w:r w:rsidRPr="00A66F03">
              <w:rPr>
                <w:rFonts w:ascii="Times New Roman" w:hAnsi="Times New Roman" w:cs="Times New Roman"/>
                <w:lang w:val="en-GB"/>
              </w:rPr>
              <w:t xml:space="preserve"> and thereby enab</w:t>
            </w:r>
            <w:r w:rsidRPr="00A66F03">
              <w:rPr>
                <w:rFonts w:ascii="Times New Roman" w:hAnsi="Times New Roman" w:cs="Times New Roman"/>
                <w:lang w:val="en-GB"/>
              </w:rPr>
              <w:t xml:space="preserve">le effective management decisions to be taken. This will involve, in particular, </w:t>
            </w:r>
            <w:r w:rsidRPr="00A66F03">
              <w:rPr>
                <w:rFonts w:ascii="Times New Roman" w:hAnsi="Times New Roman" w:cs="Times New Roman"/>
                <w:lang w:val="en-GB"/>
              </w:rPr>
              <w:lastRenderedPageBreak/>
              <w:t>efforts to improve data under the D1, D2, D6 and D10 of descriptors of Directive 2008/56/EC so as to better ensure the achievement of good environmental status of the sea. Thr</w:t>
            </w:r>
            <w:r w:rsidRPr="00A66F03">
              <w:rPr>
                <w:rFonts w:ascii="Times New Roman" w:hAnsi="Times New Roman" w:cs="Times New Roman"/>
                <w:lang w:val="en-GB"/>
              </w:rPr>
              <w:t>ough the activities referred to in Article 11 of Directive 2000/60/EC, the EMFAF will contribute to improving the environmental status, navigability and biodiversity of inland waters. The EMFAF will also contribute to the implementation of the objectives o</w:t>
            </w:r>
            <w:r w:rsidRPr="00A66F03">
              <w:rPr>
                <w:rFonts w:ascii="Times New Roman" w:hAnsi="Times New Roman" w:cs="Times New Roman"/>
                <w:lang w:val="en-GB"/>
              </w:rPr>
              <w:t>f the Zero Pollution Action Plan (investments in a greener and more energy efficient fleet, the collection of marine litter and waste fishing gear through the recycling of collected fishing gear containing Polyamide 6). In the area of aquaculture, the EMFA</w:t>
            </w:r>
            <w:r w:rsidRPr="00A66F03">
              <w:rPr>
                <w:rFonts w:ascii="Times New Roman" w:hAnsi="Times New Roman" w:cs="Times New Roman"/>
                <w:lang w:val="en-GB"/>
              </w:rPr>
              <w:t>F will contribute to the objectives of the Farm to Fork Strategy, environmental aquaculture services, the use of low environmental impact production methods, conversion to organic aquaculture, the innovative use of low-trophic-level species (e.g. algae), a</w:t>
            </w:r>
            <w:r w:rsidRPr="00A66F03">
              <w:rPr>
                <w:rFonts w:ascii="Times New Roman" w:hAnsi="Times New Roman" w:cs="Times New Roman"/>
                <w:lang w:val="en-GB"/>
              </w:rPr>
              <w:t>nd the maintenance of aquaculture in Natura 2000 areas in line with conservation objectives. In the area of aquaculture, the EMFAF will support sustainable aquaculture through implementation of the Strategic Guidelines for the Development of Aquaculture 20</w:t>
            </w:r>
            <w:r w:rsidRPr="00A66F03">
              <w:rPr>
                <w:rFonts w:ascii="Times New Roman" w:hAnsi="Times New Roman" w:cs="Times New Roman"/>
                <w:lang w:val="en-GB"/>
              </w:rPr>
              <w:t>21–2030, which promote a more competitive and sustainable EU aquaculture. In order to meet its objectives, the EMFAF will also contribute to the promotion of sustainable aquaculture (including EU aquaculture). Investments and innovation in aquaculture will</w:t>
            </w:r>
            <w:r w:rsidRPr="00A66F03">
              <w:rPr>
                <w:rFonts w:ascii="Times New Roman" w:hAnsi="Times New Roman" w:cs="Times New Roman"/>
                <w:lang w:val="en-GB"/>
              </w:rPr>
              <w:t xml:space="preserve"> also be possible in the processing sector. Through networking and the exchange of knowledge and good practices in aquaculture, we will help to raise awareness of the benefits of good organisation, including within the context of EU Regulation 1379/2013. </w:t>
            </w:r>
            <w:r w:rsidRPr="00A66F03">
              <w:rPr>
                <w:rFonts w:ascii="Times New Roman" w:hAnsi="Times New Roman" w:cs="Times New Roman"/>
                <w:color w:val="000000"/>
                <w:lang w:val="en-GB"/>
              </w:rPr>
              <w:t>A</w:t>
            </w:r>
            <w:r w:rsidRPr="00A66F03">
              <w:rPr>
                <w:rFonts w:ascii="Times New Roman" w:hAnsi="Times New Roman" w:cs="Times New Roman"/>
                <w:color w:val="000000"/>
                <w:lang w:val="en-GB"/>
              </w:rPr>
              <w:t>ctivities to support maritime spatial planning (including, in this context, research on underwater cultural heritage) and maritime surveillance (CISE and a contribution to the EUMSS) will be complementary to these activities.</w:t>
            </w:r>
          </w:p>
          <w:p w14:paraId="537C5845" w14:textId="77777777" w:rsidR="002D4358" w:rsidRPr="00A66F03" w:rsidRDefault="002D4358" w:rsidP="00B72629">
            <w:pPr>
              <w:spacing w:after="0" w:line="276" w:lineRule="auto"/>
              <w:jc w:val="both"/>
              <w:rPr>
                <w:rFonts w:ascii="Times New Roman" w:hAnsi="Times New Roman" w:cs="Times New Roman"/>
                <w:b/>
                <w:color w:val="5B9BD5" w:themeColor="accent1"/>
                <w:lang w:val="en-GB"/>
              </w:rPr>
            </w:pPr>
          </w:p>
          <w:p w14:paraId="64532E73" w14:textId="77777777" w:rsidR="00233116" w:rsidRPr="00A66F03" w:rsidRDefault="00976636" w:rsidP="00155539">
            <w:pPr>
              <w:spacing w:after="0" w:line="276" w:lineRule="auto"/>
              <w:jc w:val="both"/>
              <w:rPr>
                <w:rFonts w:ascii="Times New Roman" w:eastAsia="Calibri" w:hAnsi="Times New Roman" w:cs="Times New Roman"/>
                <w:lang w:val="en-GB"/>
              </w:rPr>
            </w:pPr>
            <w:r w:rsidRPr="00A66F03">
              <w:rPr>
                <w:rFonts w:ascii="Times New Roman" w:eastAsia="Calibri" w:hAnsi="Times New Roman" w:cs="Times New Roman"/>
                <w:lang w:val="en-GB"/>
              </w:rPr>
              <w:t xml:space="preserve">In the area of </w:t>
            </w:r>
            <w:r w:rsidRPr="00A66F03">
              <w:rPr>
                <w:rFonts w:ascii="Times New Roman" w:eastAsia="Calibri" w:hAnsi="Times New Roman" w:cs="Times New Roman"/>
                <w:b/>
                <w:bCs/>
                <w:lang w:val="en-GB"/>
              </w:rPr>
              <w:t>sustainable ur</w:t>
            </w:r>
            <w:r w:rsidRPr="00A66F03">
              <w:rPr>
                <w:rFonts w:ascii="Times New Roman" w:eastAsia="Calibri" w:hAnsi="Times New Roman" w:cs="Times New Roman"/>
                <w:b/>
                <w:bCs/>
                <w:lang w:val="en-GB"/>
              </w:rPr>
              <w:t>ban mobility</w:t>
            </w:r>
            <w:r w:rsidRPr="00A66F03">
              <w:rPr>
                <w:rFonts w:ascii="Times New Roman" w:eastAsia="Calibri" w:hAnsi="Times New Roman" w:cs="Times New Roman"/>
                <w:lang w:val="en-GB"/>
              </w:rPr>
              <w:t xml:space="preserve">, in line with the objectives set out in the Urban Mobility Framework and on the basis of the revised integrated transport strategies drawn up by urban municipalities, we will allocate ERDF funding to public transport improvements, active </w:t>
            </w:r>
            <w:r w:rsidRPr="00A66F03">
              <w:rPr>
                <w:rFonts w:ascii="Times New Roman" w:eastAsia="Calibri" w:hAnsi="Times New Roman" w:cs="Times New Roman"/>
                <w:lang w:val="en-GB"/>
              </w:rPr>
              <w:t>mobility infrastructure with a focus on enhancing multimodal travel (first and last kilometres), vehicle-sharing, and the establishment of a complete network of infrastructure for cyclists and pedestrians. Support will be given to the deployment of innovat</w:t>
            </w:r>
            <w:r w:rsidRPr="00A66F03">
              <w:rPr>
                <w:rFonts w:ascii="Times New Roman" w:eastAsia="Calibri" w:hAnsi="Times New Roman" w:cs="Times New Roman"/>
                <w:lang w:val="en-GB"/>
              </w:rPr>
              <w:t>ive technological solutions, as well as to the transition to clean/low-carbon fuels in transport and public transport (e-mobility). The operations supported will encourage people to change their travel habits (or at least opt for electric vehicles), thereb</w:t>
            </w:r>
            <w:r w:rsidRPr="00A66F03">
              <w:rPr>
                <w:rFonts w:ascii="Times New Roman" w:eastAsia="Calibri" w:hAnsi="Times New Roman" w:cs="Times New Roman"/>
                <w:lang w:val="en-GB"/>
              </w:rPr>
              <w:t>y contributing to cleaner urban air. Changes in the choice of transport modes in urban corridors with improved infrastructure can be tracked by indicators within the context of integrated transport strategies that are consistent with the revised national g</w:t>
            </w:r>
            <w:r w:rsidRPr="00A66F03">
              <w:rPr>
                <w:rFonts w:ascii="Times New Roman" w:eastAsia="Calibri" w:hAnsi="Times New Roman" w:cs="Times New Roman"/>
                <w:lang w:val="en-GB"/>
              </w:rPr>
              <w:t>uidelines and, where relevant, indicators envisaged as Sustainable Urban Mobility Indicators (SUMIs). However, the impact on air quality is indirect. In view of the need to improve the connectivity of individual regions and promote balanced regional develo</w:t>
            </w:r>
            <w:r w:rsidRPr="00A66F03">
              <w:rPr>
                <w:rFonts w:ascii="Times New Roman" w:eastAsia="Calibri" w:hAnsi="Times New Roman" w:cs="Times New Roman"/>
                <w:lang w:val="en-GB"/>
              </w:rPr>
              <w:t xml:space="preserve">pment, the programme also provides for the construction of new sections of road (’development axes’) that will improve accessibility to the TEN-T network and to regional centres within Slovenia. </w:t>
            </w:r>
          </w:p>
          <w:p w14:paraId="6629D462" w14:textId="77777777" w:rsidR="00155539" w:rsidRPr="00A66F03" w:rsidRDefault="00155539" w:rsidP="00155539">
            <w:pPr>
              <w:spacing w:after="0" w:line="276" w:lineRule="auto"/>
              <w:jc w:val="both"/>
              <w:rPr>
                <w:rFonts w:ascii="Times New Roman" w:eastAsia="Calibri" w:hAnsi="Times New Roman" w:cs="Times New Roman"/>
                <w:lang w:val="en-GB"/>
              </w:rPr>
            </w:pPr>
          </w:p>
          <w:p w14:paraId="6DC58EF0" w14:textId="77777777" w:rsidR="002D4358" w:rsidRPr="00A66F03" w:rsidRDefault="00976636" w:rsidP="00B72629">
            <w:pPr>
              <w:spacing w:after="0" w:line="276" w:lineRule="auto"/>
              <w:jc w:val="both"/>
              <w:rPr>
                <w:rFonts w:ascii="Times New Roman" w:hAnsi="Times New Roman" w:cs="Times New Roman"/>
                <w:lang w:val="en-GB"/>
              </w:rPr>
            </w:pPr>
            <w:r w:rsidRPr="00A66F03">
              <w:rPr>
                <w:rFonts w:ascii="Times New Roman" w:hAnsi="Times New Roman" w:cs="Times New Roman"/>
                <w:lang w:val="en-GB"/>
              </w:rPr>
              <w:t xml:space="preserve">We will use ERDF funds to support measures to </w:t>
            </w:r>
            <w:r w:rsidRPr="00A66F03">
              <w:rPr>
                <w:rFonts w:ascii="Times New Roman" w:hAnsi="Times New Roman" w:cs="Times New Roman"/>
                <w:b/>
                <w:bCs/>
                <w:lang w:val="en-GB"/>
              </w:rPr>
              <w:t xml:space="preserve">increase </w:t>
            </w:r>
            <w:r w:rsidRPr="00A66F03">
              <w:rPr>
                <w:rFonts w:ascii="Times New Roman" w:hAnsi="Times New Roman" w:cs="Times New Roman"/>
                <w:b/>
                <w:bCs/>
                <w:lang w:val="en-GB"/>
              </w:rPr>
              <w:t>productivity in the use of land and functionally degraded areas</w:t>
            </w:r>
            <w:r w:rsidRPr="00A66F03">
              <w:rPr>
                <w:rFonts w:ascii="Times New Roman" w:hAnsi="Times New Roman" w:cs="Times New Roman"/>
                <w:lang w:val="en-GB"/>
              </w:rPr>
              <w:t>, where it will make sense to link these investments with those in the field of renewable energy sources. Particular attention will also be paid to devalued urban areas, combining investment in</w:t>
            </w:r>
            <w:r w:rsidRPr="00A66F03">
              <w:rPr>
                <w:rFonts w:ascii="Times New Roman" w:hAnsi="Times New Roman" w:cs="Times New Roman"/>
                <w:lang w:val="en-GB"/>
              </w:rPr>
              <w:t xml:space="preserve"> both infrastructure and support measures, which together will contribute to the economic and social regeneration of urban areas.</w:t>
            </w:r>
          </w:p>
          <w:p w14:paraId="4F097723" w14:textId="77777777" w:rsidR="004942FD" w:rsidRPr="00A66F03" w:rsidRDefault="004942FD" w:rsidP="00B72629">
            <w:pPr>
              <w:spacing w:after="0" w:line="276" w:lineRule="auto"/>
              <w:jc w:val="both"/>
              <w:rPr>
                <w:rFonts w:ascii="Times New Roman" w:hAnsi="Times New Roman" w:cs="Times New Roman"/>
                <w:lang w:val="en-GB"/>
              </w:rPr>
            </w:pPr>
          </w:p>
          <w:p w14:paraId="392C4D8F" w14:textId="77777777" w:rsidR="00F56C41" w:rsidRPr="00A66F03" w:rsidRDefault="00976636" w:rsidP="00B72629">
            <w:pPr>
              <w:spacing w:after="0" w:line="276" w:lineRule="auto"/>
              <w:jc w:val="both"/>
              <w:rPr>
                <w:rFonts w:ascii="Times New Roman" w:hAnsi="Times New Roman" w:cs="Times New Roman"/>
                <w:lang w:val="en-GB"/>
              </w:rPr>
            </w:pPr>
            <w:r w:rsidRPr="00A66F03">
              <w:rPr>
                <w:rFonts w:ascii="Times New Roman" w:hAnsi="Times New Roman" w:cs="Times New Roman"/>
                <w:lang w:val="en-GB"/>
              </w:rPr>
              <w:t xml:space="preserve">Within each area, the differences in needs between the two cohesion regions are small. Investments will therefore be adapted </w:t>
            </w:r>
            <w:r w:rsidRPr="00A66F03">
              <w:rPr>
                <w:rFonts w:ascii="Times New Roman" w:hAnsi="Times New Roman" w:cs="Times New Roman"/>
                <w:lang w:val="en-GB"/>
              </w:rPr>
              <w:t>to the volume of funding available for each region. The use of territorial approaches is envisaged in relation to the individual actions slated for implementation under Policy Objective 2.</w:t>
            </w:r>
          </w:p>
          <w:p w14:paraId="73A84A9A" w14:textId="77777777" w:rsidR="00155539" w:rsidRPr="00A66F03" w:rsidRDefault="00155539" w:rsidP="00B72629">
            <w:pPr>
              <w:spacing w:after="0" w:line="276" w:lineRule="auto"/>
              <w:jc w:val="both"/>
              <w:rPr>
                <w:rFonts w:ascii="Times New Roman" w:hAnsi="Times New Roman" w:cs="Times New Roman"/>
                <w:lang w:val="en-GB"/>
              </w:rPr>
            </w:pPr>
          </w:p>
          <w:p w14:paraId="1A42E61E" w14:textId="77777777" w:rsidR="00775460" w:rsidRPr="00A66F03" w:rsidRDefault="00775460" w:rsidP="00B72629">
            <w:pPr>
              <w:spacing w:after="0" w:line="276" w:lineRule="auto"/>
              <w:jc w:val="both"/>
              <w:rPr>
                <w:rFonts w:ascii="Times New Roman" w:hAnsi="Times New Roman" w:cs="Times New Roman"/>
                <w:lang w:val="en-GB"/>
              </w:rPr>
            </w:pPr>
          </w:p>
          <w:p w14:paraId="1382BD3B" w14:textId="77777777" w:rsidR="002D4358" w:rsidRPr="00A66F03" w:rsidRDefault="00976636" w:rsidP="00CF3C20">
            <w:pPr>
              <w:pStyle w:val="Naslov2"/>
              <w:rPr>
                <w:lang w:val="en-GB"/>
              </w:rPr>
            </w:pPr>
            <w:bookmarkStart w:id="10" w:name="_Toc77593997"/>
            <w:bookmarkStart w:id="11" w:name="_Toc86310923"/>
            <w:bookmarkStart w:id="12" w:name="_Toc115336010"/>
            <w:r w:rsidRPr="00A66F03">
              <w:rPr>
                <w:lang w:val="en-GB"/>
              </w:rPr>
              <w:lastRenderedPageBreak/>
              <w:t>Policy Objective 3: A more connected Europe by enhancing mobility</w:t>
            </w:r>
            <w:bookmarkEnd w:id="10"/>
            <w:bookmarkEnd w:id="11"/>
            <w:bookmarkEnd w:id="12"/>
          </w:p>
          <w:p w14:paraId="19A239FB" w14:textId="77777777" w:rsidR="002D4358" w:rsidRPr="00A66F03" w:rsidRDefault="002D4358" w:rsidP="00B72629">
            <w:pPr>
              <w:spacing w:after="0" w:line="276" w:lineRule="auto"/>
              <w:contextualSpacing/>
              <w:rPr>
                <w:rFonts w:ascii="Times New Roman" w:hAnsi="Times New Roman" w:cs="Times New Roman"/>
                <w:b/>
                <w:lang w:val="en-GB"/>
              </w:rPr>
            </w:pPr>
          </w:p>
          <w:p w14:paraId="7F9718D6" w14:textId="77777777" w:rsidR="00DA7141" w:rsidRPr="00A66F03" w:rsidRDefault="00976636" w:rsidP="00B72629">
            <w:pPr>
              <w:spacing w:after="0" w:line="276" w:lineRule="auto"/>
              <w:jc w:val="both"/>
              <w:rPr>
                <w:rFonts w:ascii="Times New Roman" w:eastAsia="SimSun" w:hAnsi="Times New Roman" w:cs="Times New Roman"/>
                <w:kern w:val="3"/>
                <w:lang w:val="en-GB"/>
              </w:rPr>
            </w:pPr>
            <w:r w:rsidRPr="00A66F03">
              <w:rPr>
                <w:rFonts w:ascii="Times New Roman" w:hAnsi="Times New Roman" w:cs="Times New Roman"/>
                <w:lang w:val="en-GB"/>
              </w:rPr>
              <w:t>In order to support</w:t>
            </w:r>
            <w:r w:rsidRPr="00A66F03">
              <w:rPr>
                <w:rFonts w:ascii="Times New Roman" w:hAnsi="Times New Roman" w:cs="Times New Roman"/>
                <w:color w:val="000000" w:themeColor="text1"/>
                <w:lang w:val="en-GB"/>
              </w:rPr>
              <w:t xml:space="preserve"> </w:t>
            </w:r>
            <w:r w:rsidRPr="00A66F03">
              <w:rPr>
                <w:rFonts w:ascii="Times New Roman" w:hAnsi="Times New Roman" w:cs="Times New Roman"/>
                <w:lang w:val="en-GB"/>
              </w:rPr>
              <w:t xml:space="preserve">the </w:t>
            </w:r>
            <w:r w:rsidRPr="00A66F03">
              <w:rPr>
                <w:rFonts w:ascii="Times New Roman" w:hAnsi="Times New Roman" w:cs="Times New Roman"/>
                <w:b/>
                <w:bCs/>
                <w:lang w:val="en-GB"/>
              </w:rPr>
              <w:t>development of the trans-European transport network</w:t>
            </w:r>
            <w:r w:rsidRPr="00A66F03">
              <w:rPr>
                <w:rFonts w:ascii="Times New Roman" w:hAnsi="Times New Roman" w:cs="Times New Roman"/>
                <w:lang w:val="en-GB"/>
              </w:rPr>
              <w:t>, we will use CF and ERDF</w:t>
            </w:r>
            <w:r w:rsidRPr="00A66F03">
              <w:rPr>
                <w:rFonts w:ascii="Times New Roman" w:hAnsi="Times New Roman" w:cs="Times New Roman"/>
                <w:kern w:val="3"/>
                <w:lang w:val="en-GB"/>
              </w:rPr>
              <w:t xml:space="preserve"> </w:t>
            </w:r>
            <w:r w:rsidRPr="00A66F03">
              <w:rPr>
                <w:rFonts w:ascii="Times New Roman" w:hAnsi="Times New Roman" w:cs="Times New Roman"/>
                <w:lang w:val="en-GB"/>
              </w:rPr>
              <w:t>resources to support investments in the modernisation of railway infrastructure on the basis of the national transport model and Slovenian Transport Development Strategy 2030. As the planned sustainable transport policy measures and the modernisation of ra</w:t>
            </w:r>
            <w:r w:rsidRPr="00A66F03">
              <w:rPr>
                <w:rFonts w:ascii="Times New Roman" w:hAnsi="Times New Roman" w:cs="Times New Roman"/>
                <w:lang w:val="en-GB"/>
              </w:rPr>
              <w:t>il infrastructure will not yet eliminate the mismatch between demand and supply on the transport network, investments will also be required in less free-flowing sections of the road network, thus reducing congestion and the disadvantages that stem from it.</w:t>
            </w:r>
            <w:r w:rsidRPr="00A66F03">
              <w:rPr>
                <w:rFonts w:ascii="Times New Roman" w:hAnsi="Times New Roman" w:cs="Times New Roman"/>
                <w:lang w:val="en-GB"/>
              </w:rPr>
              <w:t xml:space="preserve"> Digitalisation in terms of the upgrading of the ETCS/ERTMS, the digitalisation of traffic management, automatic block signalling, etc., as well as the equipping of locomotives and motor sets with ETCS devices, is proceeding apace on the Slovenian railway </w:t>
            </w:r>
            <w:r w:rsidRPr="00A66F03">
              <w:rPr>
                <w:rFonts w:ascii="Times New Roman" w:hAnsi="Times New Roman" w:cs="Times New Roman"/>
                <w:lang w:val="en-GB"/>
              </w:rPr>
              <w:t>network. Remote traffic control is currently being rolled out on two sections and is expected to be in place by 2027. The establishment of remote control is also envisaged on other public railway infrastructure lines, thereby providing all public railway i</w:t>
            </w:r>
            <w:r w:rsidRPr="00A66F03">
              <w:rPr>
                <w:rFonts w:ascii="Times New Roman" w:hAnsi="Times New Roman" w:cs="Times New Roman"/>
                <w:lang w:val="en-GB"/>
              </w:rPr>
              <w:t>nfrastructure lines in Slovenia with remote control.</w:t>
            </w:r>
          </w:p>
          <w:p w14:paraId="62A0D4F5" w14:textId="77777777" w:rsidR="002D4358" w:rsidRPr="00A66F03" w:rsidRDefault="002D4358" w:rsidP="00B72629">
            <w:pPr>
              <w:shd w:val="clear" w:color="auto" w:fill="FFFFFF" w:themeFill="background1"/>
              <w:spacing w:after="0" w:line="276" w:lineRule="auto"/>
              <w:jc w:val="both"/>
              <w:rPr>
                <w:rFonts w:ascii="Times New Roman" w:eastAsia="SimSun" w:hAnsi="Times New Roman" w:cs="Times New Roman"/>
                <w:kern w:val="3"/>
                <w:lang w:val="en-GB"/>
              </w:rPr>
            </w:pPr>
          </w:p>
          <w:p w14:paraId="4F16A7B9" w14:textId="77777777" w:rsidR="002D4358" w:rsidRPr="00A66F03" w:rsidRDefault="00976636" w:rsidP="00B72629">
            <w:pPr>
              <w:spacing w:after="0" w:line="276" w:lineRule="auto"/>
              <w:jc w:val="both"/>
              <w:rPr>
                <w:rFonts w:ascii="Times New Roman" w:eastAsia="SimSun" w:hAnsi="Times New Roman" w:cs="Times New Roman"/>
                <w:kern w:val="3"/>
                <w:lang w:val="en-GB"/>
              </w:rPr>
            </w:pPr>
            <w:r w:rsidRPr="00A66F03">
              <w:rPr>
                <w:rFonts w:ascii="Times New Roman" w:hAnsi="Times New Roman" w:cs="Times New Roman"/>
                <w:lang w:val="en-GB"/>
              </w:rPr>
              <w:t>In order to</w:t>
            </w:r>
            <w:r w:rsidRPr="00A66F03">
              <w:rPr>
                <w:rFonts w:ascii="Times New Roman" w:hAnsi="Times New Roman" w:cs="Times New Roman"/>
                <w:b/>
                <w:bCs/>
                <w:color w:val="000000" w:themeColor="text1"/>
                <w:lang w:val="en-GB"/>
              </w:rPr>
              <w:t xml:space="preserve"> support the development of </w:t>
            </w:r>
            <w:r w:rsidRPr="00A66F03">
              <w:rPr>
                <w:rFonts w:ascii="Times New Roman" w:hAnsi="Times New Roman" w:cs="Times New Roman"/>
                <w:b/>
                <w:bCs/>
                <w:lang w:val="en-GB"/>
              </w:rPr>
              <w:t>national, regional and local mobility on the trans-European transport network</w:t>
            </w:r>
            <w:r w:rsidRPr="00A66F03">
              <w:rPr>
                <w:rFonts w:ascii="Times New Roman" w:hAnsi="Times New Roman" w:cs="Times New Roman"/>
                <w:lang w:val="en-GB"/>
              </w:rPr>
              <w:t xml:space="preserve">, we will, using CF and ERDF resources, tackle the upgrading of stations and sections </w:t>
            </w:r>
            <w:r w:rsidRPr="00A66F03">
              <w:rPr>
                <w:rFonts w:ascii="Times New Roman" w:hAnsi="Times New Roman" w:cs="Times New Roman"/>
                <w:lang w:val="en-GB"/>
              </w:rPr>
              <w:t>of existing regional railway lines that gravitate towards larger urban areas. This will be in addition to other investments in the TEN-T rail network. The considerably dynamic nature of the terrain or the high proportion of mountainous terrain, combined wi</w:t>
            </w:r>
            <w:r w:rsidRPr="00A66F03">
              <w:rPr>
                <w:rFonts w:ascii="Times New Roman" w:hAnsi="Times New Roman" w:cs="Times New Roman"/>
                <w:lang w:val="en-GB"/>
              </w:rPr>
              <w:t>th scattered population patterns, makes it more difficult to locate new railway links across Slovenian territory. This means that, in the large majority of cases, roads constitute the only transport link between a given area and regional centres. Bottlenec</w:t>
            </w:r>
            <w:r w:rsidRPr="00A66F03">
              <w:rPr>
                <w:rFonts w:ascii="Times New Roman" w:hAnsi="Times New Roman" w:cs="Times New Roman"/>
                <w:lang w:val="en-GB"/>
              </w:rPr>
              <w:t>ks to industrial centres also adversely affect the ability of individual areas (and therefore the country as a whole) to make best use of their economic potential. The construction of development axes and the provision of better access to the TEN-T network</w:t>
            </w:r>
            <w:r w:rsidRPr="00A66F03">
              <w:rPr>
                <w:rFonts w:ascii="Times New Roman" w:hAnsi="Times New Roman" w:cs="Times New Roman"/>
                <w:lang w:val="en-GB"/>
              </w:rPr>
              <w:t xml:space="preserve"> and to regional hubs is vital to improving the connectivity of individual regions and therefore to promoting balanced regional development. New road infrastructure is also envisaged, with a shift towards the sustainability of the road network as one of th</w:t>
            </w:r>
            <w:r w:rsidRPr="00A66F03">
              <w:rPr>
                <w:rFonts w:ascii="Times New Roman" w:hAnsi="Times New Roman" w:cs="Times New Roman"/>
                <w:lang w:val="en-GB"/>
              </w:rPr>
              <w:t>e main strategic orientations. To make better use of existing road infrastructure, we will also develop long-distance bus transport, integrate different types of public transport (buses, rail and urban transport) and establish infrastructure for the chargi</w:t>
            </w:r>
            <w:r w:rsidRPr="00A66F03">
              <w:rPr>
                <w:rFonts w:ascii="Times New Roman" w:hAnsi="Times New Roman" w:cs="Times New Roman"/>
                <w:lang w:val="en-GB"/>
              </w:rPr>
              <w:t>ng of electric or hydrogen-powered vehicles.</w:t>
            </w:r>
          </w:p>
          <w:p w14:paraId="332D538D" w14:textId="77777777" w:rsidR="002D4358" w:rsidRPr="00A66F03" w:rsidRDefault="002D4358" w:rsidP="00B72629">
            <w:pPr>
              <w:spacing w:after="0" w:line="276" w:lineRule="auto"/>
              <w:jc w:val="both"/>
              <w:rPr>
                <w:rFonts w:ascii="Times New Roman" w:eastAsia="Arial" w:hAnsi="Times New Roman" w:cs="Times New Roman"/>
                <w:lang w:val="en-GB"/>
              </w:rPr>
            </w:pPr>
          </w:p>
          <w:p w14:paraId="6CEB1EEA" w14:textId="77777777" w:rsidR="002D4358" w:rsidRPr="00A66F03" w:rsidRDefault="00976636" w:rsidP="00B72629">
            <w:pPr>
              <w:spacing w:after="0" w:line="276" w:lineRule="auto"/>
              <w:jc w:val="both"/>
              <w:rPr>
                <w:rFonts w:ascii="Times New Roman" w:hAnsi="Times New Roman" w:cs="Times New Roman"/>
                <w:lang w:val="en-GB"/>
              </w:rPr>
            </w:pPr>
            <w:r w:rsidRPr="00A66F03">
              <w:rPr>
                <w:rFonts w:ascii="Times New Roman" w:hAnsi="Times New Roman" w:cs="Times New Roman"/>
                <w:lang w:val="en-GB"/>
              </w:rPr>
              <w:t xml:space="preserve">The promotion of integrated transport planning at local, regional and national level will lay the foundations for the </w:t>
            </w:r>
            <w:r w:rsidRPr="00A66F03">
              <w:rPr>
                <w:rFonts w:ascii="Times New Roman" w:hAnsi="Times New Roman" w:cs="Times New Roman"/>
                <w:color w:val="000000"/>
                <w:lang w:val="en-GB"/>
              </w:rPr>
              <w:t>development of multimodal transport</w:t>
            </w:r>
            <w:r w:rsidRPr="00A66F03">
              <w:rPr>
                <w:rFonts w:ascii="Times New Roman" w:hAnsi="Times New Roman" w:cs="Times New Roman"/>
                <w:lang w:val="en-GB"/>
              </w:rPr>
              <w:t>, supported by investments in the transfer between differ</w:t>
            </w:r>
            <w:r w:rsidRPr="00A66F03">
              <w:rPr>
                <w:rFonts w:ascii="Times New Roman" w:hAnsi="Times New Roman" w:cs="Times New Roman"/>
                <w:lang w:val="en-GB"/>
              </w:rPr>
              <w:t>ent modes of transport, and the promotion of the use of public transport. At local level, improvements will be made to active mobility infrastructure in settlements and to public transport, particularly with a view to ensuring that the first and last miles</w:t>
            </w:r>
            <w:r w:rsidRPr="00A66F03">
              <w:rPr>
                <w:rFonts w:ascii="Times New Roman" w:hAnsi="Times New Roman" w:cs="Times New Roman"/>
                <w:lang w:val="en-GB"/>
              </w:rPr>
              <w:t xml:space="preserve"> of multimodal journeys are safe, with the public transport acting as the backbone of the system, and ensuring the safety of children on their way to school. It also envisages the introduction of modern mobility management technologies that enable real-tim</w:t>
            </w:r>
            <w:r w:rsidRPr="00A66F03">
              <w:rPr>
                <w:rFonts w:ascii="Times New Roman" w:hAnsi="Times New Roman" w:cs="Times New Roman"/>
                <w:lang w:val="en-GB"/>
              </w:rPr>
              <w:t>e traffic information to be collected and ensure that integrated traffic management is carried out in a sustainable way.</w:t>
            </w:r>
          </w:p>
          <w:p w14:paraId="130DD6EB" w14:textId="77777777" w:rsidR="002D4358" w:rsidRPr="00A66F03" w:rsidRDefault="002D4358" w:rsidP="00B72629">
            <w:pPr>
              <w:spacing w:after="0" w:line="276" w:lineRule="auto"/>
              <w:jc w:val="both"/>
              <w:rPr>
                <w:rFonts w:ascii="Times New Roman" w:hAnsi="Times New Roman" w:cs="Times New Roman"/>
                <w:lang w:val="en-GB"/>
              </w:rPr>
            </w:pPr>
          </w:p>
          <w:p w14:paraId="14FABC08" w14:textId="77777777" w:rsidR="002D4358" w:rsidRPr="00A66F03" w:rsidRDefault="00976636" w:rsidP="00B72629">
            <w:pPr>
              <w:spacing w:after="0" w:line="276" w:lineRule="auto"/>
              <w:jc w:val="both"/>
              <w:rPr>
                <w:rFonts w:ascii="Times New Roman" w:hAnsi="Times New Roman" w:cs="Times New Roman"/>
                <w:lang w:val="en-GB"/>
              </w:rPr>
            </w:pPr>
            <w:r w:rsidRPr="00A66F03">
              <w:rPr>
                <w:rFonts w:ascii="Times New Roman" w:hAnsi="Times New Roman" w:cs="Times New Roman"/>
                <w:lang w:val="en-GB"/>
              </w:rPr>
              <w:t>While Slovenia is above the EU average in terms of the number of passenger cars per inhabitant, the use of bicycles has grown consider</w:t>
            </w:r>
            <w:r w:rsidRPr="00A66F03">
              <w:rPr>
                <w:rFonts w:ascii="Times New Roman" w:hAnsi="Times New Roman" w:cs="Times New Roman"/>
                <w:lang w:val="en-GB"/>
              </w:rPr>
              <w:t>ably in recent years. As this trend should be fully exploited, we will further promote the use of bicycles for daily mobility purposes, not only in cities but also in rural areas, by building a cycle path system in wider urban areas. In this context, the p</w:t>
            </w:r>
            <w:r w:rsidRPr="00A66F03">
              <w:rPr>
                <w:rFonts w:ascii="Times New Roman" w:hAnsi="Times New Roman" w:cs="Times New Roman"/>
                <w:lang w:val="en-GB"/>
              </w:rPr>
              <w:t>riority will be to link existing cycle sections to larger, logically complete units, and to build local cycle links that connect to the national cycling network. This will provide cyclists with greater mobility.</w:t>
            </w:r>
          </w:p>
          <w:p w14:paraId="720C3D65" w14:textId="77777777" w:rsidR="002D4358" w:rsidRPr="00A66F03" w:rsidRDefault="00976636" w:rsidP="00B72629">
            <w:pPr>
              <w:spacing w:after="0" w:line="276" w:lineRule="auto"/>
              <w:jc w:val="both"/>
              <w:rPr>
                <w:rFonts w:ascii="Times New Roman" w:hAnsi="Times New Roman" w:cs="Times New Roman"/>
                <w:lang w:val="en-GB"/>
              </w:rPr>
            </w:pPr>
            <w:r w:rsidRPr="00A66F03">
              <w:rPr>
                <w:rFonts w:ascii="Times New Roman" w:hAnsi="Times New Roman" w:cs="Times New Roman"/>
                <w:lang w:val="en-GB"/>
              </w:rPr>
              <w:lastRenderedPageBreak/>
              <w:br w:type="page"/>
            </w:r>
          </w:p>
          <w:p w14:paraId="5A9C3843" w14:textId="77777777" w:rsidR="004942FD" w:rsidRPr="00A66F03" w:rsidRDefault="00976636" w:rsidP="00B72629">
            <w:pPr>
              <w:spacing w:after="0" w:line="276" w:lineRule="auto"/>
              <w:jc w:val="both"/>
              <w:rPr>
                <w:rFonts w:ascii="Times New Roman" w:hAnsi="Times New Roman" w:cs="Times New Roman"/>
                <w:lang w:val="en-GB"/>
              </w:rPr>
            </w:pPr>
            <w:r w:rsidRPr="00A66F03">
              <w:rPr>
                <w:rFonts w:ascii="Times New Roman" w:hAnsi="Times New Roman" w:cs="Times New Roman"/>
                <w:lang w:val="en-GB"/>
              </w:rPr>
              <w:t>The use of territorial approaches is envis</w:t>
            </w:r>
            <w:r w:rsidRPr="00A66F03">
              <w:rPr>
                <w:rFonts w:ascii="Times New Roman" w:hAnsi="Times New Roman" w:cs="Times New Roman"/>
                <w:lang w:val="en-GB"/>
              </w:rPr>
              <w:t>aged in the area of the individual actions slated for implementation under Policy Objective 3.</w:t>
            </w:r>
          </w:p>
          <w:p w14:paraId="362743D3" w14:textId="77777777" w:rsidR="00775460" w:rsidRPr="00A66F03" w:rsidRDefault="00775460" w:rsidP="00B72629">
            <w:pPr>
              <w:spacing w:after="0" w:line="276" w:lineRule="auto"/>
              <w:jc w:val="both"/>
              <w:rPr>
                <w:rFonts w:ascii="Times New Roman" w:hAnsi="Times New Roman" w:cs="Times New Roman"/>
                <w:lang w:val="en-GB"/>
              </w:rPr>
            </w:pPr>
          </w:p>
          <w:p w14:paraId="1B61B532" w14:textId="77777777" w:rsidR="00722931" w:rsidRPr="00A66F03" w:rsidRDefault="00722931" w:rsidP="00B72629">
            <w:pPr>
              <w:spacing w:after="0" w:line="276" w:lineRule="auto"/>
              <w:jc w:val="both"/>
              <w:rPr>
                <w:rFonts w:ascii="Times New Roman" w:hAnsi="Times New Roman" w:cs="Times New Roman"/>
                <w:lang w:val="en-GB"/>
              </w:rPr>
            </w:pPr>
          </w:p>
          <w:p w14:paraId="0E70F3D8" w14:textId="77777777" w:rsidR="002D4358" w:rsidRPr="00A66F03" w:rsidRDefault="00976636" w:rsidP="00CF3C20">
            <w:pPr>
              <w:pStyle w:val="Naslov2"/>
              <w:rPr>
                <w:lang w:val="en-GB"/>
              </w:rPr>
            </w:pPr>
            <w:bookmarkStart w:id="13" w:name="_Toc77593998"/>
            <w:bookmarkStart w:id="14" w:name="_Toc86310924"/>
            <w:bookmarkStart w:id="15" w:name="_Toc115336011"/>
            <w:r w:rsidRPr="00A66F03">
              <w:rPr>
                <w:lang w:val="en-GB"/>
              </w:rPr>
              <w:t>Policy Objective 4: A more social and inclusive Europe implementing the European Pillar of Social Rights</w:t>
            </w:r>
            <w:bookmarkEnd w:id="13"/>
            <w:bookmarkEnd w:id="14"/>
            <w:bookmarkEnd w:id="15"/>
          </w:p>
          <w:p w14:paraId="1E474D2F" w14:textId="77777777" w:rsidR="002D4358" w:rsidRPr="00A66F03" w:rsidRDefault="002D4358" w:rsidP="00B72629">
            <w:pPr>
              <w:spacing w:after="0" w:line="276" w:lineRule="auto"/>
              <w:contextualSpacing/>
              <w:rPr>
                <w:rFonts w:ascii="Times New Roman" w:eastAsiaTheme="majorEastAsia" w:hAnsi="Times New Roman" w:cs="Times New Roman"/>
                <w:color w:val="1F4D78" w:themeColor="accent1" w:themeShade="7F"/>
                <w:lang w:val="en-GB"/>
              </w:rPr>
            </w:pPr>
          </w:p>
          <w:p w14:paraId="3068C1E4" w14:textId="77777777" w:rsidR="00300B05" w:rsidRPr="00A66F03" w:rsidRDefault="00976636" w:rsidP="00B72629">
            <w:pPr>
              <w:spacing w:after="0" w:line="276" w:lineRule="auto"/>
              <w:jc w:val="both"/>
              <w:rPr>
                <w:rFonts w:cstheme="minorHAnsi"/>
                <w:lang w:val="en-GB"/>
              </w:rPr>
            </w:pPr>
            <w:r w:rsidRPr="00A66F03">
              <w:rPr>
                <w:rFonts w:ascii="Times New Roman" w:hAnsi="Times New Roman"/>
                <w:b/>
                <w:bCs/>
                <w:lang w:val="en-GB"/>
              </w:rPr>
              <w:t xml:space="preserve">In order to achieve the objectives of the </w:t>
            </w:r>
            <w:r w:rsidRPr="00A66F03">
              <w:rPr>
                <w:rFonts w:ascii="Times New Roman" w:hAnsi="Times New Roman"/>
                <w:b/>
                <w:bCs/>
                <w:color w:val="000000"/>
                <w:lang w:val="en-GB"/>
              </w:rPr>
              <w:t xml:space="preserve">European </w:t>
            </w:r>
            <w:r w:rsidRPr="00A66F03">
              <w:rPr>
                <w:rFonts w:ascii="Times New Roman" w:hAnsi="Times New Roman"/>
                <w:b/>
                <w:bCs/>
                <w:color w:val="000000"/>
                <w:lang w:val="en-GB"/>
              </w:rPr>
              <w:t>Pillar of Social Rights Action Plan and Slovenia’s 2030 national targets</w:t>
            </w:r>
            <w:r w:rsidRPr="00A66F03">
              <w:rPr>
                <w:rFonts w:ascii="Times New Roman" w:hAnsi="Times New Roman"/>
                <w:b/>
                <w:bCs/>
                <w:lang w:val="en-GB"/>
              </w:rPr>
              <w:t xml:space="preserve">, we will focus measures primarily on reducing the long-term unemployment rate and with a view to prolonging working life. </w:t>
            </w:r>
            <w:r w:rsidRPr="00A66F03">
              <w:rPr>
                <w:rFonts w:ascii="Times New Roman" w:hAnsi="Times New Roman"/>
                <w:lang w:val="en-GB"/>
              </w:rPr>
              <w:t>Using ESF+ resources, we will focus measures on putting in pl</w:t>
            </w:r>
            <w:r w:rsidRPr="00A66F03">
              <w:rPr>
                <w:rFonts w:ascii="Times New Roman" w:hAnsi="Times New Roman"/>
                <w:lang w:val="en-GB"/>
              </w:rPr>
              <w:t>ace an inclusive and responsive labour market capable of responding to the increasingly frequent fluctuations. Active employment policy measures will be targeted at mitigating the impact of crises and reducing structural disparities, including by targeting</w:t>
            </w:r>
            <w:r w:rsidRPr="00A66F03">
              <w:rPr>
                <w:rFonts w:ascii="Times New Roman" w:hAnsi="Times New Roman"/>
                <w:lang w:val="en-GB"/>
              </w:rPr>
              <w:t xml:space="preserve"> economic sectors where growth or a sharp drop in activity is expected. They will also focus on the proper functioning and integration of labour market institutions and the modernisation of their services. This includes anticipating skills needs, providing</w:t>
            </w:r>
            <w:r w:rsidRPr="00A66F03">
              <w:rPr>
                <w:rFonts w:ascii="Times New Roman" w:hAnsi="Times New Roman"/>
                <w:lang w:val="en-GB"/>
              </w:rPr>
              <w:t xml:space="preserve"> timely and tailor-made assistance and support to the matching of supply and demand on the labour market, career transitions and labour market mobility. The Foresight Competence Platform will make it be possible to develop/guide education, scholarship and </w:t>
            </w:r>
            <w:r w:rsidRPr="00A66F03">
              <w:rPr>
                <w:rFonts w:ascii="Times New Roman" w:hAnsi="Times New Roman"/>
                <w:lang w:val="en-GB"/>
              </w:rPr>
              <w:t xml:space="preserve">career guidance policies in support of the implementation of PO1. We will make efforts to close the gap on the labour market by focusing on raising the competencies and skills of jobseekers and employees </w:t>
            </w:r>
            <w:r w:rsidRPr="00A66F03">
              <w:rPr>
                <w:rFonts w:ascii="Times New Roman" w:hAnsi="Times New Roman"/>
                <w:color w:val="000000"/>
                <w:lang w:val="en-GB"/>
              </w:rPr>
              <w:t>(including by promoting enterprise skills/competenci</w:t>
            </w:r>
            <w:r w:rsidRPr="00A66F03">
              <w:rPr>
                <w:rFonts w:ascii="Times New Roman" w:hAnsi="Times New Roman"/>
                <w:color w:val="000000"/>
                <w:lang w:val="en-GB"/>
              </w:rPr>
              <w:t>es for specific target groups such as young people and women and including the blue economy sectors)</w:t>
            </w:r>
            <w:r w:rsidRPr="00A66F03">
              <w:rPr>
                <w:rFonts w:ascii="Times New Roman" w:hAnsi="Times New Roman"/>
                <w:lang w:val="en-GB"/>
              </w:rPr>
              <w:t xml:space="preserve">, and supporting access to employment primarily for the target groups of older people, the long-term unemployed, those with low levels of education, people </w:t>
            </w:r>
            <w:r w:rsidRPr="00A66F03">
              <w:rPr>
                <w:rFonts w:ascii="Times New Roman" w:hAnsi="Times New Roman"/>
                <w:lang w:val="en-GB"/>
              </w:rPr>
              <w:t>with disabilities and the inactive during their working life, thereby reducing long-term unemployment. The measures will focus on retaining on the labour market those groups in particular whose employment or self-employment is at risk or temporary</w:t>
            </w:r>
            <w:r w:rsidRPr="00A66F03">
              <w:rPr>
                <w:lang w:val="en-GB"/>
              </w:rPr>
              <w:t xml:space="preserve"> </w:t>
            </w:r>
            <w:r w:rsidRPr="00A66F03">
              <w:rPr>
                <w:rFonts w:ascii="Times New Roman" w:hAnsi="Times New Roman"/>
                <w:lang w:val="en-GB"/>
              </w:rPr>
              <w:t>(includi</w:t>
            </w:r>
            <w:r w:rsidRPr="00A66F03">
              <w:rPr>
                <w:rFonts w:ascii="Times New Roman" w:hAnsi="Times New Roman"/>
                <w:lang w:val="en-GB"/>
              </w:rPr>
              <w:t>ng those jobs exposed to digitalisation and automation), reducing and preventing precarity, and preventing the transition back to unemployment for target groups exposed to atypical forms of work. Measures to improve the quality of the working environment a</w:t>
            </w:r>
            <w:r w:rsidRPr="00A66F03">
              <w:rPr>
                <w:rFonts w:ascii="Times New Roman" w:hAnsi="Times New Roman"/>
                <w:lang w:val="en-GB"/>
              </w:rPr>
              <w:t xml:space="preserve">nd working conditions and to promote intergenerational cooperation, with a focus on the transfer of knowledge and skills between generations, will contribute to prolonging working life, particularly for older people. </w:t>
            </w:r>
            <w:r w:rsidRPr="00A66F03">
              <w:rPr>
                <w:rFonts w:ascii="Times New Roman" w:hAnsi="Times New Roman"/>
                <w:noProof/>
                <w:lang w:val="en-GB"/>
              </w:rPr>
              <w:t>In line with the needs, funding will be</w:t>
            </w:r>
            <w:r w:rsidRPr="00A66F03">
              <w:rPr>
                <w:rFonts w:ascii="Times New Roman" w:hAnsi="Times New Roman"/>
                <w:noProof/>
                <w:lang w:val="en-GB"/>
              </w:rPr>
              <w:t xml:space="preserve"> allocated in both cohesion regions, with a slightly higher intensity in the ESCR.</w:t>
            </w:r>
          </w:p>
          <w:p w14:paraId="3DE31C0C" w14:textId="77777777" w:rsidR="00570E02" w:rsidRPr="00A66F03" w:rsidRDefault="00570E02" w:rsidP="00B72629">
            <w:pPr>
              <w:spacing w:after="0" w:line="276" w:lineRule="auto"/>
              <w:jc w:val="both"/>
              <w:rPr>
                <w:rFonts w:ascii="Times New Roman" w:eastAsia="Arial" w:hAnsi="Times New Roman" w:cs="Times New Roman"/>
                <w:lang w:val="en-GB"/>
              </w:rPr>
            </w:pPr>
          </w:p>
          <w:p w14:paraId="4CB7D87E" w14:textId="77777777" w:rsidR="00BD27E2" w:rsidRPr="00A66F03" w:rsidRDefault="00976636" w:rsidP="00BD27E2">
            <w:pPr>
              <w:spacing w:after="0" w:line="276" w:lineRule="auto"/>
              <w:contextualSpacing/>
              <w:jc w:val="both"/>
              <w:rPr>
                <w:rFonts w:ascii="Times New Roman" w:hAnsi="Times New Roman" w:cs="Times New Roman"/>
                <w:color w:val="000000"/>
                <w:lang w:val="en-GB"/>
              </w:rPr>
            </w:pPr>
            <w:r w:rsidRPr="00A66F03">
              <w:rPr>
                <w:rFonts w:ascii="Times New Roman" w:hAnsi="Times New Roman"/>
                <w:color w:val="000000"/>
                <w:lang w:val="en-GB"/>
              </w:rPr>
              <w:t xml:space="preserve">With the aim of further developing a high-quality and effective education and training system, ESF+ resources will be used to support the acquisition of </w:t>
            </w:r>
            <w:r w:rsidRPr="00A66F03">
              <w:rPr>
                <w:rFonts w:ascii="Times New Roman" w:hAnsi="Times New Roman"/>
                <w:b/>
                <w:bCs/>
                <w:color w:val="000000"/>
                <w:lang w:val="en-GB"/>
              </w:rPr>
              <w:t>knowledge and skill</w:t>
            </w:r>
            <w:r w:rsidRPr="00A66F03">
              <w:rPr>
                <w:rFonts w:ascii="Times New Roman" w:hAnsi="Times New Roman"/>
                <w:b/>
                <w:bCs/>
                <w:color w:val="000000"/>
                <w:lang w:val="en-GB"/>
              </w:rPr>
              <w:t>s that are key to an individual’s success in society, adapted to the future of work and to global changes</w:t>
            </w:r>
            <w:r w:rsidRPr="00A66F03">
              <w:rPr>
                <w:rFonts w:ascii="Times New Roman" w:hAnsi="Times New Roman"/>
                <w:color w:val="000000"/>
                <w:lang w:val="en-GB"/>
              </w:rPr>
              <w:t>. Through the action we will also strengthen key competencies and computational thinking,</w:t>
            </w:r>
            <w:r w:rsidRPr="00A66F03">
              <w:rPr>
                <w:lang w:val="en-GB"/>
              </w:rPr>
              <w:t xml:space="preserve"> </w:t>
            </w:r>
            <w:r w:rsidRPr="00A66F03">
              <w:rPr>
                <w:rFonts w:ascii="Times New Roman" w:hAnsi="Times New Roman"/>
                <w:color w:val="000000"/>
                <w:lang w:val="en-GB"/>
              </w:rPr>
              <w:t>and will allocate part of the resources to reading literacy (</w:t>
            </w:r>
            <w:r w:rsidRPr="00A66F03">
              <w:rPr>
                <w:rFonts w:ascii="Times New Roman" w:hAnsi="Times New Roman"/>
                <w:color w:val="000000"/>
                <w:lang w:val="en-GB"/>
              </w:rPr>
              <w:t>especially among boys) and to libraries. We will also carry out measures for talented students at different levels of education. We will promote the use of ICT in the teaching process and the provision of comprehensive systemic support (technical and teach</w:t>
            </w:r>
            <w:r w:rsidRPr="00A66F03">
              <w:rPr>
                <w:rFonts w:ascii="Times New Roman" w:hAnsi="Times New Roman"/>
                <w:color w:val="000000"/>
                <w:lang w:val="en-GB"/>
              </w:rPr>
              <w:t>ing) to education stakeholders to develop effective ways of using digital technologies and the digital competencies of management, education professionals and students. We will strengthen cooperation between vocational and professional education institutio</w:t>
            </w:r>
            <w:r w:rsidRPr="00A66F03">
              <w:rPr>
                <w:rFonts w:ascii="Times New Roman" w:hAnsi="Times New Roman"/>
                <w:color w:val="000000"/>
                <w:lang w:val="en-GB"/>
              </w:rPr>
              <w:t xml:space="preserve">ns and employers/social partners, thereby increasing the quality of the vocational education and training system and making it more responsive to labour market needs. We will follow the vision of the National Programme for Adult Education in Slovenia: for </w:t>
            </w:r>
            <w:r w:rsidRPr="00A66F03">
              <w:rPr>
                <w:rFonts w:ascii="Times New Roman" w:hAnsi="Times New Roman"/>
                <w:color w:val="000000"/>
                <w:lang w:val="en-GB"/>
              </w:rPr>
              <w:t xml:space="preserve">the adult population of Slovenia to enjoy </w:t>
            </w:r>
            <w:r w:rsidRPr="00A66F03">
              <w:rPr>
                <w:rFonts w:ascii="Times New Roman" w:hAnsi="Times New Roman"/>
                <w:b/>
                <w:bCs/>
                <w:color w:val="000000"/>
                <w:lang w:val="en-GB"/>
              </w:rPr>
              <w:t>equal opportunities and incentives for high-</w:t>
            </w:r>
            <w:r w:rsidRPr="00A66F03">
              <w:rPr>
                <w:rFonts w:ascii="Times New Roman" w:hAnsi="Times New Roman"/>
                <w:b/>
                <w:bCs/>
                <w:color w:val="000000"/>
                <w:lang w:val="en-GB"/>
              </w:rPr>
              <w:lastRenderedPageBreak/>
              <w:t>quality learning and education at all stages of life</w:t>
            </w:r>
            <w:r w:rsidRPr="00A66F03">
              <w:rPr>
                <w:rFonts w:ascii="Times New Roman" w:hAnsi="Times New Roman"/>
                <w:color w:val="000000"/>
                <w:lang w:val="en-GB"/>
              </w:rPr>
              <w:t>. We will continue to promote adult education and greater participation in lifelong learning in order to achieve the o</w:t>
            </w:r>
            <w:r w:rsidRPr="00A66F03">
              <w:rPr>
                <w:rFonts w:ascii="Times New Roman" w:hAnsi="Times New Roman"/>
                <w:color w:val="000000"/>
                <w:lang w:val="en-GB"/>
              </w:rPr>
              <w:t>bjectives of the European Pillar of Social Rights Action Plan, paying particular attention to vulnerable groups such as older people, including the over-65s, the low-skilled and less qualified, etc. We will invest in organisational changes and in improving</w:t>
            </w:r>
            <w:r w:rsidRPr="00A66F03">
              <w:rPr>
                <w:rFonts w:ascii="Times New Roman" w:hAnsi="Times New Roman"/>
                <w:color w:val="000000"/>
                <w:lang w:val="en-GB"/>
              </w:rPr>
              <w:t xml:space="preserve"> access to inclusive and high-quality education. In line with the needs, funding will be allocated in both cohesion regions, with a slightly higher intensity in the ESCR. ERDF resources will be used to improve infrastructure conditions at all levels of edu</w:t>
            </w:r>
            <w:r w:rsidRPr="00A66F03">
              <w:rPr>
                <w:rFonts w:ascii="Times New Roman" w:hAnsi="Times New Roman"/>
                <w:color w:val="000000"/>
                <w:lang w:val="en-GB"/>
              </w:rPr>
              <w:t>cation with a view to making the urgently required adjustments to the needs of modern education, greening infrastructure, and providing the necessary spaces for the implementation of the educational and teaching process. These needs have been identified by</w:t>
            </w:r>
            <w:r w:rsidRPr="00A66F03">
              <w:rPr>
                <w:rFonts w:ascii="Times New Roman" w:hAnsi="Times New Roman"/>
                <w:color w:val="000000"/>
                <w:lang w:val="en-GB"/>
              </w:rPr>
              <w:t xml:space="preserve"> the situational analyses conducted, which clearly show the necessity of investing in this area.</w:t>
            </w:r>
            <w:r w:rsidRPr="00A66F03">
              <w:rPr>
                <w:rStyle w:val="Sprotnaopomba-sklic"/>
                <w:rFonts w:ascii="Times New Roman" w:hAnsi="Times New Roman" w:cs="Times New Roman"/>
                <w:color w:val="000000"/>
                <w:lang w:val="en-GB"/>
              </w:rPr>
              <w:footnoteReference w:id="96"/>
            </w:r>
            <w:r w:rsidRPr="00A66F03">
              <w:rPr>
                <w:rFonts w:ascii="Times New Roman" w:hAnsi="Times New Roman"/>
                <w:color w:val="000000"/>
                <w:lang w:val="en-GB"/>
              </w:rPr>
              <w:t xml:space="preserve"> Investments in educational infrastructure are investments in critical infrastructure that have important multiplier effects as they help to improve the quality of the education process and strengthen the resilience of the education system. ERDF resources </w:t>
            </w:r>
            <w:r w:rsidRPr="00A66F03">
              <w:rPr>
                <w:rFonts w:ascii="Times New Roman" w:hAnsi="Times New Roman"/>
                <w:color w:val="000000"/>
                <w:lang w:val="en-GB"/>
              </w:rPr>
              <w:t>will be used to a lesser extent to provide the ICT equipment necessary for the implementation of higher education processes and for the activities of organisations active in the youth field. The provision of ICT in higher education is complemented by the c</w:t>
            </w:r>
            <w:r w:rsidRPr="00A66F03">
              <w:rPr>
                <w:rFonts w:ascii="Times New Roman" w:hAnsi="Times New Roman"/>
                <w:color w:val="000000"/>
                <w:lang w:val="en-GB"/>
              </w:rPr>
              <w:t>reation of a comprehensive support environment at higher education institutions that focuses on students and on activities that help them complete their studies successfully and on time. This support is also provided through modern ICT-based teaching metho</w:t>
            </w:r>
            <w:r w:rsidRPr="00A66F03">
              <w:rPr>
                <w:rFonts w:ascii="Times New Roman" w:hAnsi="Times New Roman"/>
                <w:color w:val="000000"/>
                <w:lang w:val="en-GB"/>
              </w:rPr>
              <w:t>ds that address different groups of ‘non-traditional’ students, such as early school-leavers and students who have suspended their studies to enter employment (‘job outs’).</w:t>
            </w:r>
          </w:p>
          <w:p w14:paraId="43F93556" w14:textId="77777777" w:rsidR="00BD27E2" w:rsidRPr="00A66F03" w:rsidRDefault="00BD27E2" w:rsidP="00BD27E2">
            <w:pPr>
              <w:spacing w:after="0" w:line="276" w:lineRule="auto"/>
              <w:contextualSpacing/>
              <w:jc w:val="both"/>
              <w:rPr>
                <w:rFonts w:ascii="Times New Roman" w:hAnsi="Times New Roman" w:cs="Times New Roman"/>
                <w:b/>
                <w:lang w:val="en-GB"/>
              </w:rPr>
            </w:pPr>
          </w:p>
          <w:p w14:paraId="4A7FFCBB" w14:textId="77777777" w:rsidR="00BD27E2" w:rsidRPr="00A66F03" w:rsidRDefault="00976636" w:rsidP="00BD27E2">
            <w:pPr>
              <w:spacing w:after="0" w:line="276" w:lineRule="auto"/>
              <w:jc w:val="both"/>
              <w:rPr>
                <w:rFonts w:ascii="Times New Roman" w:eastAsia="Times New Roman" w:hAnsi="Times New Roman" w:cs="Times New Roman"/>
                <w:noProof/>
                <w:lang w:val="en-GB"/>
              </w:rPr>
            </w:pPr>
            <w:r w:rsidRPr="00A66F03">
              <w:rPr>
                <w:rFonts w:ascii="Times New Roman" w:hAnsi="Times New Roman" w:cs="Times New Roman"/>
                <w:lang w:val="en-GB"/>
              </w:rPr>
              <w:t xml:space="preserve">With the help of ESF+ resources and with a view to </w:t>
            </w:r>
            <w:r w:rsidRPr="00A66F03">
              <w:rPr>
                <w:rFonts w:ascii="Times New Roman" w:hAnsi="Times New Roman" w:cs="Times New Roman"/>
                <w:b/>
                <w:bCs/>
                <w:lang w:val="en-GB"/>
              </w:rPr>
              <w:t>achieving the objectives of the</w:t>
            </w:r>
            <w:r w:rsidRPr="00A66F03">
              <w:rPr>
                <w:rFonts w:ascii="Times New Roman" w:hAnsi="Times New Roman" w:cs="Times New Roman"/>
                <w:b/>
                <w:bCs/>
                <w:lang w:val="en-GB"/>
              </w:rPr>
              <w:t xml:space="preserve"> </w:t>
            </w:r>
            <w:r w:rsidRPr="00A66F03">
              <w:rPr>
                <w:rFonts w:ascii="Times New Roman" w:hAnsi="Times New Roman" w:cs="Times New Roman"/>
                <w:b/>
                <w:bCs/>
                <w:color w:val="000000"/>
                <w:lang w:val="en-GB"/>
              </w:rPr>
              <w:t>European Pillar of Social Rights Action Plan and Slovenia’s 2030 national targets</w:t>
            </w:r>
            <w:r w:rsidRPr="00A66F03">
              <w:rPr>
                <w:rFonts w:ascii="Times New Roman" w:hAnsi="Times New Roman" w:cs="Times New Roman"/>
                <w:color w:val="000000"/>
                <w:lang w:val="en-GB"/>
              </w:rPr>
              <w:t>,</w:t>
            </w:r>
            <w:r w:rsidRPr="00A66F03">
              <w:rPr>
                <w:rFonts w:ascii="Times New Roman" w:hAnsi="Times New Roman" w:cs="Times New Roman"/>
                <w:b/>
                <w:bCs/>
                <w:lang w:val="en-GB"/>
              </w:rPr>
              <w:t xml:space="preserve"> </w:t>
            </w:r>
            <w:r w:rsidRPr="00A66F03">
              <w:rPr>
                <w:rFonts w:ascii="Times New Roman" w:hAnsi="Times New Roman" w:cs="Times New Roman"/>
                <w:lang w:val="en-GB"/>
              </w:rPr>
              <w:t xml:space="preserve">and </w:t>
            </w:r>
            <w:r w:rsidRPr="00A66F03">
              <w:rPr>
                <w:rFonts w:ascii="Times New Roman" w:hAnsi="Times New Roman" w:cs="Times New Roman"/>
                <w:b/>
                <w:bCs/>
                <w:lang w:val="en-GB"/>
              </w:rPr>
              <w:t xml:space="preserve">ensuring solidarity and sustainable social protection, health care and long-term care systems, </w:t>
            </w:r>
            <w:r w:rsidRPr="00A66F03">
              <w:rPr>
                <w:rFonts w:ascii="Times New Roman" w:hAnsi="Times New Roman" w:cs="Times New Roman"/>
                <w:lang w:val="en-GB"/>
              </w:rPr>
              <w:t xml:space="preserve">we will support measures to improve social </w:t>
            </w:r>
            <w:r w:rsidRPr="00A66F03">
              <w:rPr>
                <w:rFonts w:ascii="Times New Roman" w:hAnsi="Times New Roman" w:cs="Times New Roman"/>
                <w:noProof/>
                <w:lang w:val="en-GB"/>
              </w:rPr>
              <w:t>inclusion and consequently imp</w:t>
            </w:r>
            <w:r w:rsidRPr="00A66F03">
              <w:rPr>
                <w:rFonts w:ascii="Times New Roman" w:hAnsi="Times New Roman" w:cs="Times New Roman"/>
                <w:noProof/>
                <w:lang w:val="en-GB"/>
              </w:rPr>
              <w:t xml:space="preserve">rove the employment opportunities of vulnerable groups, particularly the long-term unemployed.  </w:t>
            </w:r>
          </w:p>
          <w:p w14:paraId="2B0F7FA1" w14:textId="77777777" w:rsidR="00F610AF" w:rsidRPr="00A66F03" w:rsidRDefault="00F610AF" w:rsidP="00B72629">
            <w:pPr>
              <w:spacing w:after="0" w:line="276" w:lineRule="auto"/>
              <w:jc w:val="both"/>
              <w:rPr>
                <w:rFonts w:ascii="Times New Roman" w:eastAsia="Times New Roman" w:hAnsi="Times New Roman" w:cs="Times New Roman"/>
                <w:noProof/>
                <w:lang w:val="en-GB"/>
              </w:rPr>
            </w:pPr>
          </w:p>
          <w:p w14:paraId="0CA01A55" w14:textId="77777777" w:rsidR="00A91930" w:rsidRPr="00A66F03" w:rsidRDefault="00976636" w:rsidP="00B72629">
            <w:pPr>
              <w:spacing w:after="0" w:line="276" w:lineRule="auto"/>
              <w:jc w:val="both"/>
              <w:rPr>
                <w:rFonts w:ascii="Times New Roman" w:eastAsia="Times New Roman" w:hAnsi="Times New Roman" w:cs="Times New Roman"/>
                <w:noProof/>
                <w:lang w:val="en-GB"/>
              </w:rPr>
            </w:pPr>
            <w:r w:rsidRPr="00A66F03">
              <w:rPr>
                <w:rFonts w:ascii="Times New Roman" w:eastAsia="Times New Roman" w:hAnsi="Times New Roman" w:cs="Times New Roman"/>
                <w:noProof/>
                <w:lang w:val="en-GB"/>
              </w:rPr>
              <w:t>We will support social inclusion and social activation programmes to make it easier for those who are inactive or who have been unemployed for a prolonged per</w:t>
            </w:r>
            <w:r w:rsidRPr="00A66F03">
              <w:rPr>
                <w:rFonts w:ascii="Times New Roman" w:eastAsia="Times New Roman" w:hAnsi="Times New Roman" w:cs="Times New Roman"/>
                <w:noProof/>
                <w:lang w:val="en-GB"/>
              </w:rPr>
              <w:t xml:space="preserve">iod of time, recipients of social security assistance and people with complex social problems to access the jobs market. </w:t>
            </w:r>
          </w:p>
          <w:p w14:paraId="751EF65C" w14:textId="77777777" w:rsidR="00A91930" w:rsidRPr="00A66F03" w:rsidRDefault="00A91930" w:rsidP="00B72629">
            <w:pPr>
              <w:spacing w:after="0" w:line="276" w:lineRule="auto"/>
              <w:jc w:val="both"/>
              <w:rPr>
                <w:rFonts w:ascii="Times New Roman" w:eastAsia="Times New Roman" w:hAnsi="Times New Roman" w:cs="Times New Roman"/>
                <w:noProof/>
                <w:lang w:val="en-GB"/>
              </w:rPr>
            </w:pPr>
          </w:p>
          <w:p w14:paraId="3FDE0C33" w14:textId="77777777" w:rsidR="00300B05" w:rsidRPr="00A66F03" w:rsidRDefault="00976636" w:rsidP="00B72629">
            <w:pPr>
              <w:spacing w:after="0" w:line="276" w:lineRule="auto"/>
              <w:jc w:val="both"/>
              <w:rPr>
                <w:rFonts w:ascii="Times New Roman" w:eastAsia="Times New Roman" w:hAnsi="Times New Roman" w:cs="Times New Roman"/>
                <w:noProof/>
                <w:lang w:val="en-GB"/>
              </w:rPr>
            </w:pPr>
            <w:r w:rsidRPr="00A66F03">
              <w:rPr>
                <w:rFonts w:ascii="Times New Roman" w:hAnsi="Times New Roman" w:cs="Times New Roman"/>
                <w:lang w:val="en-GB"/>
              </w:rPr>
              <w:t xml:space="preserve">With the aim of </w:t>
            </w:r>
            <w:r w:rsidRPr="00A66F03">
              <w:rPr>
                <w:rFonts w:ascii="Times New Roman" w:hAnsi="Times New Roman" w:cs="Times New Roman"/>
                <w:b/>
                <w:bCs/>
                <w:lang w:val="en-GB"/>
              </w:rPr>
              <w:t xml:space="preserve">tackling poverty and social exclusion </w:t>
            </w:r>
            <w:r w:rsidRPr="00A66F03">
              <w:rPr>
                <w:rFonts w:ascii="Times New Roman" w:hAnsi="Times New Roman" w:cs="Times New Roman"/>
                <w:lang w:val="en-GB"/>
              </w:rPr>
              <w:t>and reducing social stratification, which has been exacerbated by the pandemic,</w:t>
            </w:r>
            <w:r w:rsidRPr="00A66F03">
              <w:rPr>
                <w:rFonts w:ascii="Times New Roman" w:hAnsi="Times New Roman" w:cs="Times New Roman"/>
                <w:lang w:val="en-GB"/>
              </w:rPr>
              <w:t xml:space="preserve"> we will use ESF+ funds to support measures to improve inclusion in the education system and in society, thereby improving the employment prospects of vulnerable target groups</w:t>
            </w:r>
            <w:r w:rsidRPr="00A66F03">
              <w:rPr>
                <w:rFonts w:ascii="Times New Roman" w:hAnsi="Times New Roman" w:cs="Times New Roman"/>
                <w:noProof/>
                <w:lang w:val="en-GB"/>
              </w:rPr>
              <w:t xml:space="preserve">. Actions will be aimed </w:t>
            </w:r>
            <w:r w:rsidRPr="00A66F03">
              <w:rPr>
                <w:rFonts w:ascii="Times New Roman" w:hAnsi="Times New Roman" w:cs="Times New Roman"/>
                <w:lang w:val="en-GB"/>
              </w:rPr>
              <w:t>at the acquisition or strengthening of the social and fun</w:t>
            </w:r>
            <w:r w:rsidRPr="00A66F03">
              <w:rPr>
                <w:rFonts w:ascii="Times New Roman" w:hAnsi="Times New Roman" w:cs="Times New Roman"/>
                <w:lang w:val="en-GB"/>
              </w:rPr>
              <w:t xml:space="preserve">ctional skills that enable individuals to resolve social and life issues, become more involved in their social environment and improve their ability to resolve the issues they face. Information will also be provided on opportunities for inclusion in other </w:t>
            </w:r>
            <w:r w:rsidRPr="00A66F03">
              <w:rPr>
                <w:rFonts w:ascii="Times New Roman" w:hAnsi="Times New Roman" w:cs="Times New Roman"/>
                <w:lang w:val="en-GB"/>
              </w:rPr>
              <w:t xml:space="preserve">programmes. </w:t>
            </w:r>
            <w:r w:rsidRPr="00A66F03">
              <w:rPr>
                <w:rFonts w:ascii="Times New Roman" w:hAnsi="Times New Roman" w:cs="Times New Roman"/>
                <w:noProof/>
                <w:lang w:val="en-GB"/>
              </w:rPr>
              <w:t>ESF+ funds will also be used for the purchase and development of teaching aids and materials for educational work with children with special needs and with migrants.</w:t>
            </w:r>
          </w:p>
          <w:p w14:paraId="4486E635" w14:textId="77777777" w:rsidR="007664B4" w:rsidRPr="00A66F03" w:rsidRDefault="007664B4" w:rsidP="00B72629">
            <w:pPr>
              <w:spacing w:after="0" w:line="276" w:lineRule="auto"/>
              <w:jc w:val="both"/>
              <w:rPr>
                <w:rFonts w:ascii="Times New Roman" w:hAnsi="Times New Roman" w:cs="Times New Roman"/>
                <w:color w:val="000000"/>
                <w:lang w:val="en-GB"/>
              </w:rPr>
            </w:pPr>
          </w:p>
          <w:p w14:paraId="063A4564" w14:textId="77777777" w:rsidR="00363D33" w:rsidRPr="00A66F03" w:rsidRDefault="00976636" w:rsidP="00363D33">
            <w:pPr>
              <w:spacing w:after="0" w:line="276" w:lineRule="auto"/>
              <w:jc w:val="both"/>
              <w:rPr>
                <w:rFonts w:ascii="Times New Roman" w:hAnsi="Times New Roman" w:cs="Times New Roman"/>
                <w:b/>
                <w:lang w:val="en-GB"/>
              </w:rPr>
            </w:pPr>
            <w:r w:rsidRPr="00A66F03">
              <w:rPr>
                <w:rFonts w:ascii="Times New Roman" w:hAnsi="Times New Roman" w:cs="Times New Roman"/>
                <w:lang w:val="en-GB"/>
              </w:rPr>
              <w:t>We will support measures to develop and provide social care services (includi</w:t>
            </w:r>
            <w:r w:rsidRPr="00A66F03">
              <w:rPr>
                <w:rFonts w:ascii="Times New Roman" w:hAnsi="Times New Roman" w:cs="Times New Roman"/>
                <w:lang w:val="en-GB"/>
              </w:rPr>
              <w:t>ng family support) and community-based services. This will require the continuation of the deinstitutionalisation process and the consolidation of long-term care services. We will support mental health promotion through integrated provision, protection and</w:t>
            </w:r>
            <w:r w:rsidRPr="00A66F03">
              <w:rPr>
                <w:rFonts w:ascii="Times New Roman" w:hAnsi="Times New Roman" w:cs="Times New Roman"/>
                <w:lang w:val="en-GB"/>
              </w:rPr>
              <w:t xml:space="preserve"> promotion, and integrate treatment and addiction prevention programmes. In order to improve the health of the population and reduce health inequalities, we will </w:t>
            </w:r>
            <w:r w:rsidRPr="00A66F03">
              <w:rPr>
                <w:rFonts w:ascii="Times New Roman" w:hAnsi="Times New Roman" w:cs="Times New Roman"/>
                <w:lang w:val="en-GB"/>
              </w:rPr>
              <w:lastRenderedPageBreak/>
              <w:t>provide organisational and substantive upgrades to primary care by integrating prevention acti</w:t>
            </w:r>
            <w:r w:rsidRPr="00A66F03">
              <w:rPr>
                <w:rFonts w:ascii="Times New Roman" w:hAnsi="Times New Roman" w:cs="Times New Roman"/>
                <w:lang w:val="en-GB"/>
              </w:rPr>
              <w:t xml:space="preserve">vities, improving access to emergency medical assistance, promoting healthy lifestyles through a range of activities, and increasing physical activity to reduce the health risk factors (excessive weight, obesity, chronic diseases, etc.).   We will improve </w:t>
            </w:r>
            <w:r w:rsidRPr="00A66F03">
              <w:rPr>
                <w:rFonts w:ascii="Times New Roman" w:hAnsi="Times New Roman" w:cs="Times New Roman"/>
                <w:lang w:val="en-GB"/>
              </w:rPr>
              <w:t xml:space="preserve">the digital literacy of health care users in its broadest sense. </w:t>
            </w:r>
            <w:r w:rsidRPr="00A66F03">
              <w:rPr>
                <w:rFonts w:ascii="Times New Roman" w:hAnsi="Times New Roman" w:cs="Times New Roman"/>
                <w:noProof/>
                <w:lang w:val="en-GB"/>
              </w:rPr>
              <w:t>In line with the needs, funding will be allocated in both cohesion regions, with a slightly higher intensity in the ESCR.</w:t>
            </w:r>
            <w:r w:rsidRPr="00A66F03">
              <w:rPr>
                <w:rFonts w:ascii="Times New Roman" w:hAnsi="Times New Roman" w:cs="Times New Roman"/>
                <w:b/>
                <w:bCs/>
                <w:lang w:val="en-GB"/>
              </w:rPr>
              <w:t xml:space="preserve"> </w:t>
            </w:r>
            <w:r w:rsidRPr="00A66F03">
              <w:rPr>
                <w:rFonts w:ascii="Times New Roman" w:hAnsi="Times New Roman" w:cs="Times New Roman"/>
                <w:lang w:val="en-GB"/>
              </w:rPr>
              <w:t>We will strengthen programmes to provide integrated treatment and car</w:t>
            </w:r>
            <w:r w:rsidRPr="00A66F03">
              <w:rPr>
                <w:rFonts w:ascii="Times New Roman" w:hAnsi="Times New Roman" w:cs="Times New Roman"/>
                <w:lang w:val="en-GB"/>
              </w:rPr>
              <w:t>e for people with dementia, and train all professional structures in order to enhance their ability to recognise and work with people with dementia. We will invest ERDF resources in rehabilitation centres, set up a national dementia management centre (whic</w:t>
            </w:r>
            <w:r w:rsidRPr="00A66F03">
              <w:rPr>
                <w:rFonts w:ascii="Times New Roman" w:hAnsi="Times New Roman" w:cs="Times New Roman"/>
                <w:lang w:val="en-GB"/>
              </w:rPr>
              <w:t>h will be a learning centre for professionals), and establish</w:t>
            </w:r>
            <w:r w:rsidRPr="00A66F03">
              <w:rPr>
                <w:rFonts w:ascii="Times New Roman" w:hAnsi="Times New Roman" w:cs="Times New Roman"/>
                <w:noProof/>
                <w:lang w:val="en-GB"/>
              </w:rPr>
              <w:t xml:space="preserve"> community centres that provide integrated forms of community service to people with dementia and other forms of cognitive decline and to their families</w:t>
            </w:r>
            <w:r w:rsidRPr="00A66F03">
              <w:rPr>
                <w:rFonts w:ascii="Times New Roman" w:hAnsi="Times New Roman" w:cs="Times New Roman"/>
                <w:lang w:val="en-GB"/>
              </w:rPr>
              <w:t>. In order to achieve one of the objectives</w:t>
            </w:r>
            <w:r w:rsidRPr="00A66F03">
              <w:rPr>
                <w:rFonts w:ascii="Times New Roman" w:hAnsi="Times New Roman" w:cs="Times New Roman"/>
                <w:lang w:val="en-GB"/>
              </w:rPr>
              <w:t xml:space="preserve"> of the Resolution on the National Social Protection Programme 2022–2030, i.e. to strengthen community-based forms of social protection in line with deinstitutionalisation and long-term care policies and to increase the number of users, we will continue to</w:t>
            </w:r>
            <w:r w:rsidRPr="00A66F03">
              <w:rPr>
                <w:rFonts w:ascii="Times New Roman" w:hAnsi="Times New Roman" w:cs="Times New Roman"/>
                <w:lang w:val="en-GB"/>
              </w:rPr>
              <w:t xml:space="preserve"> </w:t>
            </w:r>
            <w:r w:rsidRPr="00A66F03">
              <w:rPr>
                <w:rFonts w:ascii="Times New Roman" w:hAnsi="Times New Roman" w:cs="Times New Roman"/>
                <w:szCs w:val="20"/>
                <w:lang w:val="en-GB"/>
              </w:rPr>
              <w:t xml:space="preserve">transform institutions into places of community-based service delivery. </w:t>
            </w:r>
            <w:r w:rsidRPr="00A66F03">
              <w:rPr>
                <w:rFonts w:ascii="Times New Roman" w:hAnsi="Times New Roman" w:cs="Times New Roman"/>
                <w:noProof/>
                <w:lang w:val="en-GB"/>
              </w:rPr>
              <w:t>We will also support the provision of housing units to temporarily address the housing needs of vulnerable target groups. In line with the needs, funding will be allocated in both coh</w:t>
            </w:r>
            <w:r w:rsidRPr="00A66F03">
              <w:rPr>
                <w:rFonts w:ascii="Times New Roman" w:hAnsi="Times New Roman" w:cs="Times New Roman"/>
                <w:noProof/>
                <w:lang w:val="en-GB"/>
              </w:rPr>
              <w:t>esion regions, with a slightly higher intensity in the ESCR. ESF+ actions in support of deinstitutionalisation and complementary ERDF actions will not provide support to institutional forms of living, and the funds will not be allocated to the financing of</w:t>
            </w:r>
            <w:r w:rsidRPr="00A66F03">
              <w:rPr>
                <w:rFonts w:ascii="Times New Roman" w:hAnsi="Times New Roman" w:cs="Times New Roman"/>
                <w:noProof/>
                <w:lang w:val="en-GB"/>
              </w:rPr>
              <w:t xml:space="preserve"> institutional forms of social protection; rather, the measures will be aimed at financing community housing and services and individual housing for the most vulnerable target groups. User involvement will be based on personal plans and needs assessments, </w:t>
            </w:r>
            <w:r w:rsidRPr="00A66F03">
              <w:rPr>
                <w:rFonts w:ascii="Times New Roman" w:hAnsi="Times New Roman" w:cs="Times New Roman"/>
                <w:noProof/>
                <w:lang w:val="en-GB"/>
              </w:rPr>
              <w:t xml:space="preserve">which will be drawn up in compliance with the fundamental principles of non-discrimination and the equality and rights of people with disabilities.  </w:t>
            </w:r>
            <w:r w:rsidRPr="00A66F03">
              <w:rPr>
                <w:rFonts w:ascii="Times New Roman" w:hAnsi="Times New Roman" w:cs="Times New Roman"/>
                <w:color w:val="202124"/>
                <w:lang w:val="en-GB"/>
              </w:rPr>
              <w:t xml:space="preserve">All actions aimed at investing in social and health care infrastructure under any policy objective will be </w:t>
            </w:r>
            <w:r w:rsidRPr="00A66F03">
              <w:rPr>
                <w:rFonts w:ascii="Times New Roman" w:hAnsi="Times New Roman" w:cs="Times New Roman"/>
                <w:color w:val="202124"/>
                <w:lang w:val="en-GB"/>
              </w:rPr>
              <w:t xml:space="preserve">planned in accordance with needs assessments and will be based on a mapping of services and infrastructures. Needs assessments will include all options identified by the UN Convention on the Rights of Persons with Disabilities (CRPD), of which people will </w:t>
            </w:r>
            <w:r w:rsidRPr="00A66F03">
              <w:rPr>
                <w:rFonts w:ascii="Times New Roman" w:hAnsi="Times New Roman" w:cs="Times New Roman"/>
                <w:color w:val="202124"/>
                <w:lang w:val="en-GB"/>
              </w:rPr>
              <w:t>be adequately apprised. Needs assessments will also include an overview of the options chosen by the persons concerned, and establish whether they would prefer options that do not yet exist but in which investment is needed. Mapping will be based on an ove</w:t>
            </w:r>
            <w:r w:rsidRPr="00A66F03">
              <w:rPr>
                <w:rFonts w:ascii="Times New Roman" w:hAnsi="Times New Roman" w:cs="Times New Roman"/>
                <w:color w:val="202124"/>
                <w:lang w:val="en-GB"/>
              </w:rPr>
              <w:t xml:space="preserve">rview of the current number of institutions (large or small, including community residential units) and non-institutional family and community services, taking into account territorial inequalities and demographic challenges. All investments in social and </w:t>
            </w:r>
            <w:r w:rsidRPr="00A66F03">
              <w:rPr>
                <w:rFonts w:ascii="Times New Roman" w:hAnsi="Times New Roman" w:cs="Times New Roman"/>
                <w:color w:val="202124"/>
                <w:lang w:val="en-GB"/>
              </w:rPr>
              <w:t xml:space="preserve">health care infrastructure will be in line with the requirements of the UN Convention on the Rights of Persons with Disabilities, including General Comment No 5 and the Concluding Observations of the United Nations Convention on the Rights of Persons with </w:t>
            </w:r>
            <w:r w:rsidRPr="00A66F03">
              <w:rPr>
                <w:rFonts w:ascii="Times New Roman" w:hAnsi="Times New Roman" w:cs="Times New Roman"/>
                <w:color w:val="202124"/>
                <w:lang w:val="en-GB"/>
              </w:rPr>
              <w:t>Disabilities Committee, with due respect for the principles of equality, freedom of choice, right to independent residence, accessibility and the prohibition of all forms of segregation. Moreover, every investment will ensure accessibility in line with the</w:t>
            </w:r>
            <w:r w:rsidRPr="00A66F03">
              <w:rPr>
                <w:rFonts w:ascii="Times New Roman" w:hAnsi="Times New Roman" w:cs="Times New Roman"/>
                <w:color w:val="202124"/>
                <w:lang w:val="en-GB"/>
              </w:rPr>
              <w:t xml:space="preserve"> latest EU accessibility standards. The investments will demonstrate coherence with the deinstitutionalisation strategy and the relevant EU political and legal frameworks to respect human rights obligations, namely the UN Convention on the Rights of Person</w:t>
            </w:r>
            <w:r w:rsidRPr="00A66F03">
              <w:rPr>
                <w:rFonts w:ascii="Times New Roman" w:hAnsi="Times New Roman" w:cs="Times New Roman"/>
                <w:color w:val="202124"/>
                <w:lang w:val="en-GB"/>
              </w:rPr>
              <w:t>s with Disabilities and General Comment No 5, the European Pillar of Social Rights, and the Strategy for the Rights of Persons with Disabilities 2021–2030. No investment will represent a step backwards in the process of deinstitutionalising existing instit</w:t>
            </w:r>
            <w:r w:rsidRPr="00A66F03">
              <w:rPr>
                <w:rFonts w:ascii="Times New Roman" w:hAnsi="Times New Roman" w:cs="Times New Roman"/>
                <w:color w:val="202124"/>
                <w:lang w:val="en-GB"/>
              </w:rPr>
              <w:t>utions or contribute to the creation of new environments that are not fully in line with the CRPD. In line with the partnership principle, independent fundamental rights and human rights organisations will be involved in all stages of programming, implemen</w:t>
            </w:r>
            <w:r w:rsidRPr="00A66F03">
              <w:rPr>
                <w:rFonts w:ascii="Times New Roman" w:hAnsi="Times New Roman" w:cs="Times New Roman"/>
                <w:color w:val="202124"/>
                <w:lang w:val="en-GB"/>
              </w:rPr>
              <w:t>tation, monitoring and the evaluation of investments in social and health infrastructure; this is so as to ensure respect for the principles of independent living, non-segregation and non-discrimination in accordance with the UN Convention on the Rights of</w:t>
            </w:r>
            <w:r w:rsidRPr="00A66F03">
              <w:rPr>
                <w:rFonts w:ascii="Times New Roman" w:hAnsi="Times New Roman" w:cs="Times New Roman"/>
                <w:color w:val="202124"/>
                <w:lang w:val="en-GB"/>
              </w:rPr>
              <w:t xml:space="preserve"> Persons with Disabilities and the Charter of Fundamental Rights of the EU.</w:t>
            </w:r>
          </w:p>
          <w:p w14:paraId="0484C168" w14:textId="77777777" w:rsidR="00363D33" w:rsidRPr="00A66F03" w:rsidRDefault="00363D33" w:rsidP="00A91930">
            <w:pPr>
              <w:spacing w:after="0" w:line="276" w:lineRule="auto"/>
              <w:jc w:val="both"/>
              <w:rPr>
                <w:rFonts w:ascii="Times New Roman" w:eastAsia="Times New Roman" w:hAnsi="Times New Roman" w:cs="Times New Roman"/>
                <w:noProof/>
                <w:lang w:val="en-GB"/>
              </w:rPr>
            </w:pPr>
          </w:p>
          <w:p w14:paraId="73FC6F78" w14:textId="77777777" w:rsidR="00300B05" w:rsidRPr="00A66F03" w:rsidRDefault="00300B05" w:rsidP="00B72629">
            <w:pPr>
              <w:spacing w:after="0" w:line="276" w:lineRule="auto"/>
              <w:rPr>
                <w:rFonts w:ascii="Times New Roman" w:hAnsi="Times New Roman" w:cs="Times New Roman"/>
                <w:lang w:val="en-GB"/>
              </w:rPr>
            </w:pPr>
          </w:p>
          <w:p w14:paraId="364D53BE" w14:textId="77777777" w:rsidR="00300B05" w:rsidRPr="00A66F03" w:rsidRDefault="00976636" w:rsidP="00B72629">
            <w:pPr>
              <w:spacing w:after="0" w:line="276" w:lineRule="auto"/>
              <w:jc w:val="both"/>
              <w:rPr>
                <w:rFonts w:ascii="Times New Roman" w:hAnsi="Times New Roman" w:cs="Times New Roman"/>
                <w:color w:val="000000"/>
                <w:lang w:val="en-GB"/>
              </w:rPr>
            </w:pPr>
            <w:r w:rsidRPr="00A66F03">
              <w:rPr>
                <w:rFonts w:ascii="Times New Roman" w:hAnsi="Times New Roman" w:cs="Times New Roman"/>
                <w:color w:val="000000"/>
                <w:lang w:val="en-GB"/>
              </w:rPr>
              <w:t xml:space="preserve">The measures will be built on the results of the mapping of infrastructure and service needs in the fields of employment, education, housing, health care and social care that </w:t>
            </w:r>
            <w:r w:rsidRPr="00A66F03">
              <w:rPr>
                <w:rFonts w:ascii="Times New Roman" w:hAnsi="Times New Roman" w:cs="Times New Roman"/>
                <w:color w:val="000000"/>
                <w:lang w:val="en-GB"/>
              </w:rPr>
              <w:t>take account of territorial inequalities, educational and spatial segregation, and demographic changes. In order to ensure equal treatment within the various institutions, the IT infrastructure that allows users to access data in a timely and targeted mann</w:t>
            </w:r>
            <w:r w:rsidRPr="00A66F03">
              <w:rPr>
                <w:rFonts w:ascii="Times New Roman" w:hAnsi="Times New Roman" w:cs="Times New Roman"/>
                <w:color w:val="000000"/>
                <w:lang w:val="en-GB"/>
              </w:rPr>
              <w:t>er must be strengthened and upgraded; this will also allow information to be exchanged between different institutions dealing with the same individual. In this respect, service providers will have to be empowered (trained in the use of the information syst</w:t>
            </w:r>
            <w:r w:rsidRPr="00A66F03">
              <w:rPr>
                <w:rFonts w:ascii="Times New Roman" w:hAnsi="Times New Roman" w:cs="Times New Roman"/>
                <w:color w:val="000000"/>
                <w:lang w:val="en-GB"/>
              </w:rPr>
              <w:t>em) if they are to provide user-friendly social protection services. All investments will follow the principles of desegregation and non-discrimination, with a focus on promoting access to key inclusive services in education, housing, employment, health ca</w:t>
            </w:r>
            <w:r w:rsidRPr="00A66F03">
              <w:rPr>
                <w:rFonts w:ascii="Times New Roman" w:hAnsi="Times New Roman" w:cs="Times New Roman"/>
                <w:color w:val="000000"/>
                <w:lang w:val="en-GB"/>
              </w:rPr>
              <w:t>re and social care.</w:t>
            </w:r>
          </w:p>
          <w:p w14:paraId="4F927152" w14:textId="77777777" w:rsidR="007664B4" w:rsidRPr="00A66F03" w:rsidRDefault="007664B4" w:rsidP="00B72629">
            <w:pPr>
              <w:spacing w:after="0" w:line="276" w:lineRule="auto"/>
              <w:jc w:val="both"/>
              <w:rPr>
                <w:rFonts w:ascii="Times New Roman" w:eastAsia="Times New Roman" w:hAnsi="Times New Roman" w:cs="Times New Roman"/>
                <w:b/>
                <w:lang w:val="en-GB"/>
              </w:rPr>
            </w:pPr>
          </w:p>
          <w:p w14:paraId="401233B3" w14:textId="77777777" w:rsidR="00570E02" w:rsidRPr="00A66F03" w:rsidRDefault="00976636" w:rsidP="00B72629">
            <w:pPr>
              <w:spacing w:after="0" w:line="276" w:lineRule="auto"/>
              <w:jc w:val="both"/>
              <w:rPr>
                <w:rFonts w:ascii="Times New Roman" w:hAnsi="Times New Roman" w:cs="Times New Roman"/>
                <w:lang w:val="en-GB"/>
              </w:rPr>
            </w:pPr>
            <w:r w:rsidRPr="00A66F03">
              <w:rPr>
                <w:rFonts w:ascii="Times New Roman" w:hAnsi="Times New Roman" w:cs="Times New Roman"/>
                <w:lang w:val="en-GB"/>
              </w:rPr>
              <w:t xml:space="preserve">The </w:t>
            </w:r>
            <w:r w:rsidRPr="00A66F03">
              <w:rPr>
                <w:rFonts w:ascii="Times New Roman" w:hAnsi="Times New Roman" w:cs="Times New Roman"/>
                <w:b/>
                <w:bCs/>
                <w:lang w:val="en-GB"/>
              </w:rPr>
              <w:t xml:space="preserve">Programme to Eliminate Material Deprivation in Slovenia 2021–2027 </w:t>
            </w:r>
            <w:r w:rsidRPr="00A66F03">
              <w:rPr>
                <w:rFonts w:ascii="Times New Roman" w:hAnsi="Times New Roman" w:cs="Times New Roman"/>
                <w:lang w:val="en-GB"/>
              </w:rPr>
              <w:t>is aimed at the most materially deprived groups in the country. It will provide food and involve target groups in various accompanying measures aimed at addressing their social exclusion and contributing to the eradication of poverty. The programme will al</w:t>
            </w:r>
            <w:r w:rsidRPr="00A66F03">
              <w:rPr>
                <w:rFonts w:ascii="Times New Roman" w:hAnsi="Times New Roman" w:cs="Times New Roman"/>
                <w:lang w:val="en-GB"/>
              </w:rPr>
              <w:t>so provide psychosocial support, referral to the competent services, information on rights from public funds, the promotion of inclusion in other social inclusion and social activation programmes, and information and advice on healthy lifestyles and on foo</w:t>
            </w:r>
            <w:r w:rsidRPr="00A66F03">
              <w:rPr>
                <w:rFonts w:ascii="Times New Roman" w:hAnsi="Times New Roman" w:cs="Times New Roman"/>
                <w:lang w:val="en-GB"/>
              </w:rPr>
              <w:t xml:space="preserve">d and budget management.  </w:t>
            </w:r>
          </w:p>
          <w:p w14:paraId="15563CDC" w14:textId="77777777" w:rsidR="002D4358" w:rsidRPr="00A66F03" w:rsidRDefault="002D4358" w:rsidP="00B72629">
            <w:pPr>
              <w:spacing w:after="0" w:line="276" w:lineRule="auto"/>
              <w:rPr>
                <w:rFonts w:ascii="Times New Roman" w:hAnsi="Times New Roman" w:cs="Times New Roman"/>
                <w:lang w:val="en-GB"/>
              </w:rPr>
            </w:pPr>
          </w:p>
          <w:p w14:paraId="28698DCE" w14:textId="77777777" w:rsidR="00896671" w:rsidRPr="00A66F03" w:rsidRDefault="00976636" w:rsidP="00896671">
            <w:pPr>
              <w:shd w:val="clear" w:color="auto" w:fill="FFFFFF" w:themeFill="background1"/>
              <w:spacing w:after="0" w:line="276" w:lineRule="auto"/>
              <w:jc w:val="both"/>
              <w:rPr>
                <w:rFonts w:ascii="Times New Roman" w:hAnsi="Times New Roman" w:cs="Times New Roman"/>
                <w:lang w:val="en-GB"/>
              </w:rPr>
            </w:pPr>
            <w:r w:rsidRPr="00A66F03">
              <w:rPr>
                <w:rFonts w:ascii="Times New Roman" w:hAnsi="Times New Roman" w:cs="Times New Roman"/>
                <w:lang w:val="en-GB"/>
              </w:rPr>
              <w:t xml:space="preserve">In order to </w:t>
            </w:r>
            <w:r w:rsidRPr="00A66F03">
              <w:rPr>
                <w:rFonts w:ascii="Times New Roman" w:hAnsi="Times New Roman" w:cs="Times New Roman"/>
                <w:b/>
                <w:bCs/>
                <w:lang w:val="en-GB"/>
              </w:rPr>
              <w:t>strengthen the role of culture and tourism</w:t>
            </w:r>
            <w:r w:rsidRPr="00A66F03">
              <w:rPr>
                <w:rFonts w:ascii="Times New Roman" w:hAnsi="Times New Roman" w:cs="Times New Roman"/>
                <w:lang w:val="en-GB"/>
              </w:rPr>
              <w:t xml:space="preserve">, we will allocate ERDF funding in the ESCR to the comprehensive preservation of cultural heritage, which will be given concrete expression in projects involving sustainable </w:t>
            </w:r>
            <w:r w:rsidRPr="00A66F03">
              <w:rPr>
                <w:rFonts w:ascii="Times New Roman" w:hAnsi="Times New Roman" w:cs="Times New Roman"/>
                <w:lang w:val="en-GB"/>
              </w:rPr>
              <w:t>small-scale investment in regeneration, the maintenance and revitalisation of heritage, promotion of the development of (cultural) tourism and improvements to physical access and access to information, including for people unable, for whatever reason, to a</w:t>
            </w:r>
            <w:r w:rsidRPr="00A66F03">
              <w:rPr>
                <w:rFonts w:ascii="Times New Roman" w:hAnsi="Times New Roman" w:cs="Times New Roman"/>
                <w:lang w:val="en-GB"/>
              </w:rPr>
              <w:t>ccess cultural heritage and destinations. Projects in the field of cultural heritage will be consistent with the orientations of the European Framework for Action on Cultural Heritage and with the ICOMOS European Quality Principles. Culture and cultural id</w:t>
            </w:r>
            <w:r w:rsidRPr="00A66F03">
              <w:rPr>
                <w:rFonts w:ascii="Times New Roman" w:hAnsi="Times New Roman" w:cs="Times New Roman"/>
                <w:lang w:val="en-GB"/>
              </w:rPr>
              <w:t>entity, given added value in the image and integrated range of Slovenian tourist products and services, is an innovative factor that can make a key contribution to completing the value chain and significantly increasing value added and sustainability in Sl</w:t>
            </w:r>
            <w:r w:rsidRPr="00A66F03">
              <w:rPr>
                <w:rFonts w:ascii="Times New Roman" w:hAnsi="Times New Roman" w:cs="Times New Roman"/>
                <w:lang w:val="en-GB"/>
              </w:rPr>
              <w:t>ovenian tourism. These measures constitute an important part of the structural changes that are indispensable for a more productive and stable tourism ecosystem capable of adapting, even in unexpected crisis situations.</w:t>
            </w:r>
          </w:p>
          <w:p w14:paraId="7471CF0E" w14:textId="77777777" w:rsidR="00896671" w:rsidRPr="00A66F03" w:rsidRDefault="00896671" w:rsidP="00896671">
            <w:pPr>
              <w:spacing w:after="0" w:line="276" w:lineRule="auto"/>
              <w:ind w:right="195"/>
              <w:jc w:val="both"/>
              <w:rPr>
                <w:rFonts w:ascii="Times New Roman" w:eastAsia="Times New Roman" w:hAnsi="Times New Roman" w:cs="Times New Roman"/>
                <w:lang w:val="en-GB"/>
              </w:rPr>
            </w:pPr>
          </w:p>
          <w:p w14:paraId="4D214744" w14:textId="77777777" w:rsidR="00896671" w:rsidRPr="00A66F03" w:rsidRDefault="00976636" w:rsidP="00E93C4A">
            <w:pPr>
              <w:shd w:val="clear" w:color="auto" w:fill="FFFFFF" w:themeFill="background1"/>
              <w:spacing w:after="0" w:line="276" w:lineRule="auto"/>
              <w:jc w:val="both"/>
              <w:rPr>
                <w:rFonts w:ascii="Times New Roman" w:hAnsi="Times New Roman" w:cs="Times New Roman"/>
                <w:lang w:val="en-GB"/>
              </w:rPr>
            </w:pPr>
            <w:r w:rsidRPr="00A66F03">
              <w:rPr>
                <w:rFonts w:ascii="Times New Roman" w:hAnsi="Times New Roman" w:cs="Times New Roman"/>
                <w:lang w:val="en-GB"/>
              </w:rPr>
              <w:t>We will support investment in the d</w:t>
            </w:r>
            <w:r w:rsidRPr="00A66F03">
              <w:rPr>
                <w:rFonts w:ascii="Times New Roman" w:hAnsi="Times New Roman" w:cs="Times New Roman"/>
                <w:lang w:val="en-GB"/>
              </w:rPr>
              <w:t>evelopment of integrated tourism products in the form of authentic tourism experiences, with the aim of raising the reputation and quality of tourist destinations in Eastern Slovenia. By investing in the creation of tourism content within existing cultural</w:t>
            </w:r>
            <w:r w:rsidRPr="00A66F03">
              <w:rPr>
                <w:rFonts w:ascii="Times New Roman" w:hAnsi="Times New Roman" w:cs="Times New Roman"/>
                <w:lang w:val="en-GB"/>
              </w:rPr>
              <w:t xml:space="preserve"> heritage and integrating it into the general range of tourist products and services on offer, we will create new, more attractive jobs and achieve higher value added in a sustainable way. By ensuring the sustainable development of destinations, we will co</w:t>
            </w:r>
            <w:r w:rsidRPr="00A66F03">
              <w:rPr>
                <w:rFonts w:ascii="Times New Roman" w:hAnsi="Times New Roman" w:cs="Times New Roman"/>
                <w:lang w:val="en-GB"/>
              </w:rPr>
              <w:t>ntribute to improving the quality of life of those who live in tourist areas and make tourism more acceptable for the local environment, thereby following the lines set out in the European Commission’s proposal for a Transition Pathway for Tourism (TTP). I</w:t>
            </w:r>
            <w:r w:rsidRPr="00A66F03">
              <w:rPr>
                <w:rFonts w:ascii="Times New Roman" w:hAnsi="Times New Roman" w:cs="Times New Roman"/>
                <w:lang w:val="en-GB"/>
              </w:rPr>
              <w:t xml:space="preserve">n parallel, PO1 will strengthen digitalisation knowledge and skills, green tourism, sustainable development and destination management, in line with the EU Pact for Skills in Tourism. </w:t>
            </w:r>
          </w:p>
          <w:p w14:paraId="10B7ED39" w14:textId="77777777" w:rsidR="00896671" w:rsidRPr="00A66F03" w:rsidRDefault="00896671" w:rsidP="00896671">
            <w:pPr>
              <w:spacing w:after="0" w:line="276" w:lineRule="auto"/>
              <w:jc w:val="both"/>
              <w:rPr>
                <w:rFonts w:ascii="Times New Roman" w:hAnsi="Times New Roman" w:cs="Times New Roman"/>
                <w:lang w:val="en-GB"/>
              </w:rPr>
            </w:pPr>
          </w:p>
          <w:p w14:paraId="7B145E4C" w14:textId="77777777" w:rsidR="00775460" w:rsidRPr="00A66F03" w:rsidRDefault="00775460" w:rsidP="00B72629">
            <w:pPr>
              <w:spacing w:after="0" w:line="276" w:lineRule="auto"/>
              <w:jc w:val="both"/>
              <w:rPr>
                <w:rFonts w:ascii="Times New Roman" w:hAnsi="Times New Roman" w:cs="Times New Roman"/>
                <w:lang w:val="en-GB"/>
              </w:rPr>
            </w:pPr>
            <w:bookmarkStart w:id="16" w:name="_Toc86310925"/>
            <w:bookmarkStart w:id="17" w:name="_Toc77593999"/>
          </w:p>
          <w:p w14:paraId="57728B76" w14:textId="77777777" w:rsidR="002D4358" w:rsidRPr="00A66F03" w:rsidRDefault="00976636" w:rsidP="00E93C4A">
            <w:pPr>
              <w:pStyle w:val="Naslov2"/>
              <w:rPr>
                <w:lang w:val="en-GB"/>
              </w:rPr>
            </w:pPr>
            <w:bookmarkStart w:id="18" w:name="_Toc115336012"/>
            <w:r w:rsidRPr="00A66F03">
              <w:rPr>
                <w:lang w:val="en-GB"/>
              </w:rPr>
              <w:lastRenderedPageBreak/>
              <w:t xml:space="preserve">Policy Objective 5: A Europe closer to citizens by fostering the </w:t>
            </w:r>
            <w:r w:rsidRPr="00A66F03">
              <w:rPr>
                <w:lang w:val="en-GB"/>
              </w:rPr>
              <w:t>sustainable and integrated development of urban, rural and coastal areas and local initiatives</w:t>
            </w:r>
            <w:bookmarkEnd w:id="16"/>
            <w:bookmarkEnd w:id="17"/>
            <w:bookmarkEnd w:id="18"/>
          </w:p>
          <w:p w14:paraId="605CFF76" w14:textId="77777777" w:rsidR="002D4358" w:rsidRPr="00A66F03" w:rsidRDefault="002D4358" w:rsidP="00B72629">
            <w:pPr>
              <w:spacing w:after="0" w:line="276" w:lineRule="auto"/>
              <w:jc w:val="both"/>
              <w:rPr>
                <w:rFonts w:ascii="Times New Roman" w:hAnsi="Times New Roman" w:cs="Times New Roman"/>
                <w:b/>
                <w:color w:val="000000" w:themeColor="text1"/>
                <w:lang w:val="en-GB"/>
              </w:rPr>
            </w:pPr>
          </w:p>
          <w:p w14:paraId="6AC14AA6" w14:textId="77777777" w:rsidR="002745E8" w:rsidRPr="00A66F03" w:rsidRDefault="00976636" w:rsidP="002745E8">
            <w:pPr>
              <w:spacing w:after="0" w:line="276" w:lineRule="auto"/>
              <w:contextualSpacing/>
              <w:jc w:val="both"/>
              <w:rPr>
                <w:rFonts w:ascii="Times New Roman" w:eastAsia="Arial" w:hAnsi="Times New Roman" w:cs="Times New Roman"/>
                <w:lang w:val="en-GB"/>
              </w:rPr>
            </w:pPr>
            <w:r w:rsidRPr="00A66F03">
              <w:rPr>
                <w:rFonts w:ascii="Times New Roman" w:eastAsia="Arial" w:hAnsi="Times New Roman" w:cs="Times New Roman"/>
                <w:lang w:val="en-GB"/>
              </w:rPr>
              <w:t xml:space="preserve">Slovenia’s objective is to continue to promote endogenous potentials in order to </w:t>
            </w:r>
            <w:r w:rsidRPr="00A66F03">
              <w:rPr>
                <w:rFonts w:ascii="Times New Roman" w:eastAsia="Arial" w:hAnsi="Times New Roman" w:cs="Times New Roman"/>
                <w:b/>
                <w:bCs/>
                <w:lang w:val="en-GB"/>
              </w:rPr>
              <w:t>reduce development disparities</w:t>
            </w:r>
            <w:r w:rsidRPr="00A66F03">
              <w:rPr>
                <w:rFonts w:ascii="Times New Roman" w:eastAsia="Arial" w:hAnsi="Times New Roman" w:cs="Times New Roman"/>
                <w:lang w:val="en-GB"/>
              </w:rPr>
              <w:t>. It will, in this way, address urban and local development through territorial approaches under Policy Objective 5. Bottom-up initiatives will be tailored to the diverse development needs, challenges and different forms of settlement in each area, as they</w:t>
            </w:r>
            <w:r w:rsidRPr="00A66F03">
              <w:rPr>
                <w:rFonts w:ascii="Times New Roman" w:eastAsia="Arial" w:hAnsi="Times New Roman" w:cs="Times New Roman"/>
                <w:lang w:val="en-GB"/>
              </w:rPr>
              <w:t xml:space="preserve"> cannot be addressed in a uniform way. Using territorial approaches, we are interlinking rural and urban areas in an integrated way as complementary functional areas, by supporting integrated and multifunctional actions, and strengthening multi-level partn</w:t>
            </w:r>
            <w:r w:rsidRPr="00A66F03">
              <w:rPr>
                <w:rFonts w:ascii="Times New Roman" w:eastAsia="Arial" w:hAnsi="Times New Roman" w:cs="Times New Roman"/>
                <w:lang w:val="en-GB"/>
              </w:rPr>
              <w:t xml:space="preserve">ership cooperation and governance in both cohesion regions. By linking the urban environment with rural areas, we are following the objectives of the Territorial Agenda 2030 and the Long-term Vision for the EU’s Rural Areas Up To 2040. </w:t>
            </w:r>
          </w:p>
          <w:p w14:paraId="1459BB04" w14:textId="77777777" w:rsidR="009E0FBD" w:rsidRPr="00A66F03" w:rsidRDefault="009E0FBD" w:rsidP="009E0FBD">
            <w:pPr>
              <w:spacing w:after="0" w:line="276" w:lineRule="auto"/>
              <w:contextualSpacing/>
              <w:jc w:val="both"/>
              <w:rPr>
                <w:rFonts w:ascii="Times New Roman" w:eastAsia="Arial" w:hAnsi="Times New Roman" w:cs="Times New Roman"/>
                <w:lang w:val="en-GB"/>
              </w:rPr>
            </w:pPr>
          </w:p>
          <w:p w14:paraId="516853D5" w14:textId="77777777" w:rsidR="009E0FBD" w:rsidRPr="00A66F03" w:rsidRDefault="00976636" w:rsidP="00B72629">
            <w:pPr>
              <w:shd w:val="clear" w:color="auto" w:fill="FFFFFF" w:themeFill="background1"/>
              <w:spacing w:after="0" w:line="276" w:lineRule="auto"/>
              <w:jc w:val="both"/>
              <w:rPr>
                <w:rFonts w:ascii="Times New Roman" w:eastAsia="Arial" w:hAnsi="Times New Roman" w:cs="Times New Roman"/>
                <w:lang w:val="en-GB"/>
              </w:rPr>
            </w:pPr>
            <w:r w:rsidRPr="00A66F03">
              <w:rPr>
                <w:rFonts w:ascii="Times New Roman" w:hAnsi="Times New Roman" w:cs="Times New Roman"/>
                <w:lang w:val="en-GB"/>
              </w:rPr>
              <w:t>We will allocate E</w:t>
            </w:r>
            <w:r w:rsidRPr="00A66F03">
              <w:rPr>
                <w:rFonts w:ascii="Times New Roman" w:hAnsi="Times New Roman" w:cs="Times New Roman"/>
                <w:lang w:val="en-GB"/>
              </w:rPr>
              <w:t xml:space="preserve">RDF resources to </w:t>
            </w:r>
            <w:r w:rsidRPr="00A66F03">
              <w:rPr>
                <w:rFonts w:ascii="Times New Roman" w:hAnsi="Times New Roman" w:cs="Times New Roman"/>
                <w:b/>
                <w:bCs/>
                <w:lang w:val="en-GB"/>
              </w:rPr>
              <w:t>building an inclusive society and to the further comprehensive socio-economic development of urban and rural areas, with particular attention to be paid to reducing the gap between socio-economically disadvantaged people and areas</w:t>
            </w:r>
            <w:r w:rsidRPr="00A66F03">
              <w:rPr>
                <w:rFonts w:ascii="Times New Roman" w:hAnsi="Times New Roman" w:cs="Times New Roman"/>
                <w:lang w:val="en-GB"/>
              </w:rPr>
              <w:t>. The pre</w:t>
            </w:r>
            <w:r w:rsidRPr="00A66F03">
              <w:rPr>
                <w:rFonts w:ascii="Times New Roman" w:hAnsi="Times New Roman" w:cs="Times New Roman"/>
                <w:lang w:val="en-GB"/>
              </w:rPr>
              <w:t>paration and implementation of the actions will take place on a bottom-up basis, in line with the strategic objectives and areas of action stemming from the sustainable urban strategies and local development strategies that have been drawn up. The local po</w:t>
            </w:r>
            <w:r w:rsidRPr="00A66F03">
              <w:rPr>
                <w:rFonts w:ascii="Times New Roman" w:hAnsi="Times New Roman" w:cs="Times New Roman"/>
                <w:lang w:val="en-GB"/>
              </w:rPr>
              <w:t>pulation is actively involved in the development of strategies that identify specific development challenges and opportunities within a homogeneous area. Development needs and challenges vary from one area to another, so development trends need to be tailo</w:t>
            </w:r>
            <w:r w:rsidRPr="00A66F03">
              <w:rPr>
                <w:rFonts w:ascii="Times New Roman" w:hAnsi="Times New Roman" w:cs="Times New Roman"/>
                <w:lang w:val="en-GB"/>
              </w:rPr>
              <w:t>red to the characteristics, needs and different forms of settlement of each area. We are most effective in addressing the needs of individual areas and increasing the quality and satisfaction of the life of all groups of the local population (including the</w:t>
            </w:r>
            <w:r w:rsidRPr="00A66F03">
              <w:rPr>
                <w:rFonts w:ascii="Times New Roman" w:hAnsi="Times New Roman" w:cs="Times New Roman"/>
                <w:lang w:val="en-GB"/>
              </w:rPr>
              <w:t xml:space="preserve"> elderly, young people and members of vulnerable groups) when we employ projects based on territorial strategies. In the course of the implementation of all actions under PO5 particular attention will be paid to the principles of sustainable development an</w:t>
            </w:r>
            <w:r w:rsidRPr="00A66F03">
              <w:rPr>
                <w:rFonts w:ascii="Times New Roman" w:hAnsi="Times New Roman" w:cs="Times New Roman"/>
                <w:lang w:val="en-GB"/>
              </w:rPr>
              <w:t>d to ensuring that built infrastructure and services are also available to persons with different levels of incapacity.</w:t>
            </w:r>
          </w:p>
          <w:p w14:paraId="2A64E1E1" w14:textId="77777777" w:rsidR="00482C6B" w:rsidRPr="00A66F03" w:rsidRDefault="00482C6B" w:rsidP="00B72629">
            <w:pPr>
              <w:shd w:val="clear" w:color="auto" w:fill="FFFFFF" w:themeFill="background1"/>
              <w:spacing w:after="0" w:line="276" w:lineRule="auto"/>
              <w:jc w:val="both"/>
              <w:rPr>
                <w:rFonts w:ascii="Times New Roman" w:eastAsia="Arial" w:hAnsi="Times New Roman" w:cs="Times New Roman"/>
                <w:lang w:val="en-GB"/>
              </w:rPr>
            </w:pPr>
          </w:p>
          <w:p w14:paraId="7B3A43DC" w14:textId="77777777" w:rsidR="00115763" w:rsidRPr="00A66F03" w:rsidRDefault="00976636" w:rsidP="00115763">
            <w:pPr>
              <w:jc w:val="both"/>
              <w:rPr>
                <w:lang w:val="en-GB"/>
              </w:rPr>
            </w:pPr>
            <w:r w:rsidRPr="00A66F03">
              <w:rPr>
                <w:rFonts w:ascii="Times New Roman" w:eastAsia="Arial" w:hAnsi="Times New Roman" w:cs="Times New Roman"/>
                <w:lang w:val="en-GB"/>
              </w:rPr>
              <w:t xml:space="preserve">As part of efforts to promote urban development, we will primarily support projects to renovate and revitalise empty or under-utilised </w:t>
            </w:r>
            <w:r w:rsidRPr="00A66F03">
              <w:rPr>
                <w:rFonts w:ascii="Times New Roman" w:eastAsia="Arial" w:hAnsi="Times New Roman" w:cs="Times New Roman"/>
                <w:lang w:val="en-GB"/>
              </w:rPr>
              <w:t xml:space="preserve">buildings and/or land for greener, more socially inclusive and more productive cities. We will support measures to revitalise and renovate buildings of public interest and cultural and other facilities, develop and revitalise open public spaces, and carry </w:t>
            </w:r>
            <w:r w:rsidRPr="00A66F03">
              <w:rPr>
                <w:rFonts w:ascii="Times New Roman" w:eastAsia="Arial" w:hAnsi="Times New Roman" w:cs="Times New Roman"/>
                <w:lang w:val="en-GB"/>
              </w:rPr>
              <w:t xml:space="preserve">out other integrated projects based on urban municipalities’ sustainable urban strategies.  </w:t>
            </w:r>
          </w:p>
          <w:p w14:paraId="054A47EF" w14:textId="77777777" w:rsidR="00204FFC" w:rsidRPr="00A66F03" w:rsidRDefault="00976636" w:rsidP="00B72629">
            <w:pPr>
              <w:shd w:val="clear" w:color="auto" w:fill="FFFFFF" w:themeFill="background1"/>
              <w:spacing w:after="0" w:line="276" w:lineRule="auto"/>
              <w:jc w:val="both"/>
              <w:rPr>
                <w:rFonts w:ascii="Times New Roman" w:eastAsia="Arial" w:hAnsi="Times New Roman" w:cs="Times New Roman"/>
                <w:lang w:val="en-GB"/>
              </w:rPr>
            </w:pPr>
            <w:r w:rsidRPr="00A66F03">
              <w:rPr>
                <w:rFonts w:ascii="Times New Roman" w:eastAsia="Arial" w:hAnsi="Times New Roman" w:cs="Times New Roman"/>
                <w:lang w:val="en-GB"/>
              </w:rPr>
              <w:t>ERDF CLLD projects will contribute to improving the quality of life of local populations, ensuring adequate access to services in urban centres and rural areas ali</w:t>
            </w:r>
            <w:r w:rsidRPr="00A66F03">
              <w:rPr>
                <w:rFonts w:ascii="Times New Roman" w:eastAsia="Arial" w:hAnsi="Times New Roman" w:cs="Times New Roman"/>
                <w:lang w:val="en-GB"/>
              </w:rPr>
              <w:t xml:space="preserve">ke, improving long-term care and preventive health measures, promoting intergenerational cooperation, strengthening competencies, and providing care and protection to disadvantaged groups. At the same time, LAG areas will be more visible local enterprise, </w:t>
            </w:r>
            <w:r w:rsidRPr="00A66F03">
              <w:rPr>
                <w:rFonts w:ascii="Times New Roman" w:eastAsia="Arial" w:hAnsi="Times New Roman" w:cs="Times New Roman"/>
                <w:lang w:val="en-GB"/>
              </w:rPr>
              <w:t xml:space="preserve">the innovative use of local resources, (eco)tourism, and the preservation of natural diversity and cultural heritage. </w:t>
            </w:r>
          </w:p>
          <w:p w14:paraId="0DB65CCA" w14:textId="77777777" w:rsidR="00605AA0" w:rsidRPr="00A66F03" w:rsidRDefault="00605AA0" w:rsidP="00B72629">
            <w:pPr>
              <w:autoSpaceDE w:val="0"/>
              <w:autoSpaceDN w:val="0"/>
              <w:adjustRightInd w:val="0"/>
              <w:spacing w:after="0" w:line="276" w:lineRule="auto"/>
              <w:jc w:val="both"/>
              <w:rPr>
                <w:rFonts w:ascii="Times New Roman" w:hAnsi="Times New Roman" w:cs="Times New Roman"/>
                <w:color w:val="000000"/>
                <w:lang w:val="en-GB"/>
              </w:rPr>
            </w:pPr>
          </w:p>
          <w:p w14:paraId="2812775E" w14:textId="77777777" w:rsidR="00204FFC" w:rsidRPr="00A66F03" w:rsidRDefault="00976636" w:rsidP="00B72629">
            <w:pPr>
              <w:autoSpaceDE w:val="0"/>
              <w:autoSpaceDN w:val="0"/>
              <w:adjustRightInd w:val="0"/>
              <w:spacing w:after="0" w:line="276" w:lineRule="auto"/>
              <w:jc w:val="both"/>
              <w:rPr>
                <w:rFonts w:ascii="Times New Roman" w:hAnsi="Times New Roman" w:cs="Times New Roman"/>
                <w:lang w:val="en-GB"/>
              </w:rPr>
            </w:pPr>
            <w:r w:rsidRPr="00A66F03">
              <w:rPr>
                <w:rFonts w:ascii="Times New Roman" w:hAnsi="Times New Roman" w:cs="Times New Roman"/>
                <w:color w:val="000000"/>
                <w:lang w:val="en-GB"/>
              </w:rPr>
              <w:t>EMFAF CLLD projects will be implemented autonomously throughout the country and will address job retention, the development of fisheries</w:t>
            </w:r>
            <w:r w:rsidRPr="00A66F03">
              <w:rPr>
                <w:rFonts w:ascii="Times New Roman" w:hAnsi="Times New Roman" w:cs="Times New Roman"/>
                <w:color w:val="000000"/>
                <w:lang w:val="en-GB"/>
              </w:rPr>
              <w:t xml:space="preserve"> and aquaculture areas, diversification, and other important topics related to economic, environmental and social aspects. CLLD projects will enable areas to diversify (including into other sectors of the blue economy, e.g. in the coastal area), with due r</w:t>
            </w:r>
            <w:r w:rsidRPr="00A66F03">
              <w:rPr>
                <w:rFonts w:ascii="Times New Roman" w:hAnsi="Times New Roman" w:cs="Times New Roman"/>
                <w:color w:val="000000"/>
                <w:lang w:val="en-GB"/>
              </w:rPr>
              <w:t xml:space="preserve">egard to the provisions of the Smart Specialisation Strategy and the EU’s ‘Restore Our Ocean and Waters’ mission. </w:t>
            </w:r>
            <w:r w:rsidRPr="00A66F03">
              <w:rPr>
                <w:rFonts w:ascii="Times New Roman" w:hAnsi="Times New Roman" w:cs="Times New Roman"/>
                <w:lang w:val="en-GB"/>
              </w:rPr>
              <w:br w:type="page"/>
              <w:t>When preparing Local Development Strategies (LDSs), Fisheries Local Action Groups (FLAGs) are focused on complying with the objectives and or</w:t>
            </w:r>
            <w:r w:rsidRPr="00A66F03">
              <w:rPr>
                <w:rFonts w:ascii="Times New Roman" w:hAnsi="Times New Roman" w:cs="Times New Roman"/>
                <w:lang w:val="en-GB"/>
              </w:rPr>
              <w:t xml:space="preserve">ientations of the Farm to Fork Strategy, the Biodiversity </w:t>
            </w:r>
            <w:r w:rsidRPr="00A66F03">
              <w:rPr>
                <w:rFonts w:ascii="Times New Roman" w:hAnsi="Times New Roman" w:cs="Times New Roman"/>
                <w:lang w:val="en-GB"/>
              </w:rPr>
              <w:lastRenderedPageBreak/>
              <w:t xml:space="preserve">Strategy, the Strategic Guidelines for the Development of Aquaculture 2021–2030, the </w:t>
            </w:r>
            <w:r w:rsidRPr="00A66F03">
              <w:rPr>
                <w:rFonts w:ascii="Times New Roman" w:hAnsi="Times New Roman" w:cs="Times New Roman"/>
                <w:color w:val="000000"/>
                <w:lang w:val="en-GB"/>
              </w:rPr>
              <w:t>Circular Economy Action Plan and other strategic documents issued by the Commission. LDSs</w:t>
            </w:r>
            <w:r w:rsidRPr="00A66F03">
              <w:rPr>
                <w:rFonts w:ascii="Times New Roman" w:hAnsi="Times New Roman" w:cs="Times New Roman"/>
                <w:lang w:val="en-GB"/>
              </w:rPr>
              <w:t xml:space="preserve"> will be developed on a </w:t>
            </w:r>
            <w:r w:rsidRPr="00A66F03">
              <w:rPr>
                <w:rFonts w:ascii="Times New Roman" w:hAnsi="Times New Roman" w:cs="Times New Roman"/>
                <w:lang w:val="en-GB"/>
              </w:rPr>
              <w:t xml:space="preserve">bottom-up basis, in line with the needs of the selected area. The key challenge will be to enable the area to develop sustainably; in the Slovenian coastal area, this means involving emerging blue economy sectors. </w:t>
            </w:r>
          </w:p>
          <w:p w14:paraId="677A1DA6" w14:textId="77777777" w:rsidR="00FE4582" w:rsidRPr="00A66F03" w:rsidRDefault="00FE4582" w:rsidP="00FE4582">
            <w:pPr>
              <w:autoSpaceDE w:val="0"/>
              <w:autoSpaceDN w:val="0"/>
              <w:adjustRightInd w:val="0"/>
              <w:spacing w:after="0" w:line="276" w:lineRule="auto"/>
              <w:jc w:val="both"/>
              <w:rPr>
                <w:rFonts w:ascii="Times New Roman" w:hAnsi="Times New Roman" w:cs="Times New Roman"/>
                <w:lang w:val="en-GB"/>
              </w:rPr>
            </w:pPr>
          </w:p>
          <w:p w14:paraId="52D0549A" w14:textId="77777777" w:rsidR="00FE4582" w:rsidRPr="00A66F03" w:rsidRDefault="00976636" w:rsidP="00FE4582">
            <w:pPr>
              <w:autoSpaceDE w:val="0"/>
              <w:autoSpaceDN w:val="0"/>
              <w:adjustRightInd w:val="0"/>
              <w:spacing w:after="0" w:line="276" w:lineRule="auto"/>
              <w:jc w:val="both"/>
              <w:rPr>
                <w:rFonts w:ascii="Times New Roman" w:hAnsi="Times New Roman" w:cs="Times New Roman"/>
                <w:lang w:val="en-GB"/>
              </w:rPr>
            </w:pPr>
            <w:r w:rsidRPr="00A66F03">
              <w:rPr>
                <w:rFonts w:ascii="Times New Roman" w:hAnsi="Times New Roman" w:cs="Times New Roman"/>
                <w:lang w:val="en-GB"/>
              </w:rPr>
              <w:t xml:space="preserve">Within the framework of the relevant </w:t>
            </w:r>
            <w:r w:rsidRPr="00A66F03">
              <w:rPr>
                <w:rFonts w:ascii="Times New Roman" w:hAnsi="Times New Roman" w:cs="Times New Roman"/>
                <w:lang w:val="en-GB"/>
              </w:rPr>
              <w:t>specific objectives/measures, the use of financial instruments is envisaged insofar as the results of the analysis of the preliminary assessments of market needs and the funding gaps on the market for the implementation of financial instruments in the 2021</w:t>
            </w:r>
            <w:r w:rsidRPr="00A66F03">
              <w:rPr>
                <w:rFonts w:ascii="Times New Roman" w:hAnsi="Times New Roman" w:cs="Times New Roman"/>
                <w:lang w:val="en-GB"/>
              </w:rPr>
              <w:t>–2027 programming period demonstrate the need to use financial instruments.</w:t>
            </w:r>
          </w:p>
          <w:p w14:paraId="1D4A75FC" w14:textId="77777777" w:rsidR="00775460" w:rsidRPr="00A66F03" w:rsidRDefault="00775460" w:rsidP="00B72629">
            <w:pPr>
              <w:autoSpaceDE w:val="0"/>
              <w:autoSpaceDN w:val="0"/>
              <w:adjustRightInd w:val="0"/>
              <w:spacing w:after="0" w:line="276" w:lineRule="auto"/>
              <w:jc w:val="both"/>
              <w:rPr>
                <w:rFonts w:ascii="Times New Roman" w:hAnsi="Times New Roman" w:cs="Times New Roman"/>
                <w:color w:val="000000"/>
                <w:lang w:val="en-GB"/>
              </w:rPr>
            </w:pPr>
          </w:p>
          <w:p w14:paraId="4C9CF673" w14:textId="77777777" w:rsidR="002D4358" w:rsidRPr="00A66F03" w:rsidRDefault="00976636" w:rsidP="00E93C4A">
            <w:pPr>
              <w:pStyle w:val="Naslov2"/>
              <w:rPr>
                <w:lang w:val="en-GB"/>
              </w:rPr>
            </w:pPr>
            <w:bookmarkStart w:id="19" w:name="_Toc77594000"/>
            <w:bookmarkStart w:id="20" w:name="_Toc86310926"/>
            <w:bookmarkStart w:id="21" w:name="_Toc115336013"/>
            <w:r w:rsidRPr="00A66F03">
              <w:rPr>
                <w:lang w:val="en-GB"/>
              </w:rPr>
              <w:t>JTF-specific objective: Europe for a Just Transition</w:t>
            </w:r>
            <w:bookmarkEnd w:id="19"/>
            <w:bookmarkEnd w:id="20"/>
            <w:bookmarkEnd w:id="21"/>
          </w:p>
          <w:p w14:paraId="3CA77291" w14:textId="77777777" w:rsidR="002D4358" w:rsidRPr="00A66F03" w:rsidRDefault="002D4358" w:rsidP="00B72629">
            <w:pPr>
              <w:keepNext/>
              <w:keepLines/>
              <w:spacing w:after="0" w:line="276" w:lineRule="auto"/>
              <w:outlineLvl w:val="2"/>
              <w:rPr>
                <w:rFonts w:ascii="Times New Roman" w:eastAsiaTheme="majorEastAsia" w:hAnsi="Times New Roman" w:cs="Times New Roman"/>
                <w:lang w:val="en-GB"/>
              </w:rPr>
            </w:pPr>
          </w:p>
          <w:p w14:paraId="7EE307E1" w14:textId="77777777" w:rsidR="00D92D4F" w:rsidRPr="00A66F03" w:rsidRDefault="00976636" w:rsidP="006E241D">
            <w:pPr>
              <w:spacing w:line="276" w:lineRule="auto"/>
              <w:jc w:val="both"/>
              <w:rPr>
                <w:rFonts w:ascii="Times New Roman" w:hAnsi="Times New Roman" w:cs="Times New Roman"/>
                <w:lang w:val="en-GB"/>
              </w:rPr>
            </w:pPr>
            <w:bookmarkStart w:id="22" w:name="_Toc86310927"/>
            <w:bookmarkStart w:id="23" w:name="_Toc107401644"/>
            <w:r w:rsidRPr="00A66F03">
              <w:rPr>
                <w:rFonts w:ascii="Times New Roman" w:hAnsi="Times New Roman" w:cs="Times New Roman"/>
                <w:lang w:val="en-GB"/>
              </w:rPr>
              <w:t>The final territorial and thematic scope of JTF support will be defined after the territorial Just Transition plans, which ar</w:t>
            </w:r>
            <w:r w:rsidRPr="00A66F03">
              <w:rPr>
                <w:rFonts w:ascii="Times New Roman" w:hAnsi="Times New Roman" w:cs="Times New Roman"/>
                <w:lang w:val="en-GB"/>
              </w:rPr>
              <w:t>e part of or complement the programme, have been assessed and approved. The territorial plans will outline a clear transition process at national level, including a timeline for the implementation of the key steps towards achieving the 2030 climate and ene</w:t>
            </w:r>
            <w:r w:rsidRPr="00A66F03">
              <w:rPr>
                <w:rFonts w:ascii="Times New Roman" w:hAnsi="Times New Roman" w:cs="Times New Roman"/>
                <w:lang w:val="en-GB"/>
              </w:rPr>
              <w:t xml:space="preserve">rgy targets and the objective of climate neutrality by 2050. Slovenia will thereby contribute to the implementation of the commitments stemming from the Regulation </w:t>
            </w:r>
            <w:r w:rsidRPr="00A66F03">
              <w:rPr>
                <w:rFonts w:ascii="Times New Roman" w:hAnsi="Times New Roman" w:cs="Times New Roman"/>
                <w:color w:val="333333"/>
                <w:lang w:val="en-GB"/>
              </w:rPr>
              <w:t>establishing the framework for achieving climate neutrality (adopted on 9 July 2021),</w:t>
            </w:r>
            <w:r w:rsidRPr="00A66F03">
              <w:rPr>
                <w:rFonts w:ascii="Times New Roman" w:hAnsi="Times New Roman" w:cs="Times New Roman"/>
                <w:lang w:val="en-GB"/>
              </w:rPr>
              <w:t xml:space="preserve"> with i</w:t>
            </w:r>
            <w:r w:rsidRPr="00A66F03">
              <w:rPr>
                <w:rFonts w:ascii="Times New Roman" w:hAnsi="Times New Roman" w:cs="Times New Roman"/>
                <w:lang w:val="en-GB"/>
              </w:rPr>
              <w:t>mpacts in selected areas visible by 2030 at the latest. The territorial plans must also demonstrate that, on the basis of economic and social impacts, the selected areas are the ones most negatively affected by the transition process, and clearly explain t</w:t>
            </w:r>
            <w:r w:rsidRPr="00A66F03">
              <w:rPr>
                <w:rFonts w:ascii="Times New Roman" w:hAnsi="Times New Roman" w:cs="Times New Roman"/>
                <w:lang w:val="en-GB"/>
              </w:rPr>
              <w:t>he expected effects of the planned measures.</w:t>
            </w:r>
            <w:bookmarkEnd w:id="22"/>
            <w:bookmarkEnd w:id="23"/>
          </w:p>
          <w:p w14:paraId="66B22F75" w14:textId="77777777" w:rsidR="00272529" w:rsidRPr="00A66F03" w:rsidRDefault="00976636" w:rsidP="006E241D">
            <w:pPr>
              <w:spacing w:line="276" w:lineRule="auto"/>
              <w:jc w:val="both"/>
              <w:rPr>
                <w:rFonts w:ascii="Times New Roman" w:hAnsi="Times New Roman" w:cs="Times New Roman"/>
                <w:lang w:val="en-GB"/>
              </w:rPr>
            </w:pPr>
            <w:r w:rsidRPr="00A66F03">
              <w:rPr>
                <w:rFonts w:ascii="Times New Roman" w:hAnsi="Times New Roman" w:cs="Times New Roman"/>
                <w:lang w:val="en-GB"/>
              </w:rPr>
              <w:t xml:space="preserve">The transition to a climate-neutral and circular economy is one of the most important policy objectives of the European Union, and is expected to have wider negative social and economic impacts in areas heavily </w:t>
            </w:r>
            <w:r w:rsidRPr="00A66F03">
              <w:rPr>
                <w:rFonts w:ascii="Times New Roman" w:hAnsi="Times New Roman" w:cs="Times New Roman"/>
                <w:lang w:val="en-GB"/>
              </w:rPr>
              <w:t>dependent on fossil fuels and on industries in which greenhouse gas intensity is highest. The European Commission has drawn up the Investment Guidelines for the Just Transition Fund 2021–2027 in Annex D to the Country Report – Slovenia 2020. Under these gu</w:t>
            </w:r>
            <w:r w:rsidRPr="00A66F03">
              <w:rPr>
                <w:rFonts w:ascii="Times New Roman" w:hAnsi="Times New Roman" w:cs="Times New Roman"/>
                <w:lang w:val="en-GB"/>
              </w:rPr>
              <w:t>idelines, which define two areas dependent on fossil fuels, namely Zasavska and Savinjsko-Šaleška, Slovenia is allocating Just Transition funds to these two territories and not to areas that are heavily dependent on industries in which greenhouse gas inten</w:t>
            </w:r>
            <w:r w:rsidRPr="00A66F03">
              <w:rPr>
                <w:rFonts w:ascii="Times New Roman" w:hAnsi="Times New Roman" w:cs="Times New Roman"/>
                <w:lang w:val="en-GB"/>
              </w:rPr>
              <w:t>sity is highest. Among the key actions under the JTF for the Zasavska region, Annex D identifies investments in the regeneration and decontamination of buildings, land remediation and repurposing projects, and investments in strengthening the circular econ</w:t>
            </w:r>
            <w:r w:rsidRPr="00A66F03">
              <w:rPr>
                <w:rFonts w:ascii="Times New Roman" w:hAnsi="Times New Roman" w:cs="Times New Roman"/>
                <w:lang w:val="en-GB"/>
              </w:rPr>
              <w:t>omy. For the Savinjsko-Šaleška region, the key actions under the JTF include productive investments in SMEs, including start-ups, to diversify and redirect economic activity, investments in research and innovation, projects to enhance the transfer of advan</w:t>
            </w:r>
            <w:r w:rsidRPr="00A66F03">
              <w:rPr>
                <w:rFonts w:ascii="Times New Roman" w:hAnsi="Times New Roman" w:cs="Times New Roman"/>
                <w:lang w:val="en-GB"/>
              </w:rPr>
              <w:t xml:space="preserve">ced technologies in line with the Smart Specialisation Strategy, investments in digitalisation, and the active inclusion of the unemployed. </w:t>
            </w:r>
          </w:p>
          <w:p w14:paraId="5CD38AEC" w14:textId="77777777" w:rsidR="001D1A48" w:rsidRPr="00A66F03" w:rsidRDefault="00976636" w:rsidP="006E241D">
            <w:pPr>
              <w:spacing w:line="276" w:lineRule="auto"/>
              <w:jc w:val="both"/>
              <w:rPr>
                <w:rFonts w:ascii="Times New Roman" w:hAnsi="Times New Roman" w:cs="Times New Roman"/>
                <w:lang w:val="en-GB"/>
              </w:rPr>
            </w:pPr>
            <w:r w:rsidRPr="00A66F03">
              <w:rPr>
                <w:rFonts w:ascii="Times New Roman" w:hAnsi="Times New Roman" w:cs="Times New Roman"/>
                <w:lang w:val="en-GB"/>
              </w:rPr>
              <w:t>Some restructuring activities have already been carried out, namely the preparation of the National Strategy for th</w:t>
            </w:r>
            <w:r w:rsidRPr="00A66F03">
              <w:rPr>
                <w:rFonts w:ascii="Times New Roman" w:hAnsi="Times New Roman" w:cs="Times New Roman"/>
                <w:lang w:val="en-GB"/>
              </w:rPr>
              <w:t>e Phasing-Out of Coal and the Restructuring of Coal Regions in Accordance with the Principles of a Just Transition, which set 2033 as the year of the country’s final exit from coal, and the preparation of action plans for the phasing-out of coal in the Slo</w:t>
            </w:r>
            <w:r w:rsidRPr="00A66F03">
              <w:rPr>
                <w:rFonts w:ascii="Times New Roman" w:hAnsi="Times New Roman" w:cs="Times New Roman"/>
                <w:lang w:val="en-GB"/>
              </w:rPr>
              <w:t>venian coal regions (Savinjsko-Šaleška and Zasavska). In parallel with the national strategy, which sets 2033 as the year of the country’s final exit from coal, a comprehensive environmental impact assessment has been successfully completed. Relevant actor</w:t>
            </w:r>
            <w:r w:rsidRPr="00A66F03">
              <w:rPr>
                <w:rFonts w:ascii="Times New Roman" w:hAnsi="Times New Roman" w:cs="Times New Roman"/>
                <w:lang w:val="en-GB"/>
              </w:rPr>
              <w:t>s at national, regional and local level have been involved in the drafting of the documents, including the Slovenian government’s Working Group on the Restructuring of Coal Regions (state secretary level) and the Operational Working Group on the Preparatio</w:t>
            </w:r>
            <w:r w:rsidRPr="00A66F03">
              <w:rPr>
                <w:rFonts w:ascii="Times New Roman" w:hAnsi="Times New Roman" w:cs="Times New Roman"/>
                <w:lang w:val="en-GB"/>
              </w:rPr>
              <w:t xml:space="preserve">n of Measures for the </w:t>
            </w:r>
            <w:r w:rsidRPr="00A66F03">
              <w:rPr>
                <w:rFonts w:ascii="Times New Roman" w:hAnsi="Times New Roman" w:cs="Times New Roman"/>
                <w:lang w:val="en-GB"/>
              </w:rPr>
              <w:lastRenderedPageBreak/>
              <w:t xml:space="preserve">Restructuring of Coal Regions. Representatives of coal regions participate in the Platform for Coal Regions at EU level. </w:t>
            </w:r>
          </w:p>
          <w:p w14:paraId="3A855D65" w14:textId="77777777" w:rsidR="002D4358" w:rsidRPr="00A66F03" w:rsidRDefault="00976636" w:rsidP="006E241D">
            <w:pPr>
              <w:spacing w:line="276" w:lineRule="auto"/>
              <w:jc w:val="both"/>
              <w:rPr>
                <w:rFonts w:ascii="Times New Roman" w:hAnsi="Times New Roman" w:cs="Times New Roman"/>
                <w:lang w:val="en-GB"/>
              </w:rPr>
            </w:pPr>
            <w:r w:rsidRPr="00A66F03">
              <w:rPr>
                <w:rFonts w:ascii="Times New Roman" w:hAnsi="Times New Roman" w:cs="Times New Roman"/>
                <w:lang w:val="en-GB"/>
              </w:rPr>
              <w:t>Territorial Just Transition plans for the Savinjsko-Šaleška and Zasavska regions are being drafted as part of th</w:t>
            </w:r>
            <w:r w:rsidRPr="00A66F03">
              <w:rPr>
                <w:rFonts w:ascii="Times New Roman" w:hAnsi="Times New Roman" w:cs="Times New Roman"/>
                <w:lang w:val="en-GB"/>
              </w:rPr>
              <w:t xml:space="preserve">e preparation of the Programme for the Implementation of European Cohesion Policy in Slovenia 2021–2027, and with due regard to the provisions of the Strategy and the two Action Plans, which provide a qualitative basis. They will also contain descriptions </w:t>
            </w:r>
            <w:r w:rsidRPr="00A66F03">
              <w:rPr>
                <w:rFonts w:ascii="Times New Roman" w:hAnsi="Times New Roman" w:cs="Times New Roman"/>
                <w:lang w:val="en-GB"/>
              </w:rPr>
              <w:t>of the type of operations envisaged and the contribution they are expected to make to alleviating the impact of the transition, in line with the requirements of the Regulation of the European Parliament and of the Council establishing the Just Transition F</w:t>
            </w:r>
            <w:r w:rsidRPr="00A66F03">
              <w:rPr>
                <w:rFonts w:ascii="Times New Roman" w:hAnsi="Times New Roman" w:cs="Times New Roman"/>
                <w:lang w:val="en-GB"/>
              </w:rPr>
              <w:t>und. For the Savinjsko-Šaleška region, the actions will aim to deliver results under the following strategic objectives: employment and skills for all, sustainable, flexible and diversified economic development, regional connectivity and sustainable mobili</w:t>
            </w:r>
            <w:r w:rsidRPr="00A66F03">
              <w:rPr>
                <w:rFonts w:ascii="Times New Roman" w:hAnsi="Times New Roman" w:cs="Times New Roman"/>
                <w:lang w:val="en-GB"/>
              </w:rPr>
              <w:t>ty, the gradual rehabilitation and revitalisation of spatially and environmentally degraded areas, and a just energy transition for the region. For the Zasavska Coal Region, the actions will support the achievement of the results of the following strategic</w:t>
            </w:r>
            <w:r w:rsidRPr="00A66F03">
              <w:rPr>
                <w:rFonts w:ascii="Times New Roman" w:hAnsi="Times New Roman" w:cs="Times New Roman"/>
                <w:lang w:val="en-GB"/>
              </w:rPr>
              <w:t xml:space="preserve"> objectives: a diverse and resilient local economy, highly motivated and skilled people, improvements to transport connectivity, and the decarbonisation of the region.</w:t>
            </w:r>
          </w:p>
          <w:p w14:paraId="295CC77B" w14:textId="77777777" w:rsidR="00A76FF9" w:rsidRPr="00A66F03" w:rsidRDefault="00976636" w:rsidP="006E241D">
            <w:pPr>
              <w:spacing w:line="276" w:lineRule="auto"/>
              <w:jc w:val="both"/>
              <w:rPr>
                <w:rFonts w:eastAsia="Times New Roman"/>
                <w:lang w:val="en-GB"/>
              </w:rPr>
            </w:pPr>
            <w:r w:rsidRPr="00A66F03">
              <w:rPr>
                <w:rFonts w:ascii="Times New Roman" w:hAnsi="Times New Roman" w:cs="Times New Roman"/>
                <w:lang w:val="en-GB"/>
              </w:rPr>
              <w:t>The Just Transition Fund is the first of the three pillars of the Just Transition Mechan</w:t>
            </w:r>
            <w:r w:rsidRPr="00A66F03">
              <w:rPr>
                <w:rFonts w:ascii="Times New Roman" w:hAnsi="Times New Roman" w:cs="Times New Roman"/>
                <w:lang w:val="en-GB"/>
              </w:rPr>
              <w:t xml:space="preserve">ism. The resources of the other two pillars, the dedicated Just Transition Scheme under InvestEU and the EIB’s Public Sector Loan Facility, provide complementary grants for investments that contribute to the fulfilment of the development needs and targets </w:t>
            </w:r>
            <w:r w:rsidRPr="00A66F03">
              <w:rPr>
                <w:rFonts w:ascii="Times New Roman" w:hAnsi="Times New Roman" w:cs="Times New Roman"/>
                <w:lang w:val="en-GB"/>
              </w:rPr>
              <w:t>for 2030, as reflected in the approved territorial Just Transition plans.</w:t>
            </w:r>
          </w:p>
        </w:tc>
      </w:tr>
    </w:tbl>
    <w:p w14:paraId="091FCDD1" w14:textId="77777777" w:rsidR="00F56C41" w:rsidRPr="00A66F03" w:rsidRDefault="00F56C41" w:rsidP="00B72629">
      <w:pPr>
        <w:shd w:val="clear" w:color="auto" w:fill="FFFFFF"/>
        <w:spacing w:after="0" w:line="276" w:lineRule="auto"/>
        <w:jc w:val="both"/>
        <w:rPr>
          <w:rFonts w:ascii="Times New Roman" w:eastAsia="Times New Roman" w:hAnsi="Times New Roman" w:cs="Times New Roman"/>
          <w:color w:val="444444"/>
          <w:sz w:val="27"/>
          <w:szCs w:val="27"/>
          <w:lang w:val="en-GB"/>
        </w:rPr>
      </w:pPr>
    </w:p>
    <w:p w14:paraId="24277C88" w14:textId="77777777" w:rsidR="00A76FF9" w:rsidRPr="00A66F03" w:rsidRDefault="00976636" w:rsidP="00B72629">
      <w:pPr>
        <w:pStyle w:val="Naslov2"/>
        <w:spacing w:before="0" w:line="276" w:lineRule="auto"/>
        <w:rPr>
          <w:rFonts w:eastAsia="Times New Roman" w:cs="Times New Roman"/>
          <w:lang w:val="en-GB"/>
        </w:rPr>
      </w:pPr>
      <w:bookmarkStart w:id="24" w:name="_Toc115336014"/>
      <w:r w:rsidRPr="00A66F03">
        <w:rPr>
          <w:rFonts w:eastAsia="Times New Roman" w:cs="Times New Roman"/>
          <w:lang w:val="en-GB"/>
        </w:rPr>
        <w:t>2.1 Coordination, demarcation and complementarities between the Funds and, where appropriate, coordination between national and regional programmes</w:t>
      </w:r>
      <w:bookmarkEnd w:id="24"/>
      <w:r w:rsidRPr="00A66F03">
        <w:rPr>
          <w:rFonts w:eastAsia="Times New Roman" w:cs="Times New Roman"/>
          <w:lang w:val="en-GB"/>
        </w:rPr>
        <w:t xml:space="preserve"> </w:t>
      </w:r>
    </w:p>
    <w:p w14:paraId="19E12A53" w14:textId="77777777" w:rsidR="00901714" w:rsidRPr="00A66F03" w:rsidRDefault="00901714" w:rsidP="00B72629">
      <w:pPr>
        <w:keepNext/>
        <w:keepLines/>
        <w:spacing w:after="0" w:line="276" w:lineRule="auto"/>
        <w:jc w:val="both"/>
        <w:outlineLvl w:val="2"/>
        <w:rPr>
          <w:rFonts w:ascii="Times New Roman" w:eastAsia="Times New Roman" w:hAnsi="Times New Roman" w:cs="Times New Roman"/>
          <w:b/>
          <w:bCs/>
          <w:color w:val="5B9BD5" w:themeColor="accent1"/>
          <w:sz w:val="27"/>
          <w:szCs w:val="27"/>
          <w:lang w:val="en-GB"/>
        </w:rPr>
      </w:pPr>
    </w:p>
    <w:tbl>
      <w:tblPr>
        <w:tblW w:w="5000" w:type="pct"/>
        <w:tblBorders>
          <w:top w:val="outset" w:sz="6" w:space="0" w:color="auto"/>
          <w:left w:val="outset" w:sz="6" w:space="0" w:color="auto"/>
          <w:bottom w:val="outset" w:sz="6" w:space="0" w:color="auto"/>
          <w:right w:val="outset" w:sz="6" w:space="0" w:color="auto"/>
        </w:tblBorders>
        <w:tblCellMar>
          <w:top w:w="150" w:type="dxa"/>
          <w:left w:w="150" w:type="dxa"/>
          <w:bottom w:w="150" w:type="dxa"/>
          <w:right w:w="150" w:type="dxa"/>
        </w:tblCellMar>
        <w:tblLook w:val="04A0" w:firstRow="1" w:lastRow="0" w:firstColumn="1" w:lastColumn="0" w:noHBand="0" w:noVBand="1"/>
      </w:tblPr>
      <w:tblGrid>
        <w:gridCol w:w="9072"/>
      </w:tblGrid>
      <w:tr w:rsidR="00143DBE" w:rsidRPr="00A66F03" w14:paraId="7E1F0841" w14:textId="77777777" w:rsidTr="00901714">
        <w:tc>
          <w:tcPr>
            <w:tcW w:w="0" w:type="auto"/>
            <w:tcBorders>
              <w:top w:val="nil"/>
              <w:left w:val="nil"/>
              <w:bottom w:val="nil"/>
              <w:right w:val="nil"/>
            </w:tcBorders>
            <w:shd w:val="clear" w:color="auto" w:fill="auto"/>
            <w:tcMar>
              <w:top w:w="0" w:type="dxa"/>
              <w:left w:w="0" w:type="dxa"/>
              <w:bottom w:w="0" w:type="dxa"/>
              <w:right w:w="0" w:type="dxa"/>
            </w:tcMar>
            <w:vAlign w:val="center"/>
            <w:hideMark/>
          </w:tcPr>
          <w:p w14:paraId="6E217F7A" w14:textId="77777777" w:rsidR="002D4358" w:rsidRPr="00A66F03" w:rsidRDefault="00976636" w:rsidP="00B72629">
            <w:pPr>
              <w:spacing w:after="0" w:line="276" w:lineRule="auto"/>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t>In relation to the implementation of the Partnership Agreement in Slovenia, there will be coordination, demarcation and complementarity between the ERDF, ESF+, CF, JTF and EMFAF, as well as coordination between national programmes:</w:t>
            </w:r>
          </w:p>
          <w:p w14:paraId="1624568C" w14:textId="77777777" w:rsidR="002D4358" w:rsidRPr="00A66F03" w:rsidRDefault="00976636" w:rsidP="00B72629">
            <w:pPr>
              <w:numPr>
                <w:ilvl w:val="0"/>
                <w:numId w:val="2"/>
              </w:numPr>
              <w:spacing w:after="0" w:line="276" w:lineRule="auto"/>
              <w:jc w:val="both"/>
              <w:rPr>
                <w:rFonts w:ascii="Times New Roman" w:eastAsia="Times New Roman" w:hAnsi="Times New Roman" w:cs="Times New Roman"/>
                <w:lang w:val="en-GB"/>
              </w:rPr>
            </w:pPr>
            <w:r w:rsidRPr="00A66F03">
              <w:rPr>
                <w:rFonts w:ascii="Times New Roman" w:hAnsi="Times New Roman" w:cs="Times New Roman"/>
                <w:lang w:val="en-GB"/>
              </w:rPr>
              <w:t xml:space="preserve">ECP 2021–2027 programme </w:t>
            </w:r>
            <w:r w:rsidRPr="00A66F03">
              <w:rPr>
                <w:rFonts w:ascii="Times New Roman" w:hAnsi="Times New Roman" w:cs="Times New Roman"/>
                <w:lang w:val="en-GB"/>
              </w:rPr>
              <w:t>(source: ERDF, ESF+, CF, JTF);</w:t>
            </w:r>
          </w:p>
          <w:p w14:paraId="0B18E9A4" w14:textId="77777777" w:rsidR="002D4358" w:rsidRPr="00A66F03" w:rsidRDefault="00976636" w:rsidP="00B72629">
            <w:pPr>
              <w:numPr>
                <w:ilvl w:val="0"/>
                <w:numId w:val="2"/>
              </w:numPr>
              <w:spacing w:after="0" w:line="276" w:lineRule="auto"/>
              <w:jc w:val="both"/>
              <w:rPr>
                <w:rFonts w:ascii="Times New Roman" w:eastAsia="Times New Roman" w:hAnsi="Times New Roman" w:cs="Times New Roman"/>
                <w:lang w:val="en-GB"/>
              </w:rPr>
            </w:pPr>
            <w:r w:rsidRPr="00A66F03">
              <w:rPr>
                <w:rFonts w:ascii="Times New Roman" w:hAnsi="Times New Roman" w:cs="Times New Roman"/>
                <w:lang w:val="en-GB"/>
              </w:rPr>
              <w:t>Programme to Eliminate Material Deprivation in Slovenia 2021–2027 (source: ESF+) and</w:t>
            </w:r>
          </w:p>
          <w:p w14:paraId="55C7F592" w14:textId="77777777" w:rsidR="002D4358" w:rsidRPr="00A66F03" w:rsidRDefault="00976636" w:rsidP="00B72629">
            <w:pPr>
              <w:numPr>
                <w:ilvl w:val="0"/>
                <w:numId w:val="2"/>
              </w:numPr>
              <w:spacing w:after="0" w:line="276" w:lineRule="auto"/>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t>Maritime and Fisheries and Aquaculture Programme (source: EMFAF)</w:t>
            </w:r>
          </w:p>
          <w:p w14:paraId="7324B655" w14:textId="77777777" w:rsidR="002D4358" w:rsidRPr="00A66F03" w:rsidRDefault="00976636" w:rsidP="00B72629">
            <w:pPr>
              <w:spacing w:after="0" w:line="276" w:lineRule="auto"/>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t>This will be based on a centralised approach provided by the Government Off</w:t>
            </w:r>
            <w:r w:rsidRPr="00A66F03">
              <w:rPr>
                <w:rFonts w:ascii="Times New Roman" w:eastAsia="Times New Roman" w:hAnsi="Times New Roman" w:cs="Times New Roman"/>
                <w:lang w:val="en-GB"/>
              </w:rPr>
              <w:t xml:space="preserve">ice for Development and European Cohesion Policy (SVRK). </w:t>
            </w:r>
          </w:p>
          <w:p w14:paraId="6273C1FA" w14:textId="77777777" w:rsidR="004942FD" w:rsidRPr="00A66F03" w:rsidRDefault="004942FD" w:rsidP="00B72629">
            <w:pPr>
              <w:spacing w:after="0" w:line="276" w:lineRule="auto"/>
              <w:jc w:val="both"/>
              <w:rPr>
                <w:rFonts w:ascii="Times New Roman" w:eastAsia="Times New Roman" w:hAnsi="Times New Roman" w:cs="Times New Roman"/>
                <w:lang w:val="en-GB"/>
              </w:rPr>
            </w:pPr>
          </w:p>
          <w:p w14:paraId="0DE591A1" w14:textId="77777777" w:rsidR="00B129FA" w:rsidRPr="00A66F03" w:rsidRDefault="00976636" w:rsidP="00B72629">
            <w:pPr>
              <w:spacing w:after="0" w:line="276" w:lineRule="auto"/>
              <w:jc w:val="both"/>
              <w:rPr>
                <w:rFonts w:ascii="Times New Roman" w:eastAsia="Times New Roman" w:hAnsi="Times New Roman" w:cs="Times New Roman"/>
                <w:lang w:val="en-GB"/>
              </w:rPr>
            </w:pPr>
            <w:r w:rsidRPr="00A66F03">
              <w:rPr>
                <w:rFonts w:ascii="Times New Roman" w:hAnsi="Times New Roman" w:cs="Times New Roman"/>
                <w:lang w:val="en-GB"/>
              </w:rPr>
              <w:t xml:space="preserve">The SVRK is the managing authority of the ECP 2021–2027 programme, which will be financed by the Structural Funds and the Cohesion Fund with the aim of achieving the Objective for Growth and Jobs. </w:t>
            </w:r>
            <w:r w:rsidRPr="00A66F03">
              <w:rPr>
                <w:rFonts w:ascii="Times New Roman" w:hAnsi="Times New Roman" w:cs="Times New Roman"/>
                <w:lang w:val="en-GB"/>
              </w:rPr>
              <w:t>The SVRK is also the managing authority for three European Territorial Cooperation (ETC) programmes (SI-AT, SI-HU, SI-HR), the national authority for 11 ETC programmes and the national coordinator of all 13 ETC programmes in which Slovenia participates — f</w:t>
            </w:r>
            <w:r w:rsidRPr="00A66F03">
              <w:rPr>
                <w:rFonts w:ascii="Times New Roman" w:hAnsi="Times New Roman" w:cs="Times New Roman"/>
                <w:lang w:val="en-GB"/>
              </w:rPr>
              <w:t>our cross-border (SI-AT, SI-HU, SI-HR and IT-SI), five transnational (Alps, Central Europe, Danube, IPA ADRION, Euro-MED) and four inter-regional (Interreg Europe, Interact, ESPON, URBACT). National coordination in cross-border programmes takes place throu</w:t>
            </w:r>
            <w:r w:rsidRPr="00A66F03">
              <w:rPr>
                <w:rFonts w:ascii="Times New Roman" w:hAnsi="Times New Roman" w:cs="Times New Roman"/>
                <w:lang w:val="en-GB"/>
              </w:rPr>
              <w:t>gh inter-ministerial and multi-level delegations in programming and monitoring committees, and in transnational and interregional programmes through the National ETC Committee, which is also an inter-ministerial and multi-level consultative body led by the</w:t>
            </w:r>
            <w:r w:rsidRPr="00A66F03">
              <w:rPr>
                <w:rFonts w:ascii="Times New Roman" w:hAnsi="Times New Roman" w:cs="Times New Roman"/>
                <w:lang w:val="en-GB"/>
              </w:rPr>
              <w:t xml:space="preserve"> SVRK. If necessary, additional representatives of Slovenia in macro-regional strategies, Objective 1 programmes and the two cohesion regions shall be consulted. </w:t>
            </w:r>
          </w:p>
          <w:p w14:paraId="3B107FFE" w14:textId="77777777" w:rsidR="00B129FA" w:rsidRPr="00A66F03" w:rsidRDefault="00B129FA" w:rsidP="00B72629">
            <w:pPr>
              <w:spacing w:after="0" w:line="276" w:lineRule="auto"/>
              <w:jc w:val="both"/>
              <w:rPr>
                <w:rFonts w:ascii="Times New Roman" w:eastAsia="Times New Roman" w:hAnsi="Times New Roman" w:cs="Times New Roman"/>
                <w:lang w:val="en-GB"/>
              </w:rPr>
            </w:pPr>
          </w:p>
          <w:p w14:paraId="030AF716" w14:textId="77777777" w:rsidR="00B129FA" w:rsidRPr="00A66F03" w:rsidRDefault="00976636" w:rsidP="00B72629">
            <w:pPr>
              <w:spacing w:after="0" w:line="276" w:lineRule="auto"/>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t xml:space="preserve">Taking into account the length of the external borders and the fact that the majority of the Slovenian population lives in a border area, territorial cooperation is recognised as one of the key instruments for promoting the development of border regions. </w:t>
            </w:r>
            <w:r w:rsidRPr="00A66F03">
              <w:rPr>
                <w:rFonts w:ascii="Times New Roman" w:eastAsia="Times New Roman" w:hAnsi="Times New Roman" w:cs="Times New Roman"/>
                <w:b/>
                <w:bCs/>
                <w:lang w:val="en-GB"/>
              </w:rPr>
              <w:t>E</w:t>
            </w:r>
            <w:r w:rsidRPr="00A66F03">
              <w:rPr>
                <w:rFonts w:ascii="Times New Roman" w:eastAsia="Times New Roman" w:hAnsi="Times New Roman" w:cs="Times New Roman"/>
                <w:b/>
                <w:bCs/>
                <w:lang w:val="en-GB"/>
              </w:rPr>
              <w:t xml:space="preserve">uropean Territorial Cooperation </w:t>
            </w:r>
            <w:r w:rsidRPr="00A66F03">
              <w:rPr>
                <w:rFonts w:ascii="Times New Roman" w:eastAsia="Times New Roman" w:hAnsi="Times New Roman" w:cs="Times New Roman"/>
                <w:lang w:val="en-GB"/>
              </w:rPr>
              <w:t>will support the tackling of common challenges identified by international programming partners. The programmes will focus primarily on the challenges and opportunities to strengthen the competitiveness of border regions and</w:t>
            </w:r>
            <w:r w:rsidRPr="00A66F03">
              <w:rPr>
                <w:rFonts w:ascii="Times New Roman" w:eastAsia="Times New Roman" w:hAnsi="Times New Roman" w:cs="Times New Roman"/>
                <w:lang w:val="en-GB"/>
              </w:rPr>
              <w:t xml:space="preserve"> larger functional areas with common problems, in particular in areas related to the transition to an innovative society, a green, low-carbon and circular economy-oriented society and more efficient governance through institutional capacity-building (Inter</w:t>
            </w:r>
            <w:r w:rsidRPr="00A66F03">
              <w:rPr>
                <w:rFonts w:ascii="Times New Roman" w:eastAsia="Times New Roman" w:hAnsi="Times New Roman" w:cs="Times New Roman"/>
                <w:lang w:val="en-GB"/>
              </w:rPr>
              <w:t>reg Specific Objective).</w:t>
            </w:r>
          </w:p>
          <w:p w14:paraId="56B5C93A" w14:textId="77777777" w:rsidR="00B129FA" w:rsidRPr="00A66F03" w:rsidRDefault="00B129FA" w:rsidP="00B72629">
            <w:pPr>
              <w:spacing w:after="0" w:line="276" w:lineRule="auto"/>
              <w:jc w:val="both"/>
              <w:rPr>
                <w:rFonts w:ascii="Times New Roman" w:eastAsia="Times New Roman" w:hAnsi="Times New Roman" w:cs="Times New Roman"/>
                <w:lang w:val="en-GB"/>
              </w:rPr>
            </w:pPr>
          </w:p>
          <w:p w14:paraId="16F5A5CB" w14:textId="77777777" w:rsidR="008706EF" w:rsidRPr="00A66F03" w:rsidRDefault="00976636" w:rsidP="00B72629">
            <w:pPr>
              <w:spacing w:after="0" w:line="276" w:lineRule="auto"/>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t xml:space="preserve">The national coordinators of the EU macro-regional strategies are the Ministry of Foreign Affairs and the Government Office for Development and European Cohesion Policy. The coordinators for the priority areas of macro-regional strategies, mandated by the </w:t>
            </w:r>
            <w:r w:rsidRPr="00A66F03">
              <w:rPr>
                <w:rFonts w:ascii="Times New Roman" w:eastAsia="Times New Roman" w:hAnsi="Times New Roman" w:cs="Times New Roman"/>
                <w:lang w:val="en-GB"/>
              </w:rPr>
              <w:t xml:space="preserve">Slovenian government, will ensure that operations also take into account the added value of the EU macro-regional links. </w:t>
            </w:r>
          </w:p>
          <w:p w14:paraId="68E6208E" w14:textId="77777777" w:rsidR="004F1BED" w:rsidRPr="00A66F03" w:rsidRDefault="004F1BED" w:rsidP="00B72629">
            <w:pPr>
              <w:spacing w:after="0" w:line="276" w:lineRule="auto"/>
              <w:jc w:val="both"/>
              <w:rPr>
                <w:rFonts w:ascii="Times New Roman" w:eastAsia="Times New Roman" w:hAnsi="Times New Roman" w:cs="Times New Roman"/>
                <w:lang w:val="en-GB"/>
              </w:rPr>
            </w:pPr>
          </w:p>
          <w:p w14:paraId="5F7BD02F" w14:textId="77777777" w:rsidR="004F1BED" w:rsidRPr="00A66F03" w:rsidRDefault="00976636" w:rsidP="00B72629">
            <w:pPr>
              <w:tabs>
                <w:tab w:val="left" w:pos="426"/>
              </w:tabs>
              <w:spacing w:after="0" w:line="276" w:lineRule="auto"/>
              <w:jc w:val="both"/>
              <w:rPr>
                <w:rFonts w:ascii="Times New Roman" w:eastAsia="Times New Roman" w:hAnsi="Times New Roman" w:cs="Times New Roman"/>
                <w:iCs/>
                <w:lang w:val="en-GB"/>
              </w:rPr>
            </w:pPr>
            <w:r w:rsidRPr="00A66F03">
              <w:rPr>
                <w:rFonts w:ascii="Times New Roman" w:eastAsia="Times New Roman" w:hAnsi="Times New Roman" w:cs="Times New Roman"/>
                <w:lang w:val="en-GB"/>
              </w:rPr>
              <w:t xml:space="preserve">European Cohesion Policy and EMFAF funds will support </w:t>
            </w:r>
            <w:r w:rsidRPr="00A66F03">
              <w:rPr>
                <w:rFonts w:ascii="Times New Roman" w:eastAsia="Times New Roman" w:hAnsi="Times New Roman" w:cs="Times New Roman"/>
                <w:b/>
                <w:bCs/>
                <w:lang w:val="en-GB"/>
              </w:rPr>
              <w:t>macro-regional initiatives</w:t>
            </w:r>
            <w:r w:rsidRPr="00A66F03">
              <w:rPr>
                <w:rFonts w:ascii="Times New Roman" w:eastAsia="Times New Roman" w:hAnsi="Times New Roman" w:cs="Times New Roman"/>
                <w:lang w:val="en-GB"/>
              </w:rPr>
              <w:t>:</w:t>
            </w:r>
          </w:p>
          <w:p w14:paraId="2BEE8ACB" w14:textId="77777777" w:rsidR="004F1BED" w:rsidRPr="00A66F03" w:rsidRDefault="00976636" w:rsidP="00B72629">
            <w:pPr>
              <w:pStyle w:val="Odstavekseznama"/>
              <w:numPr>
                <w:ilvl w:val="0"/>
                <w:numId w:val="1"/>
              </w:numPr>
              <w:tabs>
                <w:tab w:val="left" w:pos="426"/>
              </w:tabs>
              <w:spacing w:after="0" w:line="276" w:lineRule="auto"/>
              <w:jc w:val="both"/>
              <w:rPr>
                <w:rFonts w:ascii="Times New Roman" w:eastAsia="Times New Roman" w:hAnsi="Times New Roman" w:cs="Times New Roman"/>
                <w:iCs/>
              </w:rPr>
            </w:pPr>
            <w:r w:rsidRPr="00A66F03">
              <w:rPr>
                <w:rFonts w:ascii="Times New Roman" w:eastAsia="Times New Roman" w:hAnsi="Times New Roman" w:cs="Times New Roman"/>
                <w:b/>
                <w:bCs/>
              </w:rPr>
              <w:t xml:space="preserve">EUSAIR </w:t>
            </w:r>
            <w:r w:rsidRPr="00A66F03">
              <w:rPr>
                <w:rFonts w:ascii="Times New Roman" w:eastAsia="Times New Roman" w:hAnsi="Times New Roman" w:cs="Times New Roman"/>
              </w:rPr>
              <w:t>in the field of blue growth, connectivity, s</w:t>
            </w:r>
            <w:r w:rsidRPr="00A66F03">
              <w:rPr>
                <w:rFonts w:ascii="Times New Roman" w:eastAsia="Times New Roman" w:hAnsi="Times New Roman" w:cs="Times New Roman"/>
              </w:rPr>
              <w:t>ustainable tourism and environmental quality (the ‘flagship initiative’), where Slovenia will make particular efforts to green all sectoral initiatives in the region in a horizontal manner, with special attention paid to environmental prevention and to res</w:t>
            </w:r>
            <w:r w:rsidRPr="00A66F03">
              <w:rPr>
                <w:rFonts w:ascii="Times New Roman" w:eastAsia="Times New Roman" w:hAnsi="Times New Roman" w:cs="Times New Roman"/>
              </w:rPr>
              <w:t xml:space="preserve">earch and innovation integration. The EMFAF will support blue growth and quality of the environment in particular. </w:t>
            </w:r>
          </w:p>
          <w:p w14:paraId="794F60EA" w14:textId="77777777" w:rsidR="004F1BED" w:rsidRPr="00A66F03" w:rsidRDefault="00976636" w:rsidP="00B72629">
            <w:pPr>
              <w:pStyle w:val="Odstavekseznama"/>
              <w:numPr>
                <w:ilvl w:val="0"/>
                <w:numId w:val="1"/>
              </w:numPr>
              <w:tabs>
                <w:tab w:val="left" w:pos="426"/>
              </w:tabs>
              <w:spacing w:after="0" w:line="276" w:lineRule="auto"/>
              <w:jc w:val="both"/>
              <w:rPr>
                <w:rFonts w:ascii="Times New Roman" w:eastAsia="Times New Roman" w:hAnsi="Times New Roman" w:cs="Times New Roman"/>
                <w:iCs/>
              </w:rPr>
            </w:pPr>
            <w:r w:rsidRPr="00A66F03">
              <w:rPr>
                <w:rFonts w:ascii="Times New Roman" w:eastAsia="Times New Roman" w:hAnsi="Times New Roman" w:cs="Times New Roman"/>
                <w:b/>
                <w:bCs/>
              </w:rPr>
              <w:t xml:space="preserve">EUSALP </w:t>
            </w:r>
            <w:r w:rsidRPr="00A66F03">
              <w:rPr>
                <w:rFonts w:ascii="Times New Roman" w:eastAsia="Times New Roman" w:hAnsi="Times New Roman" w:cs="Times New Roman"/>
              </w:rPr>
              <w:t>in the field of risk management and joint responses to natural disasters such as floods, landslides, fires, etc.; the deployment of g</w:t>
            </w:r>
            <w:r w:rsidRPr="00A66F03">
              <w:rPr>
                <w:rFonts w:ascii="Times New Roman" w:eastAsia="Times New Roman" w:hAnsi="Times New Roman" w:cs="Times New Roman"/>
              </w:rPr>
              <w:t>reen infrastructure to make the EU more resilient to climate challenges and also to increase food security; transport, energy and digital connectivity in the Alps; sectors for the enhanced development of the Alps, including the development of the Alpine in</w:t>
            </w:r>
            <w:r w:rsidRPr="00A66F03">
              <w:rPr>
                <w:rFonts w:ascii="Times New Roman" w:eastAsia="Times New Roman" w:hAnsi="Times New Roman" w:cs="Times New Roman"/>
              </w:rPr>
              <w:t>novation ecosystem.</w:t>
            </w:r>
          </w:p>
          <w:p w14:paraId="7545E2AC" w14:textId="77777777" w:rsidR="004F1BED" w:rsidRPr="00A66F03" w:rsidRDefault="00976636" w:rsidP="00B72629">
            <w:pPr>
              <w:pStyle w:val="Odstavekseznama"/>
              <w:numPr>
                <w:ilvl w:val="0"/>
                <w:numId w:val="1"/>
              </w:numPr>
              <w:tabs>
                <w:tab w:val="left" w:pos="426"/>
              </w:tabs>
              <w:spacing w:after="0" w:line="276" w:lineRule="auto"/>
              <w:jc w:val="both"/>
              <w:rPr>
                <w:rFonts w:ascii="Times New Roman" w:eastAsia="Times New Roman" w:hAnsi="Times New Roman" w:cs="Times New Roman"/>
                <w:iCs/>
              </w:rPr>
            </w:pPr>
            <w:r w:rsidRPr="00A66F03">
              <w:rPr>
                <w:rFonts w:ascii="Times New Roman" w:eastAsia="Times New Roman" w:hAnsi="Times New Roman" w:cs="Times New Roman"/>
                <w:b/>
                <w:bCs/>
              </w:rPr>
              <w:t xml:space="preserve">EUSDR </w:t>
            </w:r>
            <w:r w:rsidRPr="00A66F03">
              <w:rPr>
                <w:rFonts w:ascii="Times New Roman" w:eastAsia="Times New Roman" w:hAnsi="Times New Roman" w:cs="Times New Roman"/>
              </w:rPr>
              <w:t>in the area of management of high water (floods) and low water (drought) and increased risks in the Danube river basin.</w:t>
            </w:r>
          </w:p>
          <w:p w14:paraId="1515CF75" w14:textId="77777777" w:rsidR="004F1BED" w:rsidRPr="00A66F03" w:rsidRDefault="004F1BED" w:rsidP="00B72629">
            <w:pPr>
              <w:spacing w:after="0" w:line="276" w:lineRule="auto"/>
              <w:jc w:val="both"/>
              <w:rPr>
                <w:rFonts w:ascii="Times New Roman" w:eastAsia="Times New Roman" w:hAnsi="Times New Roman" w:cs="Times New Roman"/>
                <w:lang w:val="en-GB"/>
              </w:rPr>
            </w:pPr>
          </w:p>
          <w:p w14:paraId="00C46F6F" w14:textId="77777777" w:rsidR="004A1EA0" w:rsidRPr="00A66F03" w:rsidRDefault="00976636" w:rsidP="00B72629">
            <w:pPr>
              <w:spacing w:after="0" w:line="276" w:lineRule="auto"/>
              <w:jc w:val="both"/>
              <w:rPr>
                <w:rFonts w:ascii="Times New Roman" w:eastAsia="Times New Roman" w:hAnsi="Times New Roman" w:cs="Times New Roman"/>
                <w:lang w:val="en-GB"/>
              </w:rPr>
            </w:pPr>
            <w:r w:rsidRPr="00A66F03">
              <w:rPr>
                <w:rFonts w:ascii="Times New Roman" w:hAnsi="Times New Roman" w:cs="Times New Roman"/>
                <w:lang w:val="en-GB"/>
              </w:rPr>
              <w:t>The managing authority for the Programme to Eliminate Material Deprivation in Slovenia 2021–2027 is the Minis</w:t>
            </w:r>
            <w:r w:rsidRPr="00A66F03">
              <w:rPr>
                <w:rFonts w:ascii="Times New Roman" w:hAnsi="Times New Roman" w:cs="Times New Roman"/>
                <w:lang w:val="en-GB"/>
              </w:rPr>
              <w:t>try of Labour, Family, Social Affairs and Equal Opportunities (MDDSZ). With the aim of ensuring the continued implementation of measures to address material deprivation in the next programming period, resources to address material deprivation will be progr</w:t>
            </w:r>
            <w:r w:rsidRPr="00A66F03">
              <w:rPr>
                <w:rFonts w:ascii="Times New Roman" w:hAnsi="Times New Roman" w:cs="Times New Roman"/>
                <w:lang w:val="en-GB"/>
              </w:rPr>
              <w:t>ammed in a separate programme in the 2021–2027 period. We will maintain the existing system of delivery of assistance to materially disadvantaged individuals managed by the MDDSZ, therefore maintaining simplification of implementation and reducing the admi</w:t>
            </w:r>
            <w:r w:rsidRPr="00A66F03">
              <w:rPr>
                <w:rFonts w:ascii="Times New Roman" w:hAnsi="Times New Roman" w:cs="Times New Roman"/>
                <w:lang w:val="en-GB"/>
              </w:rPr>
              <w:t xml:space="preserve">nistrative burden for authorities and beneficiaries. </w:t>
            </w:r>
          </w:p>
          <w:p w14:paraId="0AF3A415" w14:textId="77777777" w:rsidR="00972784" w:rsidRPr="00A66F03" w:rsidRDefault="00972784" w:rsidP="00B72629">
            <w:pPr>
              <w:spacing w:after="0" w:line="276" w:lineRule="auto"/>
              <w:jc w:val="both"/>
              <w:rPr>
                <w:rFonts w:ascii="Times New Roman" w:eastAsia="Times New Roman" w:hAnsi="Times New Roman" w:cs="Times New Roman"/>
                <w:lang w:val="en-GB"/>
              </w:rPr>
            </w:pPr>
          </w:p>
          <w:p w14:paraId="3FEA7A4B" w14:textId="77777777" w:rsidR="005C4F35" w:rsidRPr="00A66F03" w:rsidRDefault="00976636" w:rsidP="00B72629">
            <w:pPr>
              <w:spacing w:after="0" w:line="276" w:lineRule="auto"/>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t>The managing authority for the Maritime and Fisheries and Aquaculture Programme is the Ministry of Agriculture, Forestry and Food (MKGP), which is also the managing authority for the EAFRD. With the ai</w:t>
            </w:r>
            <w:r w:rsidRPr="00A66F03">
              <w:rPr>
                <w:rFonts w:ascii="Times New Roman" w:eastAsia="Times New Roman" w:hAnsi="Times New Roman" w:cs="Times New Roman"/>
                <w:lang w:val="en-GB"/>
              </w:rPr>
              <w:t>m of continuing the implementation of the management and control system, which works well, the MKGP will, as managing authority for the EMFAF, delegate some of the tasks to the Agency for Agricultural Markets and Rural Development as the intermediate body.</w:t>
            </w:r>
            <w:r w:rsidRPr="00A66F03">
              <w:rPr>
                <w:rFonts w:ascii="Times New Roman" w:eastAsia="Times New Roman" w:hAnsi="Times New Roman" w:cs="Times New Roman"/>
                <w:lang w:val="en-GB"/>
              </w:rPr>
              <w:t xml:space="preserve"> </w:t>
            </w:r>
          </w:p>
          <w:p w14:paraId="21626B39" w14:textId="77777777" w:rsidR="005C4F35" w:rsidRPr="00A66F03" w:rsidRDefault="005C4F35" w:rsidP="00B72629">
            <w:pPr>
              <w:spacing w:after="0" w:line="276" w:lineRule="auto"/>
              <w:jc w:val="both"/>
              <w:rPr>
                <w:rFonts w:ascii="Times New Roman" w:eastAsia="Times New Roman" w:hAnsi="Times New Roman" w:cs="Times New Roman"/>
                <w:lang w:val="en-GB"/>
              </w:rPr>
            </w:pPr>
          </w:p>
          <w:p w14:paraId="57B82EF1" w14:textId="77777777" w:rsidR="00C66A53" w:rsidRPr="00A66F03" w:rsidRDefault="00976636" w:rsidP="00B72629">
            <w:pPr>
              <w:spacing w:after="0" w:line="276" w:lineRule="auto"/>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t>As the managing authority for HOME funds is the Ministry of the Interior, mechanisms are in place between the AMIF, ISF and BMVI</w:t>
            </w:r>
            <w:r w:rsidRPr="00A66F03">
              <w:rPr>
                <w:rFonts w:ascii="Times New Roman" w:eastAsia="Times New Roman" w:hAnsi="Times New Roman" w:cs="Times New Roman"/>
                <w:lang w:val="en-GB"/>
              </w:rPr>
              <w:t xml:space="preserve"> to ensure effective monitoring (a common control and management system, inter-sectoral working groups, a monitoring committee). The managing authority for HOME funds has also put in place cooperation with other funds. Coordination will take place through </w:t>
            </w:r>
            <w:r w:rsidRPr="00A66F03">
              <w:rPr>
                <w:rFonts w:ascii="Times New Roman" w:eastAsia="Times New Roman" w:hAnsi="Times New Roman" w:cs="Times New Roman"/>
                <w:lang w:val="en-GB"/>
              </w:rPr>
              <w:lastRenderedPageBreak/>
              <w:t>cooperation in inter-departmental working groups, meetings, consultations and the mutual coordination of fund-related documentation.</w:t>
            </w:r>
          </w:p>
          <w:p w14:paraId="4FEDA718" w14:textId="77777777" w:rsidR="00417BF8" w:rsidRPr="00A66F03" w:rsidRDefault="00417BF8" w:rsidP="00B72629">
            <w:pPr>
              <w:spacing w:after="0" w:line="276" w:lineRule="auto"/>
              <w:jc w:val="both"/>
              <w:rPr>
                <w:rFonts w:ascii="Times New Roman" w:eastAsia="Times New Roman" w:hAnsi="Times New Roman" w:cs="Times New Roman"/>
                <w:lang w:val="en-GB"/>
              </w:rPr>
            </w:pPr>
          </w:p>
          <w:p w14:paraId="6B3031DC" w14:textId="77777777" w:rsidR="00417BF8" w:rsidRPr="00A66F03" w:rsidRDefault="00976636" w:rsidP="00B72629">
            <w:pPr>
              <w:spacing w:after="0" w:line="276" w:lineRule="auto"/>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t>Between the ESF+ and ERDF and home affairs funds (</w:t>
            </w:r>
            <w:r w:rsidRPr="00A66F03">
              <w:rPr>
                <w:rFonts w:ascii="Times New Roman" w:eastAsia="Times New Roman" w:hAnsi="Times New Roman" w:cs="Times New Roman"/>
                <w:b/>
                <w:bCs/>
                <w:lang w:val="en-GB"/>
              </w:rPr>
              <w:t>HOME: AMIF, ISF, BMVI)</w:t>
            </w:r>
            <w:r w:rsidRPr="00A66F03">
              <w:rPr>
                <w:rFonts w:ascii="Times New Roman" w:eastAsia="Times New Roman" w:hAnsi="Times New Roman" w:cs="Times New Roman"/>
                <w:lang w:val="en-GB"/>
              </w:rPr>
              <w:t>,</w:t>
            </w:r>
            <w:r w:rsidRPr="00A66F03">
              <w:rPr>
                <w:rFonts w:ascii="Times New Roman" w:eastAsia="Times New Roman" w:hAnsi="Times New Roman" w:cs="Times New Roman"/>
                <w:b/>
                <w:bCs/>
                <w:lang w:val="en-GB"/>
              </w:rPr>
              <w:t xml:space="preserve"> </w:t>
            </w:r>
            <w:r w:rsidRPr="00A66F03">
              <w:rPr>
                <w:rFonts w:ascii="Times New Roman" w:eastAsia="Times New Roman" w:hAnsi="Times New Roman" w:cs="Times New Roman"/>
                <w:lang w:val="en-GB"/>
              </w:rPr>
              <w:t>important synergies, complementarities and demar</w:t>
            </w:r>
            <w:r w:rsidRPr="00A66F03">
              <w:rPr>
                <w:rFonts w:ascii="Times New Roman" w:eastAsia="Times New Roman" w:hAnsi="Times New Roman" w:cs="Times New Roman"/>
                <w:lang w:val="en-GB"/>
              </w:rPr>
              <w:t>cations have been identified in the areas of integration, migration management, the creation and modernisation of migration-related infrastructure, processing services and crime prevention. In addition to the above, particular attention will be paid to the</w:t>
            </w:r>
            <w:r w:rsidRPr="00A66F03">
              <w:rPr>
                <w:rFonts w:ascii="Times New Roman" w:eastAsia="Times New Roman" w:hAnsi="Times New Roman" w:cs="Times New Roman"/>
                <w:lang w:val="en-GB"/>
              </w:rPr>
              <w:t xml:space="preserve"> planning phase, with a clear demarcation of the activities to be financed by each fund and regular exchange of information during the implementation period in order to achieve maximum overall impact.</w:t>
            </w:r>
          </w:p>
          <w:p w14:paraId="32F5C593" w14:textId="77777777" w:rsidR="00B8319A" w:rsidRPr="00A66F03" w:rsidRDefault="00B8319A" w:rsidP="00B72629">
            <w:pPr>
              <w:spacing w:after="0" w:line="276" w:lineRule="auto"/>
              <w:jc w:val="both"/>
              <w:rPr>
                <w:rFonts w:ascii="Times New Roman" w:eastAsia="Times New Roman" w:hAnsi="Times New Roman" w:cs="Times New Roman"/>
                <w:lang w:val="en-GB"/>
              </w:rPr>
            </w:pPr>
          </w:p>
          <w:p w14:paraId="19A96D99" w14:textId="77777777" w:rsidR="00B8319A" w:rsidRPr="00A66F03" w:rsidRDefault="00976636" w:rsidP="00B72629">
            <w:pPr>
              <w:spacing w:after="0" w:line="276" w:lineRule="auto"/>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t>The planned activities under the AMIF related to the i</w:t>
            </w:r>
            <w:r w:rsidRPr="00A66F03">
              <w:rPr>
                <w:rFonts w:ascii="Times New Roman" w:eastAsia="Times New Roman" w:hAnsi="Times New Roman" w:cs="Times New Roman"/>
                <w:lang w:val="en-GB"/>
              </w:rPr>
              <w:t>ntegration of third-country nationals into society complement the planned activities under the ESF+. Both funds address the integration of migrants into the labour market, with the AMIF focusing on basic Slovenian language learning and support during the i</w:t>
            </w:r>
            <w:r w:rsidRPr="00A66F03">
              <w:rPr>
                <w:rFonts w:ascii="Times New Roman" w:eastAsia="Times New Roman" w:hAnsi="Times New Roman" w:cs="Times New Roman"/>
                <w:lang w:val="en-GB"/>
              </w:rPr>
              <w:t>nitial phase of social inclusion (advice, housing, cash assistance, etc.) to help them enter the labour market. The ESF+ provides assistance in the next phase by facilitating the inclusion of individuals in active employment policy programmes. Both funds p</w:t>
            </w:r>
            <w:r w:rsidRPr="00A66F03">
              <w:rPr>
                <w:rFonts w:ascii="Times New Roman" w:eastAsia="Times New Roman" w:hAnsi="Times New Roman" w:cs="Times New Roman"/>
                <w:lang w:val="en-GB"/>
              </w:rPr>
              <w:t xml:space="preserve">rovide assistance in the form of an intercultural mediator/adviser, with each covering different tasks: the AMIF focuses on helping people with international protection to arrange everything they need to facilitate their social integration, while the ESF+ </w:t>
            </w:r>
            <w:r w:rsidRPr="00A66F03">
              <w:rPr>
                <w:rFonts w:ascii="Times New Roman" w:eastAsia="Times New Roman" w:hAnsi="Times New Roman" w:cs="Times New Roman"/>
                <w:lang w:val="en-GB"/>
              </w:rPr>
              <w:t>focuses on access to employers. Both funds also carry out activities in the field of social inclusion and social activation programmes, where cooperation will be established in the preparation of the content of calls for tenders in this area with the aim o</w:t>
            </w:r>
            <w:r w:rsidRPr="00A66F03">
              <w:rPr>
                <w:rFonts w:ascii="Times New Roman" w:eastAsia="Times New Roman" w:hAnsi="Times New Roman" w:cs="Times New Roman"/>
                <w:lang w:val="en-GB"/>
              </w:rPr>
              <w:t>f ensuring that the measures are as complementary as possible. Regarding provision for the target group of unaccompanied minors, both funds (AMIF and ESF+) will carry out activities connected to care, accommodation and education, but for separate locations</w:t>
            </w:r>
            <w:r w:rsidRPr="00A66F03">
              <w:rPr>
                <w:rFonts w:ascii="Times New Roman" w:eastAsia="Times New Roman" w:hAnsi="Times New Roman" w:cs="Times New Roman"/>
                <w:lang w:val="en-GB"/>
              </w:rPr>
              <w:t>. A lack of adequate support for unaccompanied minors in their transition to adulthood has been identified; moreover, there is an increase in cases of people with mental health problems and special needs and of victims of various forms of abuse. Accordingl</w:t>
            </w:r>
            <w:r w:rsidRPr="00A66F03">
              <w:rPr>
                <w:rFonts w:ascii="Times New Roman" w:eastAsia="Times New Roman" w:hAnsi="Times New Roman" w:cs="Times New Roman"/>
                <w:lang w:val="en-GB"/>
              </w:rPr>
              <w:t xml:space="preserve">y, a holistic focus on empowering and encouraging people to actively overcome their problems and traumas and face different personal circumstances is needed. The AMIF and ESF+ can also work in a complementary way in the field of medical care for migrants, </w:t>
            </w:r>
            <w:r w:rsidRPr="00A66F03">
              <w:rPr>
                <w:rFonts w:ascii="Times New Roman" w:eastAsia="Times New Roman" w:hAnsi="Times New Roman" w:cs="Times New Roman"/>
                <w:lang w:val="en-GB"/>
              </w:rPr>
              <w:t xml:space="preserve">where links will also be established so as to achieve full delivery of services and avoid overlaps. </w:t>
            </w:r>
          </w:p>
          <w:p w14:paraId="7C5B7A3C" w14:textId="77777777" w:rsidR="00B8319A" w:rsidRPr="00A66F03" w:rsidRDefault="00B8319A" w:rsidP="00B72629">
            <w:pPr>
              <w:spacing w:after="0" w:line="276" w:lineRule="auto"/>
              <w:jc w:val="both"/>
              <w:rPr>
                <w:rFonts w:ascii="Times New Roman" w:eastAsia="Times New Roman" w:hAnsi="Times New Roman" w:cs="Times New Roman"/>
                <w:lang w:val="en-GB"/>
              </w:rPr>
            </w:pPr>
          </w:p>
          <w:p w14:paraId="5C6D5C70" w14:textId="77777777" w:rsidR="00B8319A" w:rsidRPr="00A66F03" w:rsidRDefault="00976636" w:rsidP="00B72629">
            <w:pPr>
              <w:spacing w:after="0" w:line="276" w:lineRule="auto"/>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t>In order to improve infrastructure linked to border management and financed by the BMVI, there is the possibility of complementary use of the ERDF, in par</w:t>
            </w:r>
            <w:r w:rsidRPr="00A66F03">
              <w:rPr>
                <w:rFonts w:ascii="Times New Roman" w:eastAsia="Times New Roman" w:hAnsi="Times New Roman" w:cs="Times New Roman"/>
                <w:lang w:val="en-GB"/>
              </w:rPr>
              <w:t xml:space="preserve">ticular because of the problem of the temporary external border with Croatia, which means that Slovenia has limited capacity for investment in infrastructure.  </w:t>
            </w:r>
          </w:p>
          <w:p w14:paraId="6A800C47" w14:textId="77777777" w:rsidR="00417BF8" w:rsidRPr="00A66F03" w:rsidRDefault="00417BF8" w:rsidP="00B72629">
            <w:pPr>
              <w:spacing w:after="0" w:line="276" w:lineRule="auto"/>
              <w:jc w:val="both"/>
              <w:rPr>
                <w:rFonts w:ascii="Times New Roman" w:eastAsia="Times New Roman" w:hAnsi="Times New Roman" w:cs="Times New Roman"/>
                <w:lang w:val="en-GB"/>
              </w:rPr>
            </w:pPr>
          </w:p>
          <w:p w14:paraId="4D63E698" w14:textId="77777777" w:rsidR="00417BF8" w:rsidRPr="00A66F03" w:rsidRDefault="00976636" w:rsidP="00B72629">
            <w:pPr>
              <w:spacing w:after="0" w:line="276" w:lineRule="auto"/>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t>HOME funds will complement each other in the area of information systems, which, due to the interplay of content and interoperability, cover border management, migration and internal security. Accordingly, particular attention should be paid to the establi</w:t>
            </w:r>
            <w:r w:rsidRPr="00A66F03">
              <w:rPr>
                <w:rFonts w:ascii="Times New Roman" w:eastAsia="Times New Roman" w:hAnsi="Times New Roman" w:cs="Times New Roman"/>
                <w:lang w:val="en-GB"/>
              </w:rPr>
              <w:t xml:space="preserve">shment of an appropriate system of division key between the funds: </w:t>
            </w:r>
          </w:p>
          <w:p w14:paraId="0C923727" w14:textId="77777777" w:rsidR="00417BF8" w:rsidRPr="00A66F03" w:rsidRDefault="00976636" w:rsidP="00B72629">
            <w:pPr>
              <w:pStyle w:val="Odstavekseznama"/>
              <w:numPr>
                <w:ilvl w:val="0"/>
                <w:numId w:val="1"/>
              </w:numPr>
              <w:spacing w:after="0" w:line="276" w:lineRule="auto"/>
              <w:jc w:val="both"/>
              <w:rPr>
                <w:rFonts w:ascii="Times New Roman" w:eastAsia="Times New Roman" w:hAnsi="Times New Roman" w:cs="Times New Roman"/>
              </w:rPr>
            </w:pPr>
            <w:r w:rsidRPr="00A66F03">
              <w:rPr>
                <w:rFonts w:ascii="Times New Roman" w:eastAsia="Times New Roman" w:hAnsi="Times New Roman" w:cs="Times New Roman"/>
              </w:rPr>
              <w:t xml:space="preserve">The </w:t>
            </w:r>
            <w:r w:rsidRPr="00A66F03">
              <w:rPr>
                <w:rFonts w:ascii="Times New Roman" w:eastAsia="Times New Roman" w:hAnsi="Times New Roman" w:cs="Times New Roman"/>
                <w:b/>
                <w:bCs/>
              </w:rPr>
              <w:t xml:space="preserve">European Asylum, Migration and Integration Fund </w:t>
            </w:r>
            <w:r w:rsidRPr="00A66F03">
              <w:rPr>
                <w:rFonts w:ascii="Times New Roman" w:eastAsia="Times New Roman" w:hAnsi="Times New Roman" w:cs="Times New Roman"/>
              </w:rPr>
              <w:t>(AMIF) will primarily finance measures for target groups linked to the provisions of the International Protection Act eligible for fundi</w:t>
            </w:r>
            <w:r w:rsidRPr="00A66F03">
              <w:rPr>
                <w:rFonts w:ascii="Times New Roman" w:eastAsia="Times New Roman" w:hAnsi="Times New Roman" w:cs="Times New Roman"/>
              </w:rPr>
              <w:t xml:space="preserve">ng. The planned activities under the AMIF relate to the integration of third-country nationals (migrants, persons with international protection, applicants for international protection) into society. </w:t>
            </w:r>
          </w:p>
          <w:p w14:paraId="605A9627" w14:textId="77777777" w:rsidR="00417BF8" w:rsidRPr="00A66F03" w:rsidRDefault="00976636" w:rsidP="00B72629">
            <w:pPr>
              <w:pStyle w:val="Odstavekseznama"/>
              <w:numPr>
                <w:ilvl w:val="0"/>
                <w:numId w:val="1"/>
              </w:numPr>
              <w:spacing w:after="0" w:line="276" w:lineRule="auto"/>
              <w:jc w:val="both"/>
              <w:rPr>
                <w:rFonts w:ascii="Times New Roman" w:eastAsia="Times New Roman" w:hAnsi="Times New Roman" w:cs="Times New Roman"/>
              </w:rPr>
            </w:pPr>
            <w:r w:rsidRPr="00A66F03">
              <w:rPr>
                <w:rFonts w:ascii="Times New Roman" w:eastAsia="Times New Roman" w:hAnsi="Times New Roman" w:cs="Times New Roman"/>
              </w:rPr>
              <w:t>Under the instrument for financial support for border m</w:t>
            </w:r>
            <w:r w:rsidRPr="00A66F03">
              <w:rPr>
                <w:rFonts w:ascii="Times New Roman" w:eastAsia="Times New Roman" w:hAnsi="Times New Roman" w:cs="Times New Roman"/>
              </w:rPr>
              <w:t xml:space="preserve">anagement and visa policy as part of the </w:t>
            </w:r>
            <w:r w:rsidRPr="00A66F03">
              <w:rPr>
                <w:rFonts w:ascii="Times New Roman" w:eastAsia="Times New Roman" w:hAnsi="Times New Roman" w:cs="Times New Roman"/>
                <w:b/>
                <w:bCs/>
              </w:rPr>
              <w:t>Integrated Border Management Fund (IBMF</w:t>
            </w:r>
            <w:r w:rsidRPr="00A66F03">
              <w:rPr>
                <w:rFonts w:ascii="Times New Roman" w:eastAsia="Times New Roman" w:hAnsi="Times New Roman" w:cs="Times New Roman"/>
              </w:rPr>
              <w:t xml:space="preserve">), Slovenia helps to facilitate lawful border crossing, prevent and detect illegal immigration and cross-border crime, manage migration </w:t>
            </w:r>
            <w:r w:rsidRPr="00A66F03">
              <w:rPr>
                <w:rFonts w:ascii="Times New Roman" w:eastAsia="Times New Roman" w:hAnsi="Times New Roman" w:cs="Times New Roman"/>
              </w:rPr>
              <w:lastRenderedPageBreak/>
              <w:t>flows effectively and support the common</w:t>
            </w:r>
            <w:r w:rsidRPr="00A66F03">
              <w:rPr>
                <w:rFonts w:ascii="Times New Roman" w:eastAsia="Times New Roman" w:hAnsi="Times New Roman" w:cs="Times New Roman"/>
              </w:rPr>
              <w:t xml:space="preserve"> visa policy to enable lawful travel and prevent migration-related and security risks. </w:t>
            </w:r>
          </w:p>
          <w:p w14:paraId="0E3F3ED9" w14:textId="77777777" w:rsidR="00417BF8" w:rsidRPr="00A66F03" w:rsidRDefault="00976636" w:rsidP="00B72629">
            <w:pPr>
              <w:pStyle w:val="Odstavekseznama"/>
              <w:numPr>
                <w:ilvl w:val="0"/>
                <w:numId w:val="1"/>
              </w:numPr>
              <w:spacing w:after="0" w:line="276" w:lineRule="auto"/>
              <w:jc w:val="both"/>
              <w:rPr>
                <w:rFonts w:ascii="Times New Roman" w:eastAsia="Times New Roman" w:hAnsi="Times New Roman" w:cs="Times New Roman"/>
              </w:rPr>
            </w:pPr>
            <w:r w:rsidRPr="00A66F03">
              <w:rPr>
                <w:rFonts w:ascii="Times New Roman" w:eastAsia="Times New Roman" w:hAnsi="Times New Roman" w:cs="Times New Roman"/>
                <w:b/>
                <w:bCs/>
              </w:rPr>
              <w:t xml:space="preserve">Within the framework of the Internal Security Fund </w:t>
            </w:r>
            <w:r w:rsidRPr="00A66F03">
              <w:rPr>
                <w:rFonts w:ascii="Times New Roman" w:eastAsia="Times New Roman" w:hAnsi="Times New Roman" w:cs="Times New Roman"/>
              </w:rPr>
              <w:t>(ISF), Slovenia helps to ensure the uniform application of Union law concerning the exchange of information in the fi</w:t>
            </w:r>
            <w:r w:rsidRPr="00A66F03">
              <w:rPr>
                <w:rFonts w:ascii="Times New Roman" w:eastAsia="Times New Roman" w:hAnsi="Times New Roman" w:cs="Times New Roman"/>
              </w:rPr>
              <w:t>eld of security, the establishment, adaptation and maintenance of security-relevant information systems and communication networks of the Union, including their interoperability, the development of appropriate tools to address the gaps identified, and supp</w:t>
            </w:r>
            <w:r w:rsidRPr="00A66F03">
              <w:rPr>
                <w:rFonts w:ascii="Times New Roman" w:eastAsia="Times New Roman" w:hAnsi="Times New Roman" w:cs="Times New Roman"/>
              </w:rPr>
              <w:t>ort for national actions that are relevant to ensuring data exchange.</w:t>
            </w:r>
          </w:p>
          <w:p w14:paraId="2B5AB4CB" w14:textId="77777777" w:rsidR="00A13249" w:rsidRPr="00A66F03" w:rsidRDefault="00A13249" w:rsidP="00B72629">
            <w:pPr>
              <w:spacing w:after="0" w:line="276" w:lineRule="auto"/>
              <w:jc w:val="both"/>
              <w:rPr>
                <w:rFonts w:ascii="Times New Roman" w:eastAsia="Times New Roman" w:hAnsi="Times New Roman" w:cs="Times New Roman"/>
                <w:lang w:val="en-GB"/>
              </w:rPr>
            </w:pPr>
          </w:p>
          <w:p w14:paraId="51D69ECB" w14:textId="77777777" w:rsidR="00165DF8" w:rsidRPr="00A66F03" w:rsidRDefault="00976636" w:rsidP="00B72629">
            <w:pPr>
              <w:spacing w:after="0" w:line="276" w:lineRule="auto"/>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t>Coordination between funds will formally take place through monitoring committees. Slovenia will avoid setting up new authorities and bodies. More emphasis will be placed on the content</w:t>
            </w:r>
            <w:r w:rsidRPr="00A66F03">
              <w:rPr>
                <w:rFonts w:ascii="Times New Roman" w:eastAsia="Times New Roman" w:hAnsi="Times New Roman" w:cs="Times New Roman"/>
                <w:lang w:val="en-GB"/>
              </w:rPr>
              <w:t xml:space="preserve"> and coordinating role of managing authorities. Close cooperation with ministries and other downstream implementing institutions will be crucial. In all cases where measures concern the areas of other ministries in terms of their substance, an appropriate </w:t>
            </w:r>
            <w:r w:rsidRPr="00A66F03">
              <w:rPr>
                <w:rFonts w:ascii="Times New Roman" w:eastAsia="Times New Roman" w:hAnsi="Times New Roman" w:cs="Times New Roman"/>
                <w:lang w:val="en-GB"/>
              </w:rPr>
              <w:t>position statement will be obtained. Alongside this, the competence and responsiveness of ministries will play a central role, as ministries are the main promoters and implementers of development priorities in accordance with the programming documents, whi</w:t>
            </w:r>
            <w:r w:rsidRPr="00A66F03">
              <w:rPr>
                <w:rFonts w:ascii="Times New Roman" w:eastAsia="Times New Roman" w:hAnsi="Times New Roman" w:cs="Times New Roman"/>
                <w:lang w:val="en-GB"/>
              </w:rPr>
              <w:t>le at the same time they are the promoters of individual development areas in accordance with Slovenian legislation.</w:t>
            </w:r>
          </w:p>
          <w:p w14:paraId="3196C3CA" w14:textId="77777777" w:rsidR="00AA50DF" w:rsidRPr="00A66F03" w:rsidRDefault="00AA50DF" w:rsidP="00B72629">
            <w:pPr>
              <w:spacing w:after="0" w:line="276" w:lineRule="auto"/>
              <w:jc w:val="both"/>
              <w:rPr>
                <w:rFonts w:ascii="Times New Roman" w:eastAsia="Times New Roman" w:hAnsi="Times New Roman" w:cs="Times New Roman"/>
                <w:lang w:val="en-GB"/>
              </w:rPr>
            </w:pPr>
          </w:p>
          <w:p w14:paraId="7FE1E163" w14:textId="77777777" w:rsidR="00FE4582" w:rsidRPr="00A66F03" w:rsidRDefault="00976636" w:rsidP="00FE4582">
            <w:pPr>
              <w:spacing w:after="0" w:line="276" w:lineRule="auto"/>
              <w:jc w:val="both"/>
              <w:rPr>
                <w:rFonts w:ascii="Times New Roman" w:eastAsia="Times New Roman" w:hAnsi="Times New Roman" w:cs="Times New Roman"/>
                <w:lang w:val="en-GB"/>
              </w:rPr>
            </w:pPr>
            <w:r w:rsidRPr="00A66F03">
              <w:rPr>
                <w:rFonts w:ascii="Times New Roman" w:eastAsia="Times New Roman" w:hAnsi="Times New Roman" w:cs="Times New Roman"/>
                <w:b/>
                <w:bCs/>
                <w:lang w:val="en-GB"/>
              </w:rPr>
              <w:t>Under CP1</w:t>
            </w:r>
            <w:r w:rsidRPr="00A66F03">
              <w:rPr>
                <w:rFonts w:ascii="Times New Roman" w:eastAsia="Times New Roman" w:hAnsi="Times New Roman" w:cs="Times New Roman"/>
                <w:lang w:val="en-GB"/>
              </w:rPr>
              <w:t>, coordination, demarcation and complementarity between the ERDF and the ESF+ will be</w:t>
            </w:r>
            <w:r w:rsidRPr="00A66F03">
              <w:rPr>
                <w:rFonts w:ascii="Times New Roman" w:eastAsia="Times New Roman" w:hAnsi="Times New Roman" w:cs="Times New Roman"/>
                <w:b/>
                <w:bCs/>
                <w:lang w:val="en-GB"/>
              </w:rPr>
              <w:t xml:space="preserve"> </w:t>
            </w:r>
            <w:r w:rsidRPr="00A66F03">
              <w:rPr>
                <w:rFonts w:ascii="Times New Roman" w:eastAsia="Times New Roman" w:hAnsi="Times New Roman" w:cs="Times New Roman"/>
                <w:lang w:val="en-GB"/>
              </w:rPr>
              <w:t>ensured through regular and close cooperati</w:t>
            </w:r>
            <w:r w:rsidRPr="00A66F03">
              <w:rPr>
                <w:rFonts w:ascii="Times New Roman" w:eastAsia="Times New Roman" w:hAnsi="Times New Roman" w:cs="Times New Roman"/>
                <w:lang w:val="en-GB"/>
              </w:rPr>
              <w:t>on between ministries and government departments, in particular with the department responsible for the implementation of European Cohesion Policy (ECP) programmes, the department responsible for digital transformation, the department responsible for the e</w:t>
            </w:r>
            <w:r w:rsidRPr="00A66F03">
              <w:rPr>
                <w:rFonts w:ascii="Times New Roman" w:eastAsia="Times New Roman" w:hAnsi="Times New Roman" w:cs="Times New Roman"/>
                <w:lang w:val="en-GB"/>
              </w:rPr>
              <w:t>conomy, the department responsible for technology, the department responsible for education, and the department responsible for science. The state secretaries of these departments will form the core operational management team for S5. This group will, amon</w:t>
            </w:r>
            <w:r w:rsidRPr="00A66F03">
              <w:rPr>
                <w:rFonts w:ascii="Times New Roman" w:eastAsia="Times New Roman" w:hAnsi="Times New Roman" w:cs="Times New Roman"/>
                <w:lang w:val="en-GB"/>
              </w:rPr>
              <w:t>g other things, endorse the Strategic Partnership Action Plans, in which all interested stakeholders can participate. Within the Slovenian government, the department responsible for S5 coordination is the department responsible for ECP. Coordination, demar</w:t>
            </w:r>
            <w:r w:rsidRPr="00A66F03">
              <w:rPr>
                <w:rFonts w:ascii="Times New Roman" w:eastAsia="Times New Roman" w:hAnsi="Times New Roman" w:cs="Times New Roman"/>
                <w:lang w:val="en-GB"/>
              </w:rPr>
              <w:t xml:space="preserve">cation and complementarity will also take place within the Monitoring Committee, which is expected to meet once a year. </w:t>
            </w:r>
          </w:p>
          <w:p w14:paraId="17909E56" w14:textId="77777777" w:rsidR="007B07CA" w:rsidRPr="00A66F03" w:rsidRDefault="007B07CA" w:rsidP="00FE4582">
            <w:pPr>
              <w:spacing w:after="0" w:line="276" w:lineRule="auto"/>
              <w:jc w:val="both"/>
              <w:rPr>
                <w:rFonts w:ascii="Times New Roman" w:eastAsia="Times New Roman" w:hAnsi="Times New Roman" w:cs="Times New Roman"/>
                <w:lang w:val="en-GB"/>
              </w:rPr>
            </w:pPr>
          </w:p>
          <w:p w14:paraId="2216F707" w14:textId="77777777" w:rsidR="00FE4582" w:rsidRPr="00A66F03" w:rsidRDefault="00976636" w:rsidP="00FE4582">
            <w:pPr>
              <w:spacing w:after="0" w:line="276" w:lineRule="auto"/>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t>The Slovenian Smart Specialisation Strategy (S5) is the strategy underpinning the implementation of all ECP policy objectives in areas</w:t>
            </w:r>
            <w:r w:rsidRPr="00A66F03">
              <w:rPr>
                <w:rFonts w:ascii="Times New Roman" w:eastAsia="Times New Roman" w:hAnsi="Times New Roman" w:cs="Times New Roman"/>
                <w:lang w:val="en-GB"/>
              </w:rPr>
              <w:t xml:space="preserve"> concerning smart specialisation. S5 is aligned with all relevant sectoral strategies (Slovenian Industrial Strategy, Scientific Research Innovation Strategy, etc.). During the implementation phase, the S5 team within the managing authority will give an op</w:t>
            </w:r>
            <w:r w:rsidRPr="00A66F03">
              <w:rPr>
                <w:rFonts w:ascii="Times New Roman" w:eastAsia="Times New Roman" w:hAnsi="Times New Roman" w:cs="Times New Roman"/>
                <w:lang w:val="en-GB"/>
              </w:rPr>
              <w:t>inion on the compliance of each instrument with S5.</w:t>
            </w:r>
          </w:p>
          <w:p w14:paraId="660F7A58" w14:textId="77777777" w:rsidR="00312F8F" w:rsidRPr="00A66F03" w:rsidRDefault="00312F8F" w:rsidP="00FE4582">
            <w:pPr>
              <w:spacing w:after="0" w:line="276" w:lineRule="auto"/>
              <w:jc w:val="both"/>
              <w:rPr>
                <w:rFonts w:ascii="Times New Roman" w:eastAsia="Times New Roman" w:hAnsi="Times New Roman" w:cs="Times New Roman"/>
                <w:lang w:val="en-GB"/>
              </w:rPr>
            </w:pPr>
          </w:p>
          <w:p w14:paraId="7AD561A6" w14:textId="77777777" w:rsidR="00312F8F" w:rsidRPr="00A66F03" w:rsidRDefault="00976636" w:rsidP="00312F8F">
            <w:pPr>
              <w:spacing w:after="0" w:line="276" w:lineRule="auto"/>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t>The coordination of territorial approaches for the ERDF and ESF+ will take place centrally. A specific national development coordination for territorial approaches will be developed at the department res</w:t>
            </w:r>
            <w:r w:rsidRPr="00A66F03">
              <w:rPr>
                <w:rFonts w:ascii="Times New Roman" w:eastAsia="Times New Roman" w:hAnsi="Times New Roman" w:cs="Times New Roman"/>
                <w:lang w:val="en-GB"/>
              </w:rPr>
              <w:t xml:space="preserve">ponsible for the implementation of ECP programmes. </w:t>
            </w:r>
          </w:p>
          <w:p w14:paraId="67101BC8" w14:textId="77777777" w:rsidR="00312F8F" w:rsidRPr="00A66F03" w:rsidRDefault="00312F8F" w:rsidP="00FE4582">
            <w:pPr>
              <w:spacing w:after="0" w:line="276" w:lineRule="auto"/>
              <w:jc w:val="both"/>
              <w:rPr>
                <w:rFonts w:ascii="Times New Roman" w:eastAsia="Times New Roman" w:hAnsi="Times New Roman" w:cs="Times New Roman"/>
                <w:lang w:val="en-GB"/>
              </w:rPr>
            </w:pPr>
          </w:p>
          <w:p w14:paraId="7006B8DF" w14:textId="77777777" w:rsidR="009835CF" w:rsidRPr="00A66F03" w:rsidRDefault="00976636" w:rsidP="00B72629">
            <w:pPr>
              <w:spacing w:after="0" w:line="276" w:lineRule="auto"/>
              <w:jc w:val="both"/>
              <w:rPr>
                <w:rFonts w:ascii="Times New Roman" w:eastAsia="Times New Roman" w:hAnsi="Times New Roman" w:cs="Times New Roman"/>
                <w:lang w:val="en-GB"/>
              </w:rPr>
            </w:pPr>
            <w:r w:rsidRPr="00A66F03">
              <w:rPr>
                <w:rFonts w:ascii="Times New Roman" w:eastAsia="Times New Roman" w:hAnsi="Times New Roman" w:cs="Times New Roman"/>
                <w:b/>
                <w:bCs/>
                <w:lang w:val="en-GB"/>
              </w:rPr>
              <w:t>Under CP2</w:t>
            </w:r>
            <w:r w:rsidRPr="00A66F03">
              <w:rPr>
                <w:rFonts w:ascii="Times New Roman" w:eastAsia="Times New Roman" w:hAnsi="Times New Roman" w:cs="Times New Roman"/>
                <w:lang w:val="en-GB"/>
              </w:rPr>
              <w:t>,</w:t>
            </w:r>
            <w:r w:rsidRPr="00A66F03">
              <w:rPr>
                <w:rFonts w:ascii="Times New Roman" w:eastAsia="Times New Roman" w:hAnsi="Times New Roman" w:cs="Times New Roman"/>
                <w:b/>
                <w:bCs/>
                <w:lang w:val="en-GB"/>
              </w:rPr>
              <w:t xml:space="preserve"> </w:t>
            </w:r>
            <w:r w:rsidRPr="00A66F03">
              <w:rPr>
                <w:rFonts w:ascii="Times New Roman" w:eastAsia="Times New Roman" w:hAnsi="Times New Roman" w:cs="Times New Roman"/>
                <w:lang w:val="en-GB"/>
              </w:rPr>
              <w:t>coordination, demarcation and complementarity between the ERDF, CF and EMFAF will be regularly conducted at government level and at the Monitoring Committee, which is expected to meet once a y</w:t>
            </w:r>
            <w:r w:rsidRPr="00A66F03">
              <w:rPr>
                <w:rFonts w:ascii="Times New Roman" w:eastAsia="Times New Roman" w:hAnsi="Times New Roman" w:cs="Times New Roman"/>
                <w:lang w:val="en-GB"/>
              </w:rPr>
              <w:t>ear. The Ministry of the Environment and Spatial Planning (MOP) is responsible for coordinating issues covered by this area, including climate change adaptation and risk prevention and management, promoting access to water, sustainable water management, im</w:t>
            </w:r>
            <w:r w:rsidRPr="00A66F03">
              <w:rPr>
                <w:rFonts w:ascii="Times New Roman" w:eastAsia="Times New Roman" w:hAnsi="Times New Roman" w:cs="Times New Roman"/>
                <w:lang w:val="en-GB"/>
              </w:rPr>
              <w:t xml:space="preserve">proving nature and biodiversity protection and conservation, and reducing all forms of pollution, while the Ministry of </w:t>
            </w:r>
            <w:r w:rsidRPr="00A66F03">
              <w:rPr>
                <w:rFonts w:ascii="Times New Roman" w:eastAsia="Times New Roman" w:hAnsi="Times New Roman" w:cs="Times New Roman"/>
                <w:lang w:val="en-GB"/>
              </w:rPr>
              <w:lastRenderedPageBreak/>
              <w:t xml:space="preserve">Infrastructure (MZI) is responsible for low-carbon, clean and just energy supply. The MKGP is responsible for coordinating the elements </w:t>
            </w:r>
            <w:r w:rsidRPr="00A66F03">
              <w:rPr>
                <w:rFonts w:ascii="Times New Roman" w:eastAsia="Times New Roman" w:hAnsi="Times New Roman" w:cs="Times New Roman"/>
                <w:lang w:val="en-GB"/>
              </w:rPr>
              <w:t>covered by the EMFAF.</w:t>
            </w:r>
          </w:p>
          <w:p w14:paraId="4CEF2E75" w14:textId="77777777" w:rsidR="00A13249" w:rsidRPr="00A66F03" w:rsidRDefault="00A13249" w:rsidP="00B72629">
            <w:pPr>
              <w:spacing w:after="0" w:line="276" w:lineRule="auto"/>
              <w:jc w:val="both"/>
              <w:rPr>
                <w:rFonts w:ascii="Times New Roman" w:eastAsia="Times New Roman" w:hAnsi="Times New Roman" w:cs="Times New Roman"/>
                <w:lang w:val="en-GB"/>
              </w:rPr>
            </w:pPr>
          </w:p>
          <w:p w14:paraId="0ED62AA1" w14:textId="77777777" w:rsidR="002A4869" w:rsidRPr="00A66F03" w:rsidRDefault="00976636" w:rsidP="002A4869">
            <w:pPr>
              <w:spacing w:after="0" w:line="276" w:lineRule="auto"/>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t xml:space="preserve">The coordination of territorial approaches for the ERDF and CF will take place centrally. A specific national development coordination for territorial approaches will be developed at the department responsible for the implementation of ECP programmes. </w:t>
            </w:r>
          </w:p>
          <w:p w14:paraId="492E1A16" w14:textId="77777777" w:rsidR="004942FD" w:rsidRPr="00A66F03" w:rsidRDefault="004942FD" w:rsidP="00B72629">
            <w:pPr>
              <w:spacing w:after="0" w:line="276" w:lineRule="auto"/>
              <w:jc w:val="both"/>
              <w:rPr>
                <w:rFonts w:ascii="Times New Roman" w:eastAsia="Times New Roman" w:hAnsi="Times New Roman" w:cs="Times New Roman"/>
                <w:lang w:val="en-GB"/>
              </w:rPr>
            </w:pPr>
          </w:p>
          <w:p w14:paraId="08AB8F4B" w14:textId="77777777" w:rsidR="009835CF" w:rsidRPr="00A66F03" w:rsidRDefault="00976636" w:rsidP="00B72629">
            <w:pPr>
              <w:spacing w:after="0" w:line="276" w:lineRule="auto"/>
              <w:jc w:val="both"/>
              <w:rPr>
                <w:rFonts w:ascii="Times New Roman" w:eastAsia="Times New Roman" w:hAnsi="Times New Roman" w:cs="Times New Roman"/>
                <w:lang w:val="en-GB"/>
              </w:rPr>
            </w:pPr>
            <w:r w:rsidRPr="00A66F03">
              <w:rPr>
                <w:rFonts w:ascii="Times New Roman" w:eastAsia="Times New Roman" w:hAnsi="Times New Roman" w:cs="Times New Roman"/>
                <w:b/>
                <w:bCs/>
                <w:lang w:val="en-GB"/>
              </w:rPr>
              <w:t>Under CP3</w:t>
            </w:r>
            <w:r w:rsidRPr="00A66F03">
              <w:rPr>
                <w:rFonts w:ascii="Times New Roman" w:eastAsia="Times New Roman" w:hAnsi="Times New Roman" w:cs="Times New Roman"/>
                <w:lang w:val="en-GB"/>
              </w:rPr>
              <w:t>,</w:t>
            </w:r>
            <w:r w:rsidRPr="00A66F03">
              <w:rPr>
                <w:rFonts w:ascii="Times New Roman" w:eastAsia="Times New Roman" w:hAnsi="Times New Roman" w:cs="Times New Roman"/>
                <w:b/>
                <w:bCs/>
                <w:lang w:val="en-GB"/>
              </w:rPr>
              <w:t xml:space="preserve"> </w:t>
            </w:r>
            <w:r w:rsidRPr="00A66F03">
              <w:rPr>
                <w:rFonts w:ascii="Times New Roman" w:eastAsia="Times New Roman" w:hAnsi="Times New Roman" w:cs="Times New Roman"/>
                <w:lang w:val="en-GB"/>
              </w:rPr>
              <w:t>coordination, demarcation and complementarity between the ERDF and CF will be regularly conducted at government level and at the Monitoring Committee, which is expected to meet once a year. The MZI is responsible for coordinating mobility conten</w:t>
            </w:r>
            <w:r w:rsidRPr="00A66F03">
              <w:rPr>
                <w:rFonts w:ascii="Times New Roman" w:eastAsia="Times New Roman" w:hAnsi="Times New Roman" w:cs="Times New Roman"/>
                <w:lang w:val="en-GB"/>
              </w:rPr>
              <w:t>t.</w:t>
            </w:r>
          </w:p>
          <w:p w14:paraId="38A4E6CB" w14:textId="77777777" w:rsidR="007B07CA" w:rsidRPr="00A66F03" w:rsidRDefault="007B07CA" w:rsidP="00B72629">
            <w:pPr>
              <w:spacing w:after="0" w:line="276" w:lineRule="auto"/>
              <w:jc w:val="both"/>
              <w:rPr>
                <w:rFonts w:ascii="Times New Roman" w:eastAsia="Times New Roman" w:hAnsi="Times New Roman" w:cs="Times New Roman"/>
                <w:lang w:val="en-GB"/>
              </w:rPr>
            </w:pPr>
          </w:p>
          <w:p w14:paraId="2936DC94" w14:textId="77777777" w:rsidR="002A4869" w:rsidRPr="00A66F03" w:rsidRDefault="00976636" w:rsidP="002A4869">
            <w:pPr>
              <w:spacing w:after="0" w:line="276" w:lineRule="auto"/>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t xml:space="preserve">The coordination of territorial approaches for the ERDF and CF will take place centrally. A specific national development coordination for territorial approaches will be developed at the department responsible for the implementation of ECP programmes. </w:t>
            </w:r>
          </w:p>
          <w:p w14:paraId="38B8E3A5" w14:textId="77777777" w:rsidR="004942FD" w:rsidRPr="00A66F03" w:rsidRDefault="004942FD" w:rsidP="00B72629">
            <w:pPr>
              <w:spacing w:after="0" w:line="276" w:lineRule="auto"/>
              <w:jc w:val="both"/>
              <w:rPr>
                <w:rFonts w:ascii="Times New Roman" w:eastAsia="Times New Roman" w:hAnsi="Times New Roman" w:cs="Times New Roman"/>
                <w:lang w:val="en-GB"/>
              </w:rPr>
            </w:pPr>
          </w:p>
          <w:p w14:paraId="28020E87" w14:textId="77777777" w:rsidR="00B8319A" w:rsidRPr="00A66F03" w:rsidRDefault="00976636" w:rsidP="00B72629">
            <w:pPr>
              <w:spacing w:after="0" w:line="276" w:lineRule="auto"/>
              <w:jc w:val="both"/>
              <w:rPr>
                <w:rFonts w:ascii="Times New Roman" w:eastAsia="Times New Roman" w:hAnsi="Times New Roman" w:cs="Times New Roman"/>
                <w:lang w:val="en-GB"/>
              </w:rPr>
            </w:pPr>
            <w:r w:rsidRPr="00A66F03">
              <w:rPr>
                <w:rFonts w:ascii="Times New Roman" w:eastAsia="Times New Roman" w:hAnsi="Times New Roman" w:cs="Times New Roman"/>
                <w:b/>
                <w:bCs/>
                <w:lang w:val="en-GB"/>
              </w:rPr>
              <w:t>Under CP4</w:t>
            </w:r>
            <w:r w:rsidRPr="00A66F03">
              <w:rPr>
                <w:rFonts w:ascii="Times New Roman" w:eastAsia="Times New Roman" w:hAnsi="Times New Roman" w:cs="Times New Roman"/>
                <w:lang w:val="en-GB"/>
              </w:rPr>
              <w:t>,</w:t>
            </w:r>
            <w:r w:rsidRPr="00A66F03">
              <w:rPr>
                <w:rFonts w:ascii="Times New Roman" w:eastAsia="Times New Roman" w:hAnsi="Times New Roman" w:cs="Times New Roman"/>
                <w:b/>
                <w:bCs/>
                <w:lang w:val="en-GB"/>
              </w:rPr>
              <w:t xml:space="preserve"> </w:t>
            </w:r>
            <w:r w:rsidRPr="00A66F03">
              <w:rPr>
                <w:rFonts w:ascii="Times New Roman" w:eastAsia="Times New Roman" w:hAnsi="Times New Roman" w:cs="Times New Roman"/>
                <w:lang w:val="en-GB"/>
              </w:rPr>
              <w:t>coordination, demarcation and complementarity between the AMIF, ERDF and ESF+ will be regularly conducted at government level and at the Monitoring Committee, which is expected to meet once a year. The MDDSZ is responsible for coordinating iss</w:t>
            </w:r>
            <w:r w:rsidRPr="00A66F03">
              <w:rPr>
                <w:rFonts w:ascii="Times New Roman" w:eastAsia="Times New Roman" w:hAnsi="Times New Roman" w:cs="Times New Roman"/>
                <w:lang w:val="en-GB"/>
              </w:rPr>
              <w:t>ues relating to the labour market and social security, the MIZŠ for the education sector, the Ministry of Health for the health sector, and the Ministry of the Interior for migration and integration.</w:t>
            </w:r>
          </w:p>
          <w:p w14:paraId="71F425DC" w14:textId="77777777" w:rsidR="009835CF" w:rsidRPr="00A66F03" w:rsidRDefault="009835CF" w:rsidP="00B72629">
            <w:pPr>
              <w:spacing w:after="0" w:line="276" w:lineRule="auto"/>
              <w:jc w:val="both"/>
              <w:rPr>
                <w:rFonts w:ascii="Times New Roman" w:eastAsia="Times New Roman" w:hAnsi="Times New Roman" w:cs="Times New Roman"/>
                <w:lang w:val="en-GB"/>
              </w:rPr>
            </w:pPr>
          </w:p>
          <w:p w14:paraId="3E5D5A70" w14:textId="77777777" w:rsidR="002A4869" w:rsidRPr="00A66F03" w:rsidRDefault="00976636" w:rsidP="002A4869">
            <w:pPr>
              <w:spacing w:after="0" w:line="276" w:lineRule="auto"/>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t>The coordination of territorial approaches for the ERDF</w:t>
            </w:r>
            <w:r w:rsidRPr="00A66F03">
              <w:rPr>
                <w:rFonts w:ascii="Times New Roman" w:eastAsia="Times New Roman" w:hAnsi="Times New Roman" w:cs="Times New Roman"/>
                <w:lang w:val="en-GB"/>
              </w:rPr>
              <w:t xml:space="preserve"> and ESF+ will take place centrally. A specific national development coordination for territorial approaches will be developed at the department responsible for the implementation of ECP programmes. </w:t>
            </w:r>
          </w:p>
          <w:p w14:paraId="1E635BB9" w14:textId="77777777" w:rsidR="004942FD" w:rsidRPr="00A66F03" w:rsidRDefault="004942FD" w:rsidP="00B72629">
            <w:pPr>
              <w:spacing w:after="0" w:line="276" w:lineRule="auto"/>
              <w:jc w:val="both"/>
              <w:rPr>
                <w:rFonts w:ascii="Times New Roman" w:eastAsia="Times New Roman" w:hAnsi="Times New Roman" w:cs="Times New Roman"/>
                <w:lang w:val="en-GB"/>
              </w:rPr>
            </w:pPr>
          </w:p>
          <w:p w14:paraId="64C2844C" w14:textId="77777777" w:rsidR="009835CF" w:rsidRPr="00A66F03" w:rsidRDefault="00976636" w:rsidP="002A4869">
            <w:pPr>
              <w:spacing w:after="0" w:line="276" w:lineRule="auto"/>
              <w:jc w:val="both"/>
              <w:rPr>
                <w:rFonts w:ascii="Times New Roman" w:eastAsia="Times New Roman" w:hAnsi="Times New Roman" w:cs="Times New Roman"/>
                <w:lang w:val="en-GB"/>
              </w:rPr>
            </w:pPr>
            <w:r w:rsidRPr="00A66F03">
              <w:rPr>
                <w:rFonts w:ascii="Times New Roman" w:eastAsia="Times New Roman" w:hAnsi="Times New Roman" w:cs="Times New Roman"/>
                <w:b/>
                <w:bCs/>
                <w:lang w:val="en-GB"/>
              </w:rPr>
              <w:t>Under CP5</w:t>
            </w:r>
            <w:r w:rsidRPr="00A66F03">
              <w:rPr>
                <w:rFonts w:ascii="Times New Roman" w:eastAsia="Times New Roman" w:hAnsi="Times New Roman" w:cs="Times New Roman"/>
                <w:lang w:val="en-GB"/>
              </w:rPr>
              <w:t>,</w:t>
            </w:r>
            <w:r w:rsidRPr="00A66F03">
              <w:rPr>
                <w:rFonts w:ascii="Times New Roman" w:eastAsia="Times New Roman" w:hAnsi="Times New Roman" w:cs="Times New Roman"/>
                <w:b/>
                <w:bCs/>
                <w:lang w:val="en-GB"/>
              </w:rPr>
              <w:t xml:space="preserve"> </w:t>
            </w:r>
            <w:r w:rsidRPr="00A66F03">
              <w:rPr>
                <w:rFonts w:ascii="Times New Roman" w:eastAsia="Times New Roman" w:hAnsi="Times New Roman" w:cs="Times New Roman"/>
                <w:lang w:val="en-GB"/>
              </w:rPr>
              <w:t>the coordination of territorial approaches f</w:t>
            </w:r>
            <w:r w:rsidRPr="00A66F03">
              <w:rPr>
                <w:rFonts w:ascii="Times New Roman" w:eastAsia="Times New Roman" w:hAnsi="Times New Roman" w:cs="Times New Roman"/>
                <w:lang w:val="en-GB"/>
              </w:rPr>
              <w:t>or the ERDF and EMFAF will take place centrally. A specific national development coordination for territorial approaches will be developed at the department responsible for the implementation of ECP programmes. Coordination, demarcation and complementarity</w:t>
            </w:r>
            <w:r w:rsidRPr="00A66F03">
              <w:rPr>
                <w:rFonts w:ascii="Times New Roman" w:eastAsia="Times New Roman" w:hAnsi="Times New Roman" w:cs="Times New Roman"/>
                <w:lang w:val="en-GB"/>
              </w:rPr>
              <w:t xml:space="preserve"> will also take place within the Monitoring Committees, which are expected to meet once a year.</w:t>
            </w:r>
          </w:p>
          <w:p w14:paraId="155A4B60" w14:textId="77777777" w:rsidR="002A4869" w:rsidRPr="00A66F03" w:rsidRDefault="002A4869" w:rsidP="00B72629">
            <w:pPr>
              <w:spacing w:after="0" w:line="276" w:lineRule="auto"/>
              <w:jc w:val="both"/>
              <w:rPr>
                <w:rFonts w:ascii="Times New Roman" w:eastAsia="Times New Roman" w:hAnsi="Times New Roman" w:cs="Times New Roman"/>
                <w:lang w:val="en-GB"/>
              </w:rPr>
            </w:pPr>
          </w:p>
          <w:p w14:paraId="440A6DB4" w14:textId="77777777" w:rsidR="004942FD" w:rsidRPr="00A66F03" w:rsidRDefault="00976636" w:rsidP="00B72629">
            <w:pPr>
              <w:spacing w:after="0" w:line="276" w:lineRule="auto"/>
              <w:jc w:val="both"/>
              <w:rPr>
                <w:rFonts w:ascii="Times New Roman" w:hAnsi="Times New Roman" w:cs="Times New Roman"/>
                <w:lang w:val="en-GB"/>
              </w:rPr>
            </w:pPr>
            <w:r w:rsidRPr="00A66F03">
              <w:rPr>
                <w:rFonts w:ascii="Times New Roman" w:hAnsi="Times New Roman" w:cs="Times New Roman"/>
                <w:lang w:val="en-GB"/>
              </w:rPr>
              <w:t xml:space="preserve">Basis for implementation </w:t>
            </w:r>
            <w:r w:rsidRPr="00A66F03">
              <w:rPr>
                <w:rFonts w:ascii="Times New Roman" w:hAnsi="Times New Roman" w:cs="Times New Roman"/>
                <w:b/>
                <w:bCs/>
                <w:lang w:val="en-GB"/>
              </w:rPr>
              <w:t>under the JTF SC</w:t>
            </w:r>
            <w:r w:rsidRPr="00A66F03">
              <w:rPr>
                <w:rFonts w:ascii="Times New Roman" w:hAnsi="Times New Roman" w:cs="Times New Roman"/>
                <w:lang w:val="en-GB"/>
              </w:rPr>
              <w:t>: Europe for a Just Transition comprises territorial Just Transition plans for the coal regions: Zasavska and Savinjsk</w:t>
            </w:r>
            <w:r w:rsidRPr="00A66F03">
              <w:rPr>
                <w:rFonts w:ascii="Times New Roman" w:hAnsi="Times New Roman" w:cs="Times New Roman"/>
                <w:lang w:val="en-GB"/>
              </w:rPr>
              <w:t xml:space="preserve">o-Šaleška. To support the actions set out in the territorial plans, Slovenia only allocates JTF resources and will not complement them with ERDF and ESF+ resources. Coordination and demarcation of the JTF with the ERDF, ESF+ and CF already take place when </w:t>
            </w:r>
            <w:r w:rsidRPr="00A66F03">
              <w:rPr>
                <w:rFonts w:ascii="Times New Roman" w:hAnsi="Times New Roman" w:cs="Times New Roman"/>
                <w:lang w:val="en-GB"/>
              </w:rPr>
              <w:t>the territorial plans are being drawn up, with representatives of national and local levels participating in the coordination groups. Regular coordination will take place both at the level of each coal region and at national level, i.e. at government level</w:t>
            </w:r>
            <w:r w:rsidRPr="00A66F03">
              <w:rPr>
                <w:rFonts w:ascii="Times New Roman" w:hAnsi="Times New Roman" w:cs="Times New Roman"/>
                <w:lang w:val="en-GB"/>
              </w:rPr>
              <w:t xml:space="preserve"> and at the level of the Monitoring Committee, which is expected to meet once a year. As the content of the JTF is the responsibility of several ministries, coordination will be provided by the SVRK, which will work closely with the RDA (as the regional-le</w:t>
            </w:r>
            <w:r w:rsidRPr="00A66F03">
              <w:rPr>
                <w:rFonts w:ascii="Times New Roman" w:hAnsi="Times New Roman" w:cs="Times New Roman"/>
                <w:lang w:val="en-GB"/>
              </w:rPr>
              <w:t>vel coordinator) and with the Regional Development Council.</w:t>
            </w:r>
          </w:p>
          <w:p w14:paraId="5F1F6556" w14:textId="77777777" w:rsidR="00471AA1" w:rsidRPr="00A66F03" w:rsidRDefault="00471AA1" w:rsidP="00B72629">
            <w:pPr>
              <w:spacing w:after="0" w:line="276" w:lineRule="auto"/>
              <w:jc w:val="both"/>
              <w:rPr>
                <w:rFonts w:ascii="Times New Roman" w:eastAsia="Times New Roman" w:hAnsi="Times New Roman" w:cs="Times New Roman"/>
                <w:lang w:val="en-GB"/>
              </w:rPr>
            </w:pPr>
          </w:p>
          <w:p w14:paraId="527F7101" w14:textId="77777777" w:rsidR="007B07CA" w:rsidRPr="00A66F03" w:rsidRDefault="007B07CA" w:rsidP="00B72629">
            <w:pPr>
              <w:spacing w:after="0" w:line="276" w:lineRule="auto"/>
              <w:jc w:val="both"/>
              <w:rPr>
                <w:rFonts w:ascii="Times New Roman" w:eastAsia="Times New Roman" w:hAnsi="Times New Roman" w:cs="Times New Roman"/>
                <w:lang w:val="en-GB"/>
              </w:rPr>
            </w:pPr>
          </w:p>
        </w:tc>
      </w:tr>
    </w:tbl>
    <w:p w14:paraId="078C9E1A" w14:textId="77777777" w:rsidR="00A76FF9" w:rsidRPr="00A66F03" w:rsidRDefault="00976636" w:rsidP="00B72629">
      <w:pPr>
        <w:pStyle w:val="Naslov2"/>
        <w:spacing w:before="0" w:line="276" w:lineRule="auto"/>
        <w:rPr>
          <w:rFonts w:eastAsia="Times New Roman" w:cs="Times New Roman"/>
          <w:lang w:val="en-GB"/>
        </w:rPr>
      </w:pPr>
      <w:bookmarkStart w:id="25" w:name="_Toc115336015"/>
      <w:r w:rsidRPr="00A66F03">
        <w:rPr>
          <w:rFonts w:eastAsia="Times New Roman" w:cs="Times New Roman"/>
          <w:lang w:val="en-GB"/>
        </w:rPr>
        <w:lastRenderedPageBreak/>
        <w:t>2.2 Complementarities</w:t>
      </w:r>
      <w:r w:rsidRPr="00A66F03">
        <w:rPr>
          <w:rFonts w:eastAsia="Times New Roman" w:cs="Times New Roman"/>
          <w:color w:val="444444"/>
          <w:lang w:val="en-GB"/>
        </w:rPr>
        <w:t xml:space="preserve"> </w:t>
      </w:r>
      <w:r w:rsidRPr="00A66F03">
        <w:rPr>
          <w:rFonts w:eastAsia="Times New Roman" w:cs="Times New Roman"/>
          <w:lang w:val="en-GB"/>
        </w:rPr>
        <w:t>and synergies between the funds covered by the Partnership Agreement, the AMIF, the ISF, the BMVI, and other Union instruments</w:t>
      </w:r>
      <w:bookmarkEnd w:id="25"/>
      <w:r w:rsidRPr="00A66F03">
        <w:rPr>
          <w:rFonts w:eastAsia="Times New Roman" w:cs="Times New Roman"/>
          <w:lang w:val="en-GB"/>
        </w:rPr>
        <w:t xml:space="preserve"> </w:t>
      </w:r>
    </w:p>
    <w:p w14:paraId="389A01EB" w14:textId="77777777" w:rsidR="00901714" w:rsidRPr="00A66F03" w:rsidRDefault="00901714" w:rsidP="00B72629">
      <w:pPr>
        <w:pStyle w:val="Naslov2"/>
        <w:spacing w:before="0" w:line="276" w:lineRule="auto"/>
        <w:rPr>
          <w:rFonts w:eastAsia="Times New Roman" w:cs="Times New Roman"/>
          <w:b/>
          <w:lang w:val="en-GB"/>
        </w:rPr>
      </w:pPr>
    </w:p>
    <w:tbl>
      <w:tblPr>
        <w:tblW w:w="5000" w:type="pct"/>
        <w:tblCellMar>
          <w:top w:w="150" w:type="dxa"/>
          <w:left w:w="150" w:type="dxa"/>
          <w:bottom w:w="150" w:type="dxa"/>
          <w:right w:w="150" w:type="dxa"/>
        </w:tblCellMar>
        <w:tblLook w:val="04A0" w:firstRow="1" w:lastRow="0" w:firstColumn="1" w:lastColumn="0" w:noHBand="0" w:noVBand="1"/>
      </w:tblPr>
      <w:tblGrid>
        <w:gridCol w:w="9072"/>
      </w:tblGrid>
      <w:tr w:rsidR="00143DBE" w:rsidRPr="00A66F03" w14:paraId="5372CFAD" w14:textId="77777777" w:rsidTr="006C79C7">
        <w:tc>
          <w:tcPr>
            <w:tcW w:w="5000" w:type="pct"/>
            <w:shd w:val="clear" w:color="auto" w:fill="auto"/>
            <w:tcMar>
              <w:top w:w="0" w:type="dxa"/>
              <w:left w:w="0" w:type="dxa"/>
              <w:bottom w:w="0" w:type="dxa"/>
              <w:right w:w="0" w:type="dxa"/>
            </w:tcMar>
            <w:vAlign w:val="center"/>
            <w:hideMark/>
          </w:tcPr>
          <w:p w14:paraId="0748703D" w14:textId="77777777" w:rsidR="000E7159" w:rsidRPr="00A66F03" w:rsidRDefault="00976636" w:rsidP="00B72629">
            <w:pPr>
              <w:spacing w:after="0" w:line="276" w:lineRule="auto"/>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t>The SVRK</w:t>
            </w:r>
            <w:r w:rsidRPr="00A66F03">
              <w:rPr>
                <w:rFonts w:ascii="Times New Roman" w:eastAsia="Times New Roman" w:hAnsi="Times New Roman" w:cs="Times New Roman"/>
                <w:lang w:val="en-GB"/>
              </w:rPr>
              <w:t xml:space="preserve"> will coordinate the complementarities and synergies between the funds covered by the Partnership Agreement, the AMIF, the ISF, the BMVI, and other Union instruments. The implementing provisions between other Union instruments and cohesion policy will be c</w:t>
            </w:r>
            <w:r w:rsidRPr="00A66F03">
              <w:rPr>
                <w:rFonts w:ascii="Times New Roman" w:eastAsia="Times New Roman" w:hAnsi="Times New Roman" w:cs="Times New Roman"/>
                <w:lang w:val="en-GB"/>
              </w:rPr>
              <w:t>oordinated within the context of the monitoring of the Partnership Agreement. In addition, where relevant and in accordance with customary government procedure, all such documents should be coordinated in advance with other interested government parties.</w:t>
            </w:r>
          </w:p>
          <w:p w14:paraId="01067BCD" w14:textId="77777777" w:rsidR="00FA488E" w:rsidRPr="00A66F03" w:rsidRDefault="00FA488E" w:rsidP="00B72629">
            <w:pPr>
              <w:spacing w:after="0" w:line="276" w:lineRule="auto"/>
              <w:jc w:val="both"/>
              <w:rPr>
                <w:rFonts w:ascii="Times New Roman" w:hAnsi="Times New Roman" w:cs="Times New Roman"/>
                <w:color w:val="000000"/>
                <w:lang w:val="en-GB"/>
              </w:rPr>
            </w:pPr>
          </w:p>
          <w:p w14:paraId="70C81E51" w14:textId="77777777" w:rsidR="00FA488E" w:rsidRPr="00A66F03" w:rsidRDefault="00976636" w:rsidP="00B72629">
            <w:pPr>
              <w:spacing w:after="0" w:line="276" w:lineRule="auto"/>
              <w:jc w:val="both"/>
              <w:rPr>
                <w:rFonts w:ascii="Times New Roman" w:eastAsia="Times New Roman" w:hAnsi="Times New Roman" w:cs="Times New Roman"/>
                <w:lang w:val="en-GB"/>
              </w:rPr>
            </w:pPr>
            <w:r w:rsidRPr="00A66F03">
              <w:rPr>
                <w:rFonts w:ascii="Times New Roman" w:hAnsi="Times New Roman"/>
                <w:color w:val="000000"/>
                <w:lang w:val="en-GB"/>
              </w:rPr>
              <w:t>The demarcation and complementarity between the different sources of funding will be ensured in terms of content (where relevant or possible), at instrument level (public tender), at project level (where major infrastructure projects are involved) and in t</w:t>
            </w:r>
            <w:r w:rsidRPr="00A66F03">
              <w:rPr>
                <w:rFonts w:ascii="Times New Roman" w:hAnsi="Times New Roman"/>
                <w:color w:val="000000"/>
                <w:lang w:val="en-GB"/>
              </w:rPr>
              <w:t>erms of time succession (first the RRP and then ECP), also with a view to achieving the objectives (e.g. NECPs).</w:t>
            </w:r>
            <w:r w:rsidRPr="00A66F03">
              <w:rPr>
                <w:lang w:val="en-GB"/>
              </w:rPr>
              <w:t xml:space="preserve"> </w:t>
            </w:r>
            <w:r w:rsidRPr="00A66F03">
              <w:rPr>
                <w:rFonts w:ascii="Times New Roman" w:hAnsi="Times New Roman"/>
                <w:lang w:val="en-GB"/>
              </w:rPr>
              <w:t>Implementation of the European Structural and Investment Funds will respect the EU Charter of Fundamental Rights.</w:t>
            </w:r>
            <w:r w:rsidRPr="00A66F03">
              <w:rPr>
                <w:lang w:val="en-GB"/>
              </w:rPr>
              <w:t xml:space="preserve"> </w:t>
            </w:r>
          </w:p>
          <w:p w14:paraId="48400821" w14:textId="77777777" w:rsidR="00B41C35" w:rsidRPr="00A66F03" w:rsidRDefault="00B41C35" w:rsidP="00B72629">
            <w:pPr>
              <w:spacing w:after="0" w:line="276" w:lineRule="auto"/>
              <w:jc w:val="both"/>
              <w:rPr>
                <w:rFonts w:ascii="Times New Roman" w:eastAsia="Times New Roman" w:hAnsi="Times New Roman" w:cs="Times New Roman"/>
                <w:lang w:val="en-GB"/>
              </w:rPr>
            </w:pPr>
          </w:p>
          <w:p w14:paraId="5B84C55C" w14:textId="77777777" w:rsidR="005C3C82" w:rsidRPr="00A66F03" w:rsidRDefault="00976636" w:rsidP="007B07CA">
            <w:pPr>
              <w:pStyle w:val="Pripombabesedilo"/>
              <w:spacing w:after="0" w:line="276" w:lineRule="auto"/>
              <w:jc w:val="both"/>
              <w:rPr>
                <w:rFonts w:ascii="Times New Roman" w:eastAsia="Times New Roman" w:hAnsi="Times New Roman" w:cs="Times New Roman"/>
                <w:sz w:val="22"/>
                <w:szCs w:val="22"/>
                <w:lang w:val="en-GB"/>
              </w:rPr>
            </w:pPr>
            <w:r w:rsidRPr="00A66F03">
              <w:rPr>
                <w:rFonts w:ascii="Times New Roman" w:hAnsi="Times New Roman" w:cs="Times New Roman"/>
                <w:sz w:val="22"/>
                <w:szCs w:val="22"/>
                <w:lang w:val="en-GB"/>
              </w:rPr>
              <w:t>Following the approval of the Recovery and Resilience Plan (RRP) by the Council of the EU, the coordination of its implementation was undertaken by a new independent and organisationally and functionally separate body within the Ministry of Finance (Office</w:t>
            </w:r>
            <w:r w:rsidRPr="00A66F03">
              <w:rPr>
                <w:rFonts w:ascii="Times New Roman" w:hAnsi="Times New Roman" w:cs="Times New Roman"/>
                <w:sz w:val="22"/>
                <w:szCs w:val="22"/>
                <w:lang w:val="en-GB"/>
              </w:rPr>
              <w:t xml:space="preserve"> for Recovery and Resilience). It will be responsible for setting up the implementation system and for the implementation of the RRP itself. Its tasks include coordinating with other stakeholders in the implementation of the RRP and with the European Commi</w:t>
            </w:r>
            <w:r w:rsidRPr="00A66F03">
              <w:rPr>
                <w:rFonts w:ascii="Times New Roman" w:hAnsi="Times New Roman" w:cs="Times New Roman"/>
                <w:sz w:val="22"/>
                <w:szCs w:val="22"/>
                <w:lang w:val="en-GB"/>
              </w:rPr>
              <w:t>ssion, coordinating the preparation of legal acts and strategy documents relating to implementation of the RRP, monitoring and evaluating the results of RRP implementation and providing information to the European Commission, ensuring proper financial mana</w:t>
            </w:r>
            <w:r w:rsidRPr="00A66F03">
              <w:rPr>
                <w:rFonts w:ascii="Times New Roman" w:hAnsi="Times New Roman" w:cs="Times New Roman"/>
                <w:sz w:val="22"/>
                <w:szCs w:val="22"/>
                <w:lang w:val="en-GB"/>
              </w:rPr>
              <w:t>gement together with the participating ministries, carrying out controls and control measures at ministry or beneficiary level, and drawing up and signing the management declaration; it is also responsible for monitoring, verifying and validating the achie</w:t>
            </w:r>
            <w:r w:rsidRPr="00A66F03">
              <w:rPr>
                <w:rFonts w:ascii="Times New Roman" w:hAnsi="Times New Roman" w:cs="Times New Roman"/>
                <w:sz w:val="22"/>
                <w:szCs w:val="22"/>
                <w:lang w:val="en-GB"/>
              </w:rPr>
              <w:t>vement of the milestones and targets that have been set. We will put in place a system for ensuring complementarity that establishes the participation and co-participation of existing structures and institutions by extending the membership and complementin</w:t>
            </w:r>
            <w:r w:rsidRPr="00A66F03">
              <w:rPr>
                <w:rFonts w:ascii="Times New Roman" w:hAnsi="Times New Roman" w:cs="Times New Roman"/>
                <w:sz w:val="22"/>
                <w:szCs w:val="22"/>
                <w:lang w:val="en-GB"/>
              </w:rPr>
              <w:t xml:space="preserve">g the tasks of the #NGS2 working group, which was established on 24 July 2020 (Government Decision No 54402-6/2020/3). This will ensure consistency in the use of resources from all relevant financial sources, notably national funds, ERDF, CF, ESF+ and JTF </w:t>
            </w:r>
            <w:r w:rsidRPr="00A66F03">
              <w:rPr>
                <w:rFonts w:ascii="Times New Roman" w:hAnsi="Times New Roman" w:cs="Times New Roman"/>
                <w:sz w:val="22"/>
                <w:szCs w:val="22"/>
                <w:lang w:val="en-GB"/>
              </w:rPr>
              <w:t>(EMF), EMFAF, the Common Agricultural Policy (CAP) and other EU instruments (e.g. CEF2 Digital and InvestEU in digitalisation).</w:t>
            </w:r>
          </w:p>
          <w:p w14:paraId="0F943F6E" w14:textId="77777777" w:rsidR="007B07CA" w:rsidRPr="00A66F03" w:rsidRDefault="007B07CA" w:rsidP="00B72629">
            <w:pPr>
              <w:pStyle w:val="Pripombabesedilo"/>
              <w:spacing w:after="0" w:line="276" w:lineRule="auto"/>
              <w:rPr>
                <w:rFonts w:ascii="Times New Roman" w:eastAsia="Times New Roman" w:hAnsi="Times New Roman" w:cs="Times New Roman"/>
                <w:sz w:val="22"/>
                <w:szCs w:val="22"/>
                <w:lang w:val="en-GB"/>
              </w:rPr>
            </w:pPr>
          </w:p>
          <w:p w14:paraId="45520CBE" w14:textId="77777777" w:rsidR="00FA488E" w:rsidRPr="00A66F03" w:rsidRDefault="00976636" w:rsidP="00B72629">
            <w:pPr>
              <w:spacing w:after="0" w:line="276" w:lineRule="auto"/>
              <w:rPr>
                <w:rFonts w:ascii="Times New Roman" w:hAnsi="Times New Roman" w:cs="Times New Roman"/>
                <w:color w:val="000000"/>
                <w:lang w:val="en-GB"/>
              </w:rPr>
            </w:pPr>
            <w:r w:rsidRPr="00A66F03">
              <w:rPr>
                <w:rFonts w:ascii="Times New Roman" w:hAnsi="Times New Roman" w:cs="Times New Roman"/>
                <w:color w:val="000000"/>
                <w:lang w:val="en-GB"/>
              </w:rPr>
              <w:t xml:space="preserve">For the purpose of ensuring complementarity, a working group will be set up to: </w:t>
            </w:r>
          </w:p>
          <w:p w14:paraId="77BFAE2F" w14:textId="77777777" w:rsidR="00A13249" w:rsidRPr="00A66F03" w:rsidRDefault="00976636" w:rsidP="007B07CA">
            <w:pPr>
              <w:pStyle w:val="Odstavekseznama"/>
              <w:numPr>
                <w:ilvl w:val="0"/>
                <w:numId w:val="33"/>
              </w:numPr>
              <w:autoSpaceDE w:val="0"/>
              <w:autoSpaceDN w:val="0"/>
              <w:adjustRightInd w:val="0"/>
              <w:spacing w:after="0" w:line="276" w:lineRule="auto"/>
              <w:jc w:val="both"/>
              <w:rPr>
                <w:rFonts w:ascii="Times New Roman" w:hAnsi="Times New Roman" w:cs="Times New Roman"/>
                <w:iCs/>
                <w:color w:val="000000"/>
              </w:rPr>
            </w:pPr>
            <w:r w:rsidRPr="00A66F03">
              <w:rPr>
                <w:rFonts w:ascii="Times New Roman" w:hAnsi="Times New Roman" w:cs="Times New Roman"/>
                <w:color w:val="000000"/>
              </w:rPr>
              <w:t xml:space="preserve">ensure that Union funds complement resources </w:t>
            </w:r>
            <w:r w:rsidRPr="00A66F03">
              <w:rPr>
                <w:rFonts w:ascii="Times New Roman" w:hAnsi="Times New Roman" w:cs="Times New Roman"/>
                <w:color w:val="000000"/>
              </w:rPr>
              <w:t xml:space="preserve">from the national budget (the additionality principle); </w:t>
            </w:r>
          </w:p>
          <w:p w14:paraId="0F8A4720" w14:textId="77777777" w:rsidR="00A13249" w:rsidRPr="00A66F03" w:rsidRDefault="00976636" w:rsidP="007B07CA">
            <w:pPr>
              <w:pStyle w:val="Odstavekseznama"/>
              <w:numPr>
                <w:ilvl w:val="0"/>
                <w:numId w:val="33"/>
              </w:numPr>
              <w:autoSpaceDE w:val="0"/>
              <w:autoSpaceDN w:val="0"/>
              <w:adjustRightInd w:val="0"/>
              <w:spacing w:after="0" w:line="276" w:lineRule="auto"/>
              <w:jc w:val="both"/>
              <w:rPr>
                <w:rFonts w:ascii="Times New Roman" w:hAnsi="Times New Roman" w:cs="Times New Roman"/>
                <w:iCs/>
                <w:color w:val="000000"/>
              </w:rPr>
            </w:pPr>
            <w:r w:rsidRPr="00A66F03">
              <w:rPr>
                <w:rFonts w:ascii="Times New Roman" w:hAnsi="Times New Roman" w:cs="Times New Roman"/>
                <w:color w:val="000000"/>
              </w:rPr>
              <w:t>steer the management of all Union funds with a view to ensuring that their spending is efficient and complementary, achieving the greatest possible synergistic effects and effectively avoiding the ri</w:t>
            </w:r>
            <w:r w:rsidRPr="00A66F03">
              <w:rPr>
                <w:rFonts w:ascii="Times New Roman" w:hAnsi="Times New Roman" w:cs="Times New Roman"/>
                <w:color w:val="000000"/>
              </w:rPr>
              <w:t xml:space="preserve">sks associated with double funding; </w:t>
            </w:r>
          </w:p>
          <w:p w14:paraId="46D74874" w14:textId="77777777" w:rsidR="00A13249" w:rsidRPr="00A66F03" w:rsidRDefault="00976636" w:rsidP="007B07CA">
            <w:pPr>
              <w:pStyle w:val="Odstavekseznama"/>
              <w:numPr>
                <w:ilvl w:val="0"/>
                <w:numId w:val="33"/>
              </w:numPr>
              <w:autoSpaceDE w:val="0"/>
              <w:autoSpaceDN w:val="0"/>
              <w:adjustRightInd w:val="0"/>
              <w:spacing w:after="0" w:line="276" w:lineRule="auto"/>
              <w:jc w:val="both"/>
              <w:rPr>
                <w:rFonts w:ascii="Times New Roman" w:hAnsi="Times New Roman" w:cs="Times New Roman"/>
                <w:iCs/>
                <w:color w:val="000000"/>
              </w:rPr>
            </w:pPr>
            <w:r w:rsidRPr="00A66F03">
              <w:rPr>
                <w:rFonts w:ascii="Times New Roman" w:hAnsi="Times New Roman" w:cs="Times New Roman"/>
                <w:color w:val="000000"/>
              </w:rPr>
              <w:t>to this end, it will draw up specific guidelines to ensure that ministries and other implementing institutions work in a coordinated fashion while at the same time providing clear demarcation with regard to the use of f</w:t>
            </w:r>
            <w:r w:rsidRPr="00A66F03">
              <w:rPr>
                <w:rFonts w:ascii="Times New Roman" w:hAnsi="Times New Roman" w:cs="Times New Roman"/>
                <w:color w:val="000000"/>
              </w:rPr>
              <w:t xml:space="preserve">unds from the different Union sources. The guidelines will also include content to ensure that, where an action is financed from different Union sources, the conditions for funding are met for each of them; </w:t>
            </w:r>
          </w:p>
          <w:p w14:paraId="4C035BF6" w14:textId="77777777" w:rsidR="00FA488E" w:rsidRPr="00A66F03" w:rsidRDefault="00976636" w:rsidP="007B07CA">
            <w:pPr>
              <w:pStyle w:val="Odstavekseznama"/>
              <w:numPr>
                <w:ilvl w:val="0"/>
                <w:numId w:val="33"/>
              </w:numPr>
              <w:autoSpaceDE w:val="0"/>
              <w:autoSpaceDN w:val="0"/>
              <w:adjustRightInd w:val="0"/>
              <w:spacing w:after="0" w:line="276" w:lineRule="auto"/>
              <w:jc w:val="both"/>
              <w:rPr>
                <w:rFonts w:ascii="Times New Roman" w:hAnsi="Times New Roman" w:cs="Times New Roman"/>
                <w:iCs/>
                <w:color w:val="000000"/>
              </w:rPr>
            </w:pPr>
            <w:r w:rsidRPr="00A66F03">
              <w:rPr>
                <w:rFonts w:ascii="Times New Roman" w:hAnsi="Times New Roman" w:cs="Times New Roman"/>
                <w:color w:val="000000"/>
              </w:rPr>
              <w:lastRenderedPageBreak/>
              <w:t>in each current year it will provide an indicati</w:t>
            </w:r>
            <w:r w:rsidRPr="00A66F03">
              <w:rPr>
                <w:rFonts w:ascii="Times New Roman" w:hAnsi="Times New Roman" w:cs="Times New Roman"/>
                <w:color w:val="000000"/>
              </w:rPr>
              <w:t xml:space="preserve">ve overview of the planned actions, broken down by Union source for each subsequent year, that identifies the substantive, financial and timeframe of implementation of the relevant programmes. </w:t>
            </w:r>
          </w:p>
          <w:p w14:paraId="37EBD3B2" w14:textId="77777777" w:rsidR="007B07CA" w:rsidRPr="00A66F03" w:rsidRDefault="007B07CA" w:rsidP="007B07CA">
            <w:pPr>
              <w:pStyle w:val="Odstavekseznama"/>
              <w:autoSpaceDE w:val="0"/>
              <w:autoSpaceDN w:val="0"/>
              <w:adjustRightInd w:val="0"/>
              <w:spacing w:after="0" w:line="276" w:lineRule="auto"/>
              <w:jc w:val="both"/>
              <w:rPr>
                <w:rFonts w:ascii="Times New Roman" w:hAnsi="Times New Roman" w:cs="Times New Roman"/>
                <w:iCs/>
                <w:color w:val="000000"/>
              </w:rPr>
            </w:pPr>
          </w:p>
          <w:p w14:paraId="6D2519A5" w14:textId="77777777" w:rsidR="005C3C82" w:rsidRPr="00A66F03" w:rsidRDefault="00976636" w:rsidP="007B07CA">
            <w:pPr>
              <w:pStyle w:val="Pripombabesedilo"/>
              <w:spacing w:after="0" w:line="276" w:lineRule="auto"/>
              <w:jc w:val="both"/>
              <w:rPr>
                <w:rFonts w:ascii="Times New Roman" w:eastAsia="Times New Roman" w:hAnsi="Times New Roman" w:cs="Times New Roman"/>
                <w:lang w:val="en-GB"/>
              </w:rPr>
            </w:pPr>
            <w:r w:rsidRPr="00A66F03">
              <w:rPr>
                <w:rFonts w:ascii="Times New Roman" w:hAnsi="Times New Roman" w:cs="Times New Roman"/>
                <w:color w:val="000000"/>
                <w:sz w:val="22"/>
                <w:szCs w:val="22"/>
                <w:lang w:val="en-GB"/>
              </w:rPr>
              <w:t>Membership of the working group will be supplemented by the i</w:t>
            </w:r>
            <w:r w:rsidRPr="00A66F03">
              <w:rPr>
                <w:rFonts w:ascii="Times New Roman" w:hAnsi="Times New Roman" w:cs="Times New Roman"/>
                <w:color w:val="000000"/>
                <w:sz w:val="22"/>
                <w:szCs w:val="22"/>
                <w:lang w:val="en-GB"/>
              </w:rPr>
              <w:t xml:space="preserve">nvolvement of SVRK heads and RRP experts, the managing authorities of all funds and other relevant/participating ministries, and representatives of the equal opportunities body. Representatives of the Fiscal Council and UMAR will also be able to take part </w:t>
            </w:r>
            <w:r w:rsidRPr="00A66F03">
              <w:rPr>
                <w:rFonts w:ascii="Times New Roman" w:hAnsi="Times New Roman" w:cs="Times New Roman"/>
                <w:color w:val="000000"/>
                <w:sz w:val="22"/>
                <w:szCs w:val="22"/>
                <w:lang w:val="en-GB"/>
              </w:rPr>
              <w:t xml:space="preserve">in the work as external stakeholders. </w:t>
            </w:r>
            <w:r w:rsidRPr="00A66F03">
              <w:rPr>
                <w:rFonts w:ascii="Times New Roman" w:hAnsi="Times New Roman" w:cs="Times New Roman"/>
                <w:sz w:val="22"/>
                <w:szCs w:val="22"/>
                <w:lang w:val="en-GB"/>
              </w:rPr>
              <w:t>In addition, we will ensure regular and close cooperation between the RRP coordinator and the managing authority for ESI and EMFAF.</w:t>
            </w:r>
            <w:r w:rsidRPr="00A66F03">
              <w:rPr>
                <w:rFonts w:ascii="Times New Roman" w:hAnsi="Times New Roman" w:cs="Times New Roman"/>
                <w:lang w:val="en-GB"/>
              </w:rPr>
              <w:t xml:space="preserve"> </w:t>
            </w:r>
          </w:p>
          <w:p w14:paraId="4355C1CE" w14:textId="77777777" w:rsidR="007B07CA" w:rsidRPr="00A66F03" w:rsidRDefault="007B07CA" w:rsidP="007B07CA">
            <w:pPr>
              <w:pStyle w:val="Pripombabesedilo"/>
              <w:spacing w:after="0" w:line="276" w:lineRule="auto"/>
              <w:jc w:val="both"/>
              <w:rPr>
                <w:rFonts w:ascii="Times New Roman" w:eastAsia="Times New Roman" w:hAnsi="Times New Roman" w:cs="Times New Roman"/>
                <w:lang w:val="en-GB"/>
              </w:rPr>
            </w:pPr>
          </w:p>
          <w:p w14:paraId="4BF8E735" w14:textId="77777777" w:rsidR="00B41C35" w:rsidRPr="00A66F03" w:rsidRDefault="00976636" w:rsidP="00B72629">
            <w:pPr>
              <w:spacing w:after="0" w:line="276" w:lineRule="auto"/>
              <w:jc w:val="both"/>
              <w:rPr>
                <w:rFonts w:ascii="Times New Roman" w:hAnsi="Times New Roman" w:cs="Times New Roman"/>
                <w:color w:val="000000"/>
                <w:lang w:val="en-GB"/>
              </w:rPr>
            </w:pPr>
            <w:r w:rsidRPr="00A66F03">
              <w:rPr>
                <w:rFonts w:ascii="Times New Roman" w:hAnsi="Times New Roman" w:cs="Times New Roman"/>
                <w:color w:val="000000"/>
                <w:lang w:val="en-GB"/>
              </w:rPr>
              <w:t>As we pay particular attention to demarcation and complementarity between the different funding sources in the field of digitalisation, the handbook on the method of implementation of the Recovery and Resilience Facility states that written consent must be</w:t>
            </w:r>
            <w:r w:rsidRPr="00A66F03">
              <w:rPr>
                <w:rFonts w:ascii="Times New Roman" w:hAnsi="Times New Roman" w:cs="Times New Roman"/>
                <w:color w:val="000000"/>
                <w:lang w:val="en-GB"/>
              </w:rPr>
              <w:t xml:space="preserve"> obtained from the competent ministry for each measure in this area. This measure makes it possible to avoid duplicating actions from different departments and to have an overview of the actions and to guide them for that purpose; it is also set out in the</w:t>
            </w:r>
            <w:r w:rsidRPr="00A66F03">
              <w:rPr>
                <w:rFonts w:ascii="Times New Roman" w:hAnsi="Times New Roman" w:cs="Times New Roman"/>
                <w:color w:val="000000"/>
                <w:lang w:val="en-GB"/>
              </w:rPr>
              <w:t xml:space="preserve"> instructions for implementation of cohesion policy in order to ensure adequate consistency, and will be part of the review managed by the working group set up for this purpose. </w:t>
            </w:r>
            <w:r w:rsidRPr="00A66F03">
              <w:rPr>
                <w:rFonts w:ascii="Times New Roman" w:hAnsi="Times New Roman" w:cs="Times New Roman"/>
                <w:lang w:val="en-GB"/>
              </w:rPr>
              <w:t xml:space="preserve">The MF handbook on the implementation of the Recovery and Resilience Facility </w:t>
            </w:r>
            <w:r w:rsidRPr="00A66F03">
              <w:rPr>
                <w:rFonts w:ascii="Times New Roman" w:hAnsi="Times New Roman" w:cs="Times New Roman"/>
                <w:lang w:val="en-GB"/>
              </w:rPr>
              <w:t xml:space="preserve">(April 2022) also envisages that departments responsible for measures/calls contributing to the implementation of S5 seek the opinion of the SVRK on compliance with S5. </w:t>
            </w:r>
            <w:r w:rsidRPr="00A66F03">
              <w:rPr>
                <w:rStyle w:val="Pripombasklic"/>
                <w:rFonts w:ascii="Times New Roman" w:hAnsi="Times New Roman" w:cs="Times New Roman"/>
                <w:lang w:val="en-GB"/>
              </w:rPr>
              <w:t xml:space="preserve"> </w:t>
            </w:r>
          </w:p>
          <w:p w14:paraId="26CAC142" w14:textId="77777777" w:rsidR="003F1468" w:rsidRPr="00A66F03" w:rsidRDefault="003F1468" w:rsidP="00B72629">
            <w:pPr>
              <w:spacing w:after="0" w:line="276" w:lineRule="auto"/>
              <w:jc w:val="both"/>
              <w:rPr>
                <w:rFonts w:ascii="Times New Roman" w:eastAsia="Times New Roman" w:hAnsi="Times New Roman" w:cs="Times New Roman"/>
                <w:b/>
                <w:lang w:val="en-GB"/>
              </w:rPr>
            </w:pPr>
          </w:p>
          <w:p w14:paraId="4B64D51F" w14:textId="77777777" w:rsidR="0095651B" w:rsidRPr="00A66F03" w:rsidRDefault="00976636" w:rsidP="00B72629">
            <w:pPr>
              <w:spacing w:after="0" w:line="276" w:lineRule="auto"/>
              <w:jc w:val="both"/>
              <w:rPr>
                <w:rFonts w:ascii="Times New Roman" w:eastAsia="Times New Roman" w:hAnsi="Times New Roman" w:cs="Times New Roman"/>
                <w:b/>
                <w:lang w:val="en-GB"/>
              </w:rPr>
            </w:pPr>
            <w:r w:rsidRPr="00A66F03">
              <w:rPr>
                <w:rFonts w:ascii="Times New Roman" w:eastAsia="Times New Roman" w:hAnsi="Times New Roman" w:cs="Times New Roman"/>
                <w:b/>
                <w:bCs/>
                <w:lang w:val="en-GB"/>
              </w:rPr>
              <w:t xml:space="preserve">Policy Objective 1: </w:t>
            </w:r>
          </w:p>
          <w:p w14:paraId="7650DF6C" w14:textId="77777777" w:rsidR="004942FD" w:rsidRPr="00A66F03" w:rsidRDefault="004942FD" w:rsidP="00B72629">
            <w:pPr>
              <w:spacing w:after="0" w:line="276" w:lineRule="auto"/>
              <w:jc w:val="both"/>
              <w:rPr>
                <w:rFonts w:ascii="Times New Roman" w:eastAsia="Times New Roman" w:hAnsi="Times New Roman" w:cs="Times New Roman"/>
                <w:b/>
                <w:lang w:val="en-GB"/>
              </w:rPr>
            </w:pPr>
          </w:p>
          <w:p w14:paraId="17983849" w14:textId="77777777" w:rsidR="0095651B" w:rsidRPr="00A66F03" w:rsidRDefault="00976636" w:rsidP="00B72629">
            <w:pPr>
              <w:spacing w:after="0" w:line="276" w:lineRule="auto"/>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t xml:space="preserve">PO1 will complement the ERDF and </w:t>
            </w:r>
            <w:r w:rsidRPr="00A66F03">
              <w:rPr>
                <w:rFonts w:ascii="Times New Roman" w:eastAsia="Times New Roman" w:hAnsi="Times New Roman" w:cs="Times New Roman"/>
                <w:b/>
                <w:bCs/>
                <w:lang w:val="en-GB"/>
              </w:rPr>
              <w:t xml:space="preserve">EAFRD </w:t>
            </w:r>
            <w:r w:rsidRPr="00A66F03">
              <w:rPr>
                <w:rFonts w:ascii="Times New Roman" w:eastAsia="Times New Roman" w:hAnsi="Times New Roman" w:cs="Times New Roman"/>
                <w:lang w:val="en-GB"/>
              </w:rPr>
              <w:t xml:space="preserve">in the area of </w:t>
            </w:r>
            <w:r w:rsidRPr="00A66F03">
              <w:rPr>
                <w:rFonts w:ascii="Times New Roman" w:eastAsia="Times New Roman" w:hAnsi="Times New Roman" w:cs="Times New Roman"/>
                <w:lang w:val="en-GB"/>
              </w:rPr>
              <w:t>enterprise:</w:t>
            </w:r>
          </w:p>
          <w:p w14:paraId="45B3FA59" w14:textId="77777777" w:rsidR="003C597D" w:rsidRPr="00A66F03" w:rsidRDefault="00976636" w:rsidP="00B72629">
            <w:pPr>
              <w:pStyle w:val="Odstavekseznama"/>
              <w:numPr>
                <w:ilvl w:val="0"/>
                <w:numId w:val="14"/>
              </w:numPr>
              <w:spacing w:after="0" w:line="276" w:lineRule="auto"/>
              <w:jc w:val="both"/>
              <w:rPr>
                <w:rFonts w:ascii="Times New Roman" w:eastAsia="Times New Roman" w:hAnsi="Times New Roman" w:cs="Times New Roman"/>
              </w:rPr>
            </w:pPr>
            <w:r w:rsidRPr="00A66F03">
              <w:rPr>
                <w:rFonts w:ascii="Times New Roman" w:eastAsia="Times New Roman" w:hAnsi="Times New Roman" w:cs="Times New Roman"/>
              </w:rPr>
              <w:t>EAFRD support in the fields of enterprise, SMEs, start-ups and tourism will be targeted at farms/providers of supplementary activities throughout Slovenia, while agricultural activities will be excluded from support of SME investment policy through ERDF gr</w:t>
            </w:r>
            <w:r w:rsidRPr="00A66F03">
              <w:rPr>
                <w:rFonts w:ascii="Times New Roman" w:eastAsia="Times New Roman" w:hAnsi="Times New Roman" w:cs="Times New Roman"/>
              </w:rPr>
              <w:t xml:space="preserve">ants under PO1. </w:t>
            </w:r>
          </w:p>
          <w:p w14:paraId="2497FA28" w14:textId="77777777" w:rsidR="003C597D" w:rsidRPr="00A66F03" w:rsidRDefault="00976636" w:rsidP="00B72629">
            <w:pPr>
              <w:pStyle w:val="Odstavekseznama"/>
              <w:numPr>
                <w:ilvl w:val="0"/>
                <w:numId w:val="14"/>
              </w:numPr>
              <w:spacing w:after="0" w:line="276" w:lineRule="auto"/>
              <w:jc w:val="both"/>
              <w:rPr>
                <w:rFonts w:ascii="Times New Roman" w:eastAsia="Times New Roman" w:hAnsi="Times New Roman" w:cs="Times New Roman"/>
              </w:rPr>
            </w:pPr>
            <w:r w:rsidRPr="00A66F03">
              <w:rPr>
                <w:rFonts w:ascii="Times New Roman" w:eastAsia="Times New Roman" w:hAnsi="Times New Roman" w:cs="Times New Roman"/>
              </w:rPr>
              <w:t>In the area of industrial transition and enterprise, investments made by large enterprises in the processing of agricultural products resulting in the processing of a non-agricultural product will be supported uniformly by the EAFRD. Large</w:t>
            </w:r>
            <w:r w:rsidRPr="00A66F03">
              <w:rPr>
                <w:rFonts w:ascii="Times New Roman" w:eastAsia="Times New Roman" w:hAnsi="Times New Roman" w:cs="Times New Roman"/>
              </w:rPr>
              <w:t xml:space="preserve"> enterprises will not be included in ERDF support for enterprise.</w:t>
            </w:r>
          </w:p>
          <w:p w14:paraId="7564917E" w14:textId="77777777" w:rsidR="00554BA6" w:rsidRPr="00A66F03" w:rsidRDefault="00976636" w:rsidP="00DB1131">
            <w:pPr>
              <w:pStyle w:val="Odstavekseznama"/>
              <w:numPr>
                <w:ilvl w:val="0"/>
                <w:numId w:val="14"/>
              </w:numPr>
              <w:spacing w:after="0" w:line="276" w:lineRule="auto"/>
              <w:jc w:val="both"/>
              <w:rPr>
                <w:rFonts w:ascii="Times New Roman" w:eastAsia="Times New Roman" w:hAnsi="Times New Roman" w:cs="Times New Roman"/>
              </w:rPr>
            </w:pPr>
            <w:r w:rsidRPr="00A66F03">
              <w:rPr>
                <w:rFonts w:ascii="Times New Roman" w:eastAsia="Times New Roman" w:hAnsi="Times New Roman" w:cs="Times New Roman"/>
              </w:rPr>
              <w:t>In the area of digitalisation, the ERDF will support the development of the digitalisation of space and environment through AI building blocks and the transition to a multidimensional virtua</w:t>
            </w:r>
            <w:r w:rsidRPr="00A66F03">
              <w:rPr>
                <w:rFonts w:ascii="Times New Roman" w:eastAsia="Times New Roman" w:hAnsi="Times New Roman" w:cs="Times New Roman"/>
              </w:rPr>
              <w:t xml:space="preserve">l world based on national data, and foster the development of innovative digital solutions based on complete national spatial and environmental digital data infrastructure. Complementarity with agriculture is reflected in the system of extraction of input </w:t>
            </w:r>
            <w:r w:rsidRPr="00A66F03">
              <w:rPr>
                <w:rFonts w:ascii="Times New Roman" w:eastAsia="Times New Roman" w:hAnsi="Times New Roman" w:cs="Times New Roman"/>
              </w:rPr>
              <w:t>data, where the digital national spatial infrastructure data will be crucial for monitoring changes in the status of environmental space, including in areas of agricultural land, and the implementation of agricultural policy. Complementarity enables the de</w:t>
            </w:r>
            <w:r w:rsidRPr="00A66F03">
              <w:rPr>
                <w:rFonts w:ascii="Times New Roman" w:eastAsia="Times New Roman" w:hAnsi="Times New Roman" w:cs="Times New Roman"/>
              </w:rPr>
              <w:t>velopment of a digital twin which, by integrating existing data, will enable an appropriate speed of visualisation, modelling and interactivity, and facilitate decision-making and action in the event of extreme weather events.</w:t>
            </w:r>
          </w:p>
          <w:p w14:paraId="2E2E7B1F" w14:textId="77777777" w:rsidR="00EA4248" w:rsidRPr="00A66F03" w:rsidRDefault="00EA4248" w:rsidP="00B72629">
            <w:pPr>
              <w:spacing w:after="0" w:line="276" w:lineRule="auto"/>
              <w:jc w:val="both"/>
              <w:rPr>
                <w:rFonts w:ascii="Times New Roman" w:eastAsia="Times New Roman" w:hAnsi="Times New Roman" w:cs="Times New Roman"/>
                <w:iCs/>
                <w:lang w:val="en-GB"/>
              </w:rPr>
            </w:pPr>
          </w:p>
          <w:p w14:paraId="483620EA" w14:textId="77777777" w:rsidR="00EA4248" w:rsidRPr="00A66F03" w:rsidRDefault="00976636" w:rsidP="00B72629">
            <w:pPr>
              <w:spacing w:after="0" w:line="276" w:lineRule="auto"/>
              <w:jc w:val="both"/>
              <w:rPr>
                <w:rFonts w:ascii="Times New Roman" w:eastAsia="Times New Roman" w:hAnsi="Times New Roman" w:cs="Times New Roman"/>
                <w:iCs/>
                <w:lang w:val="en-GB"/>
              </w:rPr>
            </w:pPr>
            <w:r w:rsidRPr="00A66F03">
              <w:rPr>
                <w:rFonts w:ascii="Times New Roman" w:eastAsia="Times New Roman" w:hAnsi="Times New Roman" w:cs="Times New Roman"/>
                <w:lang w:val="en-GB"/>
              </w:rPr>
              <w:t>In the area of RDI, ERDF act</w:t>
            </w:r>
            <w:r w:rsidRPr="00A66F03">
              <w:rPr>
                <w:rFonts w:ascii="Times New Roman" w:eastAsia="Times New Roman" w:hAnsi="Times New Roman" w:cs="Times New Roman"/>
                <w:lang w:val="en-GB"/>
              </w:rPr>
              <w:t xml:space="preserve">ions will be complemented by measures taken under the </w:t>
            </w:r>
            <w:r w:rsidRPr="00A66F03">
              <w:rPr>
                <w:rFonts w:ascii="Times New Roman" w:eastAsia="Times New Roman" w:hAnsi="Times New Roman" w:cs="Times New Roman"/>
                <w:b/>
                <w:bCs/>
                <w:lang w:val="en-GB"/>
              </w:rPr>
              <w:t>RRP</w:t>
            </w:r>
            <w:r w:rsidRPr="00A66F03">
              <w:rPr>
                <w:rFonts w:ascii="Times New Roman" w:eastAsia="Times New Roman" w:hAnsi="Times New Roman" w:cs="Times New Roman"/>
                <w:lang w:val="en-GB"/>
              </w:rPr>
              <w:t>:</w:t>
            </w:r>
            <w:r w:rsidRPr="00A66F03">
              <w:rPr>
                <w:rStyle w:val="Sprotnaopomba-sklic"/>
                <w:rFonts w:ascii="Times New Roman" w:eastAsia="Times New Roman" w:hAnsi="Times New Roman" w:cs="Times New Roman"/>
                <w:b/>
                <w:bCs/>
                <w:lang w:val="en-GB"/>
              </w:rPr>
              <w:footnoteReference w:id="97"/>
            </w:r>
          </w:p>
          <w:p w14:paraId="5F9983E0" w14:textId="77777777" w:rsidR="00EA4248" w:rsidRPr="00A66F03" w:rsidRDefault="00976636" w:rsidP="00B72629">
            <w:pPr>
              <w:numPr>
                <w:ilvl w:val="0"/>
                <w:numId w:val="14"/>
              </w:numPr>
              <w:spacing w:after="0" w:line="276" w:lineRule="auto"/>
              <w:jc w:val="both"/>
              <w:rPr>
                <w:rFonts w:ascii="Times New Roman" w:eastAsia="Times New Roman" w:hAnsi="Times New Roman" w:cs="Times New Roman"/>
                <w:iCs/>
                <w:lang w:val="en-GB"/>
              </w:rPr>
            </w:pPr>
            <w:r w:rsidRPr="00A66F03">
              <w:rPr>
                <w:rFonts w:ascii="Times New Roman" w:eastAsia="Times New Roman" w:hAnsi="Times New Roman" w:cs="Times New Roman"/>
                <w:lang w:val="en-GB"/>
              </w:rPr>
              <w:t xml:space="preserve">Co-funding of research and innovation projects in support of the green transition and digitalisation (scientific research and innovation programmes: TRL 3-6) and enterprise RDI </w:t>
            </w:r>
            <w:r w:rsidRPr="00A66F03">
              <w:rPr>
                <w:rFonts w:ascii="Times New Roman" w:eastAsia="Times New Roman" w:hAnsi="Times New Roman" w:cs="Times New Roman"/>
                <w:lang w:val="en-GB"/>
              </w:rPr>
              <w:lastRenderedPageBreak/>
              <w:t>projects: TRL 6-8),</w:t>
            </w:r>
            <w:r w:rsidRPr="00A66F03">
              <w:rPr>
                <w:rFonts w:ascii="Times New Roman" w:eastAsia="Times New Roman" w:hAnsi="Times New Roman" w:cs="Times New Roman"/>
                <w:lang w:val="en-GB"/>
              </w:rPr>
              <w:t xml:space="preserve"> in line with the Smart Specialisation Strategy.</w:t>
            </w:r>
            <w:r w:rsidRPr="00A66F03">
              <w:rPr>
                <w:rStyle w:val="Sprotnaopomba-sklic"/>
                <w:rFonts w:ascii="Times New Roman" w:eastAsia="Times New Roman" w:hAnsi="Times New Roman" w:cs="Times New Roman"/>
                <w:vertAlign w:val="baseline"/>
                <w:lang w:val="en-GB"/>
              </w:rPr>
              <w:t xml:space="preserve"> </w:t>
            </w:r>
            <w:r w:rsidRPr="00A66F03">
              <w:rPr>
                <w:rStyle w:val="Sprotnaopomba-sklic"/>
                <w:rFonts w:ascii="Times New Roman" w:eastAsia="Times New Roman" w:hAnsi="Times New Roman" w:cs="Times New Roman"/>
                <w:lang w:val="en-GB"/>
              </w:rPr>
              <w:footnoteReference w:id="98"/>
            </w:r>
            <w:r w:rsidRPr="00A66F03">
              <w:rPr>
                <w:rFonts w:ascii="Times New Roman" w:eastAsia="Times New Roman" w:hAnsi="Times New Roman" w:cs="Times New Roman"/>
                <w:lang w:val="en-GB"/>
              </w:rPr>
              <w:t xml:space="preserve"> The measures will ensure the stability and predictability of R&amp;D instruments. </w:t>
            </w:r>
          </w:p>
          <w:p w14:paraId="1F652489" w14:textId="77777777" w:rsidR="00EA4248" w:rsidRPr="00A66F03" w:rsidRDefault="00976636" w:rsidP="00B72629">
            <w:pPr>
              <w:numPr>
                <w:ilvl w:val="0"/>
                <w:numId w:val="14"/>
              </w:numPr>
              <w:spacing w:after="0" w:line="276" w:lineRule="auto"/>
              <w:jc w:val="both"/>
              <w:rPr>
                <w:rFonts w:ascii="Times New Roman" w:eastAsia="Times New Roman" w:hAnsi="Times New Roman" w:cs="Times New Roman"/>
                <w:iCs/>
                <w:lang w:val="en-GB"/>
              </w:rPr>
            </w:pPr>
            <w:r w:rsidRPr="00A66F03">
              <w:rPr>
                <w:rFonts w:ascii="Times New Roman" w:eastAsia="Times New Roman" w:hAnsi="Times New Roman" w:cs="Times New Roman"/>
                <w:lang w:val="en-GB"/>
              </w:rPr>
              <w:t>Co-financing of investments in RDI demonstration and pilot projects. Support will be given to companies and consortiums of com</w:t>
            </w:r>
            <w:r w:rsidRPr="00A66F03">
              <w:rPr>
                <w:rFonts w:ascii="Times New Roman" w:eastAsia="Times New Roman" w:hAnsi="Times New Roman" w:cs="Times New Roman"/>
                <w:lang w:val="en-GB"/>
              </w:rPr>
              <w:t>panies and research organisations that carry out breakthrough and innovative projects geared towards the green transition (geared towards green research, development and innovation under the selected circular economy intervention code). The actions envisag</w:t>
            </w:r>
            <w:r w:rsidRPr="00A66F03">
              <w:rPr>
                <w:rFonts w:ascii="Times New Roman" w:eastAsia="Times New Roman" w:hAnsi="Times New Roman" w:cs="Times New Roman"/>
                <w:lang w:val="en-GB"/>
              </w:rPr>
              <w:t>ed under PO1 (SC 1.1) will support all priority areas of the Smart Specialisation Strategy, including the circular economy.</w:t>
            </w:r>
          </w:p>
          <w:p w14:paraId="06374E6D" w14:textId="77777777" w:rsidR="00EA4248" w:rsidRPr="00A66F03" w:rsidRDefault="00976636" w:rsidP="00B72629">
            <w:pPr>
              <w:numPr>
                <w:ilvl w:val="0"/>
                <w:numId w:val="14"/>
              </w:numPr>
              <w:spacing w:after="0" w:line="276" w:lineRule="auto"/>
              <w:jc w:val="both"/>
              <w:rPr>
                <w:rFonts w:ascii="Times New Roman" w:eastAsia="Times New Roman" w:hAnsi="Times New Roman" w:cs="Times New Roman"/>
                <w:iCs/>
                <w:lang w:val="en-GB"/>
              </w:rPr>
            </w:pPr>
            <w:r w:rsidRPr="00A66F03">
              <w:rPr>
                <w:rFonts w:ascii="Times New Roman" w:eastAsia="Times New Roman" w:hAnsi="Times New Roman" w:cs="Times New Roman"/>
                <w:lang w:val="en-GB"/>
              </w:rPr>
              <w:t xml:space="preserve">Co-financing of projects promoting international mobility and the reintegration of researchers. </w:t>
            </w:r>
          </w:p>
          <w:p w14:paraId="12C856FC" w14:textId="77777777" w:rsidR="00EA4248" w:rsidRPr="00A66F03" w:rsidRDefault="00976636" w:rsidP="00B72629">
            <w:pPr>
              <w:numPr>
                <w:ilvl w:val="0"/>
                <w:numId w:val="14"/>
              </w:numPr>
              <w:spacing w:after="0" w:line="276" w:lineRule="auto"/>
              <w:jc w:val="both"/>
              <w:rPr>
                <w:rFonts w:ascii="Times New Roman" w:eastAsia="Times New Roman" w:hAnsi="Times New Roman" w:cs="Times New Roman"/>
                <w:iCs/>
                <w:lang w:val="en-GB"/>
              </w:rPr>
            </w:pPr>
            <w:r w:rsidRPr="00A66F03">
              <w:rPr>
                <w:rFonts w:ascii="Times New Roman" w:eastAsia="Times New Roman" w:hAnsi="Times New Roman" w:cs="Times New Roman"/>
                <w:lang w:val="en-GB"/>
              </w:rPr>
              <w:t>Establishment of a new research org</w:t>
            </w:r>
            <w:r w:rsidRPr="00A66F03">
              <w:rPr>
                <w:rFonts w:ascii="Times New Roman" w:eastAsia="Times New Roman" w:hAnsi="Times New Roman" w:cs="Times New Roman"/>
                <w:lang w:val="en-GB"/>
              </w:rPr>
              <w:t xml:space="preserve">anisation and the funding of research infrastructure — establishment of the National Food Institute as a central pillar of the innovation ecosystem in food supply chains (investment fully implemented with RRP resources). </w:t>
            </w:r>
          </w:p>
          <w:p w14:paraId="2ABDBB8B" w14:textId="77777777" w:rsidR="00EA4248" w:rsidRPr="00A66F03" w:rsidRDefault="00EA4248" w:rsidP="00B72629">
            <w:pPr>
              <w:spacing w:after="0" w:line="276" w:lineRule="auto"/>
              <w:jc w:val="both"/>
              <w:rPr>
                <w:rFonts w:ascii="Times New Roman" w:eastAsia="Times New Roman" w:hAnsi="Times New Roman" w:cs="Times New Roman"/>
                <w:iCs/>
                <w:lang w:val="en-GB"/>
              </w:rPr>
            </w:pPr>
          </w:p>
          <w:p w14:paraId="4BD08D9A" w14:textId="77777777" w:rsidR="00EA4248" w:rsidRPr="00A66F03" w:rsidRDefault="00976636" w:rsidP="00B72629">
            <w:pPr>
              <w:spacing w:after="0" w:line="276" w:lineRule="auto"/>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t>In the area of raising the produc</w:t>
            </w:r>
            <w:r w:rsidRPr="00A66F03">
              <w:rPr>
                <w:rFonts w:ascii="Times New Roman" w:eastAsia="Times New Roman" w:hAnsi="Times New Roman" w:cs="Times New Roman"/>
                <w:lang w:val="en-GB"/>
              </w:rPr>
              <w:t xml:space="preserve">tivity of the economy, ERDF actions will be complemented by measures taken under the </w:t>
            </w:r>
            <w:r w:rsidRPr="00A66F03">
              <w:rPr>
                <w:rFonts w:ascii="Times New Roman" w:eastAsia="Times New Roman" w:hAnsi="Times New Roman" w:cs="Times New Roman"/>
                <w:b/>
                <w:bCs/>
                <w:lang w:val="en-GB"/>
              </w:rPr>
              <w:t>RRP</w:t>
            </w:r>
            <w:r w:rsidRPr="00A66F03">
              <w:rPr>
                <w:rFonts w:ascii="Times New Roman" w:eastAsia="Times New Roman" w:hAnsi="Times New Roman" w:cs="Times New Roman"/>
                <w:lang w:val="en-GB"/>
              </w:rPr>
              <w:t>:</w:t>
            </w:r>
            <w:r w:rsidRPr="00A66F03">
              <w:rPr>
                <w:rStyle w:val="Sprotnaopomba-sklic"/>
                <w:rFonts w:ascii="Times New Roman" w:eastAsia="Times New Roman" w:hAnsi="Times New Roman" w:cs="Times New Roman"/>
                <w:b/>
                <w:bCs/>
                <w:lang w:val="en-GB"/>
              </w:rPr>
              <w:footnoteReference w:id="99"/>
            </w:r>
          </w:p>
          <w:p w14:paraId="1AD51913" w14:textId="77777777" w:rsidR="00EA4248" w:rsidRPr="00A66F03" w:rsidRDefault="00976636" w:rsidP="00B72629">
            <w:pPr>
              <w:numPr>
                <w:ilvl w:val="0"/>
                <w:numId w:val="14"/>
              </w:numPr>
              <w:spacing w:after="0" w:line="276" w:lineRule="auto"/>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t>Support to investments to boost productivity, competitiveness, resilience and decarbonisation of the economy, and to preserve jobs. Support to investments by busines</w:t>
            </w:r>
            <w:r w:rsidRPr="00A66F03">
              <w:rPr>
                <w:rFonts w:ascii="Times New Roman" w:eastAsia="Times New Roman" w:hAnsi="Times New Roman" w:cs="Times New Roman"/>
                <w:lang w:val="en-GB"/>
              </w:rPr>
              <w:t>ses in fixed assets to support productivity growth, which, according to the Investment Incentives Act, focuses on global value chains and, in accordance with the Promotion of Balanced Regional Development Act, on problem areas (larger investments, while in</w:t>
            </w:r>
            <w:r w:rsidRPr="00A66F03">
              <w:rPr>
                <w:rFonts w:ascii="Times New Roman" w:eastAsia="Times New Roman" w:hAnsi="Times New Roman" w:cs="Times New Roman"/>
                <w:lang w:val="en-GB"/>
              </w:rPr>
              <w:t>vestments in smaller-scale SMEs is promoted via PO1). The RRP action in the form of investment subsidies will be complemented by PO1, which will stimulate SMEs through financial instruments (guarantees with subsidised interest rate, equity financing). Rega</w:t>
            </w:r>
            <w:r w:rsidRPr="00A66F03">
              <w:rPr>
                <w:rFonts w:ascii="Times New Roman" w:eastAsia="Times New Roman" w:hAnsi="Times New Roman" w:cs="Times New Roman"/>
                <w:lang w:val="en-GB"/>
              </w:rPr>
              <w:t>rding support for investments that raise productivity, a measure is envisaged under the RRP, while PO1 does not provide for incentives through investment subsidies (demarcation of MFF and RRP).</w:t>
            </w:r>
          </w:p>
          <w:p w14:paraId="7C2FB65B" w14:textId="77777777" w:rsidR="00EA4248" w:rsidRPr="00A66F03" w:rsidRDefault="00976636" w:rsidP="00B72629">
            <w:pPr>
              <w:numPr>
                <w:ilvl w:val="0"/>
                <w:numId w:val="14"/>
              </w:numPr>
              <w:spacing w:after="0" w:line="276" w:lineRule="auto"/>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t>Providing innovative ecosystems of economic and business infra</w:t>
            </w:r>
            <w:r w:rsidRPr="00A66F03">
              <w:rPr>
                <w:rFonts w:ascii="Times New Roman" w:eastAsia="Times New Roman" w:hAnsi="Times New Roman" w:cs="Times New Roman"/>
                <w:lang w:val="en-GB"/>
              </w:rPr>
              <w:t>structure as a complementary action to strengthen sustainable value chains in specific sectors. The action consists of the construction and establishment of business zones owned by municipalities that are designed for SMEs, and the establishment of a basis</w:t>
            </w:r>
            <w:r w:rsidRPr="00A66F03">
              <w:rPr>
                <w:rFonts w:ascii="Times New Roman" w:eastAsia="Times New Roman" w:hAnsi="Times New Roman" w:cs="Times New Roman"/>
                <w:lang w:val="en-GB"/>
              </w:rPr>
              <w:t xml:space="preserve"> for effective management (financing of the study, establishment of an IT platform and a pilot business zone management project). Based on the results of the pilot project or the design and testing of management models and the implementation of IT solution</w:t>
            </w:r>
            <w:r w:rsidRPr="00A66F03">
              <w:rPr>
                <w:rFonts w:ascii="Times New Roman" w:eastAsia="Times New Roman" w:hAnsi="Times New Roman" w:cs="Times New Roman"/>
                <w:lang w:val="en-GB"/>
              </w:rPr>
              <w:t>s, it will be possible to establish or improve the management of business zones in Slovenia, which will have synergistic effects and an impact on the achievement of the objectives of attracting investors and planning new business zones or economic business</w:t>
            </w:r>
            <w:r w:rsidRPr="00A66F03">
              <w:rPr>
                <w:rFonts w:ascii="Times New Roman" w:eastAsia="Times New Roman" w:hAnsi="Times New Roman" w:cs="Times New Roman"/>
                <w:lang w:val="en-GB"/>
              </w:rPr>
              <w:t xml:space="preserve"> infrastructure in a more cost-effective way. Complementarity with corporate investment promotion measures under PO1 (SC 1.2) will therefore foster improvements in cooperation and business symbiosis, have synergistic effects between enterprises in business</w:t>
            </w:r>
            <w:r w:rsidRPr="00A66F03">
              <w:rPr>
                <w:rFonts w:ascii="Times New Roman" w:eastAsia="Times New Roman" w:hAnsi="Times New Roman" w:cs="Times New Roman"/>
                <w:lang w:val="en-GB"/>
              </w:rPr>
              <w:t xml:space="preserve"> </w:t>
            </w:r>
            <w:r w:rsidRPr="00A66F03">
              <w:rPr>
                <w:rFonts w:ascii="Times New Roman" w:eastAsia="Times New Roman" w:hAnsi="Times New Roman" w:cs="Times New Roman"/>
                <w:lang w:val="en-GB"/>
              </w:rPr>
              <w:lastRenderedPageBreak/>
              <w:t>zones (e.g. an enterprise can be a supplier to other enterprises in the business zone, etc.) and lead to business zones specialising in specific activities, thereby achieving the objectives of improving the productivity of the economy and leading to harmo</w:t>
            </w:r>
            <w:r w:rsidRPr="00A66F03">
              <w:rPr>
                <w:rFonts w:ascii="Times New Roman" w:eastAsia="Times New Roman" w:hAnsi="Times New Roman" w:cs="Times New Roman"/>
                <w:lang w:val="en-GB"/>
              </w:rPr>
              <w:t>nious regional development. The regulation of environments in economic business zones under the MFF will be substantively complementary to the RRP-funded innovative eco-system actions of the EPI. Unlike the call for tenders under the RRP, the implementatio</w:t>
            </w:r>
            <w:r w:rsidRPr="00A66F03">
              <w:rPr>
                <w:rFonts w:ascii="Times New Roman" w:eastAsia="Times New Roman" w:hAnsi="Times New Roman" w:cs="Times New Roman"/>
                <w:lang w:val="en-GB"/>
              </w:rPr>
              <w:t>n mechanism that is envisaged (an agreement for the development of the regions) will allow additional time for the strategic planning and implementation of regionally and nationally important projects to regulate economic and business infrastructure enviro</w:t>
            </w:r>
            <w:r w:rsidRPr="00A66F03">
              <w:rPr>
                <w:rFonts w:ascii="Times New Roman" w:eastAsia="Times New Roman" w:hAnsi="Times New Roman" w:cs="Times New Roman"/>
                <w:lang w:val="en-GB"/>
              </w:rPr>
              <w:t>nments.</w:t>
            </w:r>
          </w:p>
          <w:p w14:paraId="4D73B3B3" w14:textId="77777777" w:rsidR="00EA4248" w:rsidRPr="00A66F03" w:rsidRDefault="00EA4248" w:rsidP="00B72629">
            <w:pPr>
              <w:spacing w:after="0" w:line="276" w:lineRule="auto"/>
              <w:jc w:val="both"/>
              <w:rPr>
                <w:rFonts w:ascii="Times New Roman" w:eastAsia="Times New Roman" w:hAnsi="Times New Roman" w:cs="Times New Roman"/>
                <w:lang w:val="en-GB"/>
              </w:rPr>
            </w:pPr>
          </w:p>
          <w:p w14:paraId="6AC1B091" w14:textId="77777777" w:rsidR="00EA4248" w:rsidRPr="00A66F03" w:rsidRDefault="00976636" w:rsidP="00B72629">
            <w:pPr>
              <w:spacing w:after="0" w:line="276" w:lineRule="auto"/>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t xml:space="preserve">In the promotion of the digital transformation of SMEs, society, the state (public administration) and local communities and digital connectivity, ERDF actions will be complemented by </w:t>
            </w:r>
            <w:r w:rsidRPr="00A66F03">
              <w:rPr>
                <w:rFonts w:ascii="Times New Roman" w:eastAsia="Times New Roman" w:hAnsi="Times New Roman" w:cs="Times New Roman"/>
                <w:b/>
                <w:bCs/>
                <w:lang w:val="en-GB"/>
              </w:rPr>
              <w:t xml:space="preserve">RRP </w:t>
            </w:r>
            <w:r w:rsidRPr="00A66F03">
              <w:rPr>
                <w:rFonts w:ascii="Times New Roman" w:eastAsia="Times New Roman" w:hAnsi="Times New Roman" w:cs="Times New Roman"/>
                <w:lang w:val="en-GB"/>
              </w:rPr>
              <w:t>actions:</w:t>
            </w:r>
            <w:r w:rsidRPr="00A66F03">
              <w:rPr>
                <w:rStyle w:val="Sprotnaopomba-sklic"/>
                <w:rFonts w:ascii="Times New Roman" w:eastAsia="Times New Roman" w:hAnsi="Times New Roman" w:cs="Times New Roman"/>
                <w:b/>
                <w:bCs/>
                <w:lang w:val="en-GB"/>
              </w:rPr>
              <w:footnoteReference w:id="100"/>
            </w:r>
          </w:p>
          <w:p w14:paraId="239FA303" w14:textId="77777777" w:rsidR="00EA4248" w:rsidRPr="00A66F03" w:rsidRDefault="00976636" w:rsidP="00B72629">
            <w:pPr>
              <w:numPr>
                <w:ilvl w:val="0"/>
                <w:numId w:val="14"/>
              </w:numPr>
              <w:spacing w:after="0" w:line="276" w:lineRule="auto"/>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t xml:space="preserve">Measures to modernise the digital environment of </w:t>
            </w:r>
            <w:r w:rsidRPr="00A66F03">
              <w:rPr>
                <w:rFonts w:ascii="Times New Roman" w:eastAsia="Times New Roman" w:hAnsi="Times New Roman" w:cs="Times New Roman"/>
                <w:lang w:val="en-GB"/>
              </w:rPr>
              <w:t>public administration and strengthen the digital skills of public officials.</w:t>
            </w:r>
          </w:p>
          <w:p w14:paraId="3E3D78FD" w14:textId="77777777" w:rsidR="00EA4248" w:rsidRPr="00A66F03" w:rsidRDefault="00976636" w:rsidP="00B72629">
            <w:pPr>
              <w:numPr>
                <w:ilvl w:val="0"/>
                <w:numId w:val="14"/>
              </w:numPr>
              <w:spacing w:after="0" w:line="276" w:lineRule="auto"/>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t>Digitalisation of different areas of the public sector</w:t>
            </w:r>
            <w:r w:rsidRPr="00A66F03">
              <w:rPr>
                <w:rStyle w:val="Sprotnaopomba-sklic"/>
                <w:rFonts w:ascii="Times New Roman" w:eastAsia="Times New Roman" w:hAnsi="Times New Roman" w:cs="Times New Roman"/>
                <w:lang w:val="en-GB"/>
              </w:rPr>
              <w:footnoteReference w:id="101"/>
            </w:r>
            <w:r w:rsidRPr="00A66F03">
              <w:rPr>
                <w:rFonts w:ascii="Times New Roman" w:eastAsia="Times New Roman" w:hAnsi="Times New Roman" w:cs="Times New Roman"/>
                <w:lang w:val="en-GB"/>
              </w:rPr>
              <w:t xml:space="preserve"> (internal security, education, science and sport, space and the environment, nature, water, real estate, agriculture, food </w:t>
            </w:r>
            <w:r w:rsidRPr="00A66F03">
              <w:rPr>
                <w:rFonts w:ascii="Times New Roman" w:eastAsia="Times New Roman" w:hAnsi="Times New Roman" w:cs="Times New Roman"/>
                <w:lang w:val="en-GB"/>
              </w:rPr>
              <w:t xml:space="preserve">and forestry, culture, justice). </w:t>
            </w:r>
          </w:p>
          <w:p w14:paraId="57576603" w14:textId="77777777" w:rsidR="00EA4248" w:rsidRPr="00A66F03" w:rsidRDefault="00976636" w:rsidP="00B72629">
            <w:pPr>
              <w:numPr>
                <w:ilvl w:val="0"/>
                <w:numId w:val="14"/>
              </w:numPr>
              <w:spacing w:after="0" w:line="276" w:lineRule="auto"/>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t xml:space="preserve">Construction of gigabit infrastructure for 8,500 households. </w:t>
            </w:r>
          </w:p>
          <w:p w14:paraId="4EF174B4" w14:textId="77777777" w:rsidR="00257FDB" w:rsidRPr="00A66F03" w:rsidRDefault="00976636" w:rsidP="00B72629">
            <w:pPr>
              <w:numPr>
                <w:ilvl w:val="0"/>
                <w:numId w:val="14"/>
              </w:numPr>
              <w:spacing w:after="0" w:line="276" w:lineRule="auto"/>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t xml:space="preserve">Support for the digital transformation of larger companies in particular, in support of the economy. PO1 actions are exclusively targeted at SME projects, in </w:t>
            </w:r>
            <w:r w:rsidRPr="00A66F03">
              <w:rPr>
                <w:rFonts w:ascii="Times New Roman" w:eastAsia="Times New Roman" w:hAnsi="Times New Roman" w:cs="Times New Roman"/>
                <w:lang w:val="en-GB"/>
              </w:rPr>
              <w:t xml:space="preserve">the areas of promoting a supportive environment and providing direct incentives (subsidies) for digitalisation and digital transformation. Financial instruments for the digital transformation of SMEs are envisaged. The hybrid cloud RRP measure complements </w:t>
            </w:r>
            <w:r w:rsidRPr="00A66F03">
              <w:rPr>
                <w:rFonts w:ascii="Times New Roman" w:eastAsia="Times New Roman" w:hAnsi="Times New Roman" w:cs="Times New Roman"/>
                <w:lang w:val="en-GB"/>
              </w:rPr>
              <w:t>the support for support environment services through PO1.</w:t>
            </w:r>
          </w:p>
          <w:p w14:paraId="201701A6" w14:textId="77777777" w:rsidR="00483C85" w:rsidRPr="00A66F03" w:rsidRDefault="00483C85" w:rsidP="00B72629">
            <w:pPr>
              <w:spacing w:after="0" w:line="276" w:lineRule="auto"/>
              <w:jc w:val="both"/>
              <w:rPr>
                <w:rFonts w:ascii="Times New Roman" w:eastAsia="Times New Roman" w:hAnsi="Times New Roman" w:cs="Times New Roman"/>
                <w:lang w:val="en-GB"/>
              </w:rPr>
            </w:pPr>
          </w:p>
          <w:p w14:paraId="2DA6F221" w14:textId="77777777" w:rsidR="00483C85" w:rsidRPr="00A66F03" w:rsidRDefault="00976636" w:rsidP="00B72629">
            <w:pPr>
              <w:spacing w:after="0" w:line="276" w:lineRule="auto"/>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t>In the field of ICT infrastructure, we will invest ERDF and RRP resources in a complementary way. Support will be given to the construction of high-capacity broadband infrastructure to households i</w:t>
            </w:r>
            <w:r w:rsidRPr="00A66F03">
              <w:rPr>
                <w:rFonts w:ascii="Times New Roman" w:eastAsia="Times New Roman" w:hAnsi="Times New Roman" w:cs="Times New Roman"/>
                <w:lang w:val="en-GB"/>
              </w:rPr>
              <w:t>n geographically challenging areas. InvestEU resources will be used to support private investments in areas where operators have expressed a market interest. CEF2 Digital resources will support the funding of 5G corridors to ensure cross-border connectivit</w:t>
            </w:r>
            <w:r w:rsidRPr="00A66F03">
              <w:rPr>
                <w:rFonts w:ascii="Times New Roman" w:eastAsia="Times New Roman" w:hAnsi="Times New Roman" w:cs="Times New Roman"/>
                <w:lang w:val="en-GB"/>
              </w:rPr>
              <w:t xml:space="preserve">y.  </w:t>
            </w:r>
          </w:p>
          <w:p w14:paraId="78A3B7FF" w14:textId="77777777" w:rsidR="00BA7798" w:rsidRPr="00A66F03" w:rsidRDefault="00BA7798" w:rsidP="00B72629">
            <w:pPr>
              <w:spacing w:after="0" w:line="276" w:lineRule="auto"/>
              <w:jc w:val="both"/>
              <w:rPr>
                <w:rFonts w:ascii="Times New Roman" w:eastAsia="Times New Roman" w:hAnsi="Times New Roman" w:cs="Times New Roman"/>
                <w:lang w:val="en-GB"/>
              </w:rPr>
            </w:pPr>
          </w:p>
          <w:p w14:paraId="3BD6B3F0" w14:textId="77777777" w:rsidR="00087462" w:rsidRPr="00A66F03" w:rsidRDefault="00976636" w:rsidP="00B72629">
            <w:pPr>
              <w:spacing w:after="0" w:line="276" w:lineRule="auto"/>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t xml:space="preserve">Synergies are envisaged between EU cohesion policy funds, the AMIF, the ISF, the BMVI and </w:t>
            </w:r>
            <w:r w:rsidRPr="00A66F03">
              <w:rPr>
                <w:rFonts w:ascii="Times New Roman" w:eastAsia="Times New Roman" w:hAnsi="Times New Roman" w:cs="Times New Roman"/>
                <w:b/>
                <w:bCs/>
                <w:lang w:val="en-GB"/>
              </w:rPr>
              <w:t>Horizon Europe</w:t>
            </w:r>
            <w:r w:rsidRPr="00A66F03">
              <w:rPr>
                <w:rFonts w:ascii="Times New Roman" w:eastAsia="Times New Roman" w:hAnsi="Times New Roman" w:cs="Times New Roman"/>
                <w:lang w:val="en-GB"/>
              </w:rPr>
              <w:t>:</w:t>
            </w:r>
          </w:p>
          <w:p w14:paraId="36C1D33B" w14:textId="77777777" w:rsidR="006372B8" w:rsidRPr="00A66F03" w:rsidRDefault="00976636" w:rsidP="00B72629">
            <w:pPr>
              <w:numPr>
                <w:ilvl w:val="0"/>
                <w:numId w:val="14"/>
              </w:numPr>
              <w:spacing w:after="0" w:line="276" w:lineRule="auto"/>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t>Pooling Horizon Europe resources and EU funds (e.g. Teaming, where two agreements are signed that together cover 100% of the eligible costs, nat</w:t>
            </w:r>
            <w:r w:rsidRPr="00A66F03">
              <w:rPr>
                <w:rFonts w:ascii="Times New Roman" w:eastAsia="Times New Roman" w:hAnsi="Times New Roman" w:cs="Times New Roman"/>
                <w:lang w:val="en-GB"/>
              </w:rPr>
              <w:t>ional funding is directed towards providing money for the necessary research infrastructure).</w:t>
            </w:r>
          </w:p>
          <w:p w14:paraId="44D15E7E" w14:textId="77777777" w:rsidR="006372B8" w:rsidRPr="00A66F03" w:rsidRDefault="00976636" w:rsidP="00B72629">
            <w:pPr>
              <w:numPr>
                <w:ilvl w:val="0"/>
                <w:numId w:val="14"/>
              </w:numPr>
              <w:spacing w:after="0" w:line="276" w:lineRule="auto"/>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t>Financing of national participation in partnerships: in the upcoming Horizon Europe framework programme, an important part of the research activities will be focu</w:t>
            </w:r>
            <w:r w:rsidRPr="00A66F03">
              <w:rPr>
                <w:rFonts w:ascii="Times New Roman" w:eastAsia="Times New Roman" w:hAnsi="Times New Roman" w:cs="Times New Roman"/>
                <w:lang w:val="en-GB"/>
              </w:rPr>
              <w:t>sed on these partnerships.</w:t>
            </w:r>
          </w:p>
          <w:p w14:paraId="2F22DC5E" w14:textId="77777777" w:rsidR="006372B8" w:rsidRPr="00A66F03" w:rsidRDefault="00976636" w:rsidP="00B72629">
            <w:pPr>
              <w:numPr>
                <w:ilvl w:val="0"/>
                <w:numId w:val="14"/>
              </w:numPr>
              <w:spacing w:after="0" w:line="276" w:lineRule="auto"/>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t>Funding of projects that obtain the ‘Seal of Excellence’. These projects are assessed as excellent in the evaluation processes at EU level but are not co-financed due to budget constraints (mainly for EIC, MSCA and ERC programmes</w:t>
            </w:r>
            <w:r w:rsidRPr="00A66F03">
              <w:rPr>
                <w:rFonts w:ascii="Times New Roman" w:eastAsia="Times New Roman" w:hAnsi="Times New Roman" w:cs="Times New Roman"/>
                <w:lang w:val="en-GB"/>
              </w:rPr>
              <w:t>).</w:t>
            </w:r>
          </w:p>
          <w:p w14:paraId="676CDEC2" w14:textId="77777777" w:rsidR="00FB2D6D" w:rsidRPr="00A66F03" w:rsidRDefault="00976636" w:rsidP="00B72629">
            <w:pPr>
              <w:numPr>
                <w:ilvl w:val="0"/>
                <w:numId w:val="14"/>
              </w:numPr>
              <w:spacing w:after="0" w:line="276" w:lineRule="auto"/>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t>Horizon Europe missions will be addressed through a policy mix supporting the S5 domains belonging to the respective missions, in particular under PO1 and through complementary funding from other Policy Objectives, including the JTF and the RRP.</w:t>
            </w:r>
          </w:p>
          <w:p w14:paraId="56AAA5CC" w14:textId="77777777" w:rsidR="004942FD" w:rsidRPr="00A66F03" w:rsidRDefault="004942FD" w:rsidP="00B72629">
            <w:pPr>
              <w:spacing w:after="0" w:line="276" w:lineRule="auto"/>
              <w:ind w:left="720"/>
              <w:jc w:val="both"/>
              <w:rPr>
                <w:rFonts w:ascii="Times New Roman" w:eastAsia="Times New Roman" w:hAnsi="Times New Roman" w:cs="Times New Roman"/>
                <w:lang w:val="en-GB"/>
              </w:rPr>
            </w:pPr>
          </w:p>
          <w:p w14:paraId="6BA75D78" w14:textId="77777777" w:rsidR="00792279" w:rsidRPr="00A66F03" w:rsidRDefault="00976636" w:rsidP="00B72629">
            <w:pPr>
              <w:spacing w:after="0" w:line="276" w:lineRule="auto"/>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lastRenderedPageBreak/>
              <w:t xml:space="preserve">Synergies are envisaged between EU cohesion policy funds, the AMIF, the ISF, the BMVI and the </w:t>
            </w:r>
            <w:r w:rsidRPr="00A66F03">
              <w:rPr>
                <w:rFonts w:ascii="Times New Roman" w:eastAsia="Times New Roman" w:hAnsi="Times New Roman" w:cs="Times New Roman"/>
                <w:b/>
                <w:bCs/>
                <w:lang w:val="en-GB"/>
              </w:rPr>
              <w:t>Digital Europe Programme</w:t>
            </w:r>
            <w:r w:rsidRPr="00A66F03">
              <w:rPr>
                <w:rFonts w:ascii="Times New Roman" w:eastAsia="Times New Roman" w:hAnsi="Times New Roman" w:cs="Times New Roman"/>
                <w:lang w:val="en-GB"/>
              </w:rPr>
              <w:t>:</w:t>
            </w:r>
          </w:p>
          <w:p w14:paraId="0EB9C70C" w14:textId="77777777" w:rsidR="00792279" w:rsidRPr="00A66F03" w:rsidRDefault="00976636" w:rsidP="00B72629">
            <w:pPr>
              <w:numPr>
                <w:ilvl w:val="0"/>
                <w:numId w:val="14"/>
              </w:numPr>
              <w:spacing w:after="0" w:line="276" w:lineRule="auto"/>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t>Pooling of Digital Europe Programme and EU funds (e.g. EDIH, where two agreements are signed that together cover a certain percentage of</w:t>
            </w:r>
            <w:r w:rsidRPr="00A66F03">
              <w:rPr>
                <w:rFonts w:ascii="Times New Roman" w:eastAsia="Times New Roman" w:hAnsi="Times New Roman" w:cs="Times New Roman"/>
                <w:lang w:val="en-GB"/>
              </w:rPr>
              <w:t xml:space="preserve"> the eligible costs, the programme determines what is covered by national resources, to differing degrees as determined by the technology).</w:t>
            </w:r>
          </w:p>
          <w:p w14:paraId="0815D3FB" w14:textId="77777777" w:rsidR="00792279" w:rsidRPr="00A66F03" w:rsidRDefault="00976636" w:rsidP="00B72629">
            <w:pPr>
              <w:numPr>
                <w:ilvl w:val="0"/>
                <w:numId w:val="14"/>
              </w:numPr>
              <w:spacing w:after="0" w:line="276" w:lineRule="auto"/>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t>Funding of national participation in partnerships or consortiums: under the Digital Europe Programme, certain activi</w:t>
            </w:r>
            <w:r w:rsidRPr="00A66F03">
              <w:rPr>
                <w:rFonts w:ascii="Times New Roman" w:eastAsia="Times New Roman" w:hAnsi="Times New Roman" w:cs="Times New Roman"/>
                <w:lang w:val="en-GB"/>
              </w:rPr>
              <w:t>ties will focus on partnerships or consortiums, particularly international ones.</w:t>
            </w:r>
          </w:p>
          <w:p w14:paraId="4871F5A3" w14:textId="77777777" w:rsidR="00792279" w:rsidRPr="00A66F03" w:rsidRDefault="00976636" w:rsidP="00B72629">
            <w:pPr>
              <w:numPr>
                <w:ilvl w:val="0"/>
                <w:numId w:val="14"/>
              </w:numPr>
              <w:spacing w:after="0" w:line="276" w:lineRule="auto"/>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t>Funding of projects that obtain the ‘Seal of Excellence’. These are projects that have been assessed as excellent in EU-level evaluation processes but that are not co-financed</w:t>
            </w:r>
            <w:r w:rsidRPr="00A66F03">
              <w:rPr>
                <w:rFonts w:ascii="Times New Roman" w:eastAsia="Times New Roman" w:hAnsi="Times New Roman" w:cs="Times New Roman"/>
                <w:lang w:val="en-GB"/>
              </w:rPr>
              <w:t xml:space="preserve"> (e.g. EDIH) due to constraints in the programme budget.</w:t>
            </w:r>
          </w:p>
          <w:p w14:paraId="56E9438F" w14:textId="77777777" w:rsidR="00792279" w:rsidRPr="00A66F03" w:rsidRDefault="00976636" w:rsidP="00B72629">
            <w:pPr>
              <w:numPr>
                <w:ilvl w:val="0"/>
                <w:numId w:val="14"/>
              </w:numPr>
              <w:spacing w:after="0" w:line="276" w:lineRule="auto"/>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t>Co-financing of European Digital Infrastructure Consortiums (EDIC), which constitute a new instrument for the implementation of multi-country projects to be co-financed through European programmes (D</w:t>
            </w:r>
            <w:r w:rsidRPr="00A66F03">
              <w:rPr>
                <w:rFonts w:ascii="Times New Roman" w:eastAsia="Times New Roman" w:hAnsi="Times New Roman" w:cs="Times New Roman"/>
                <w:lang w:val="en-GB"/>
              </w:rPr>
              <w:t>igital Europe Programme, CEF II Digital, Horizon Europe, Invest EU) together with the RRP and Cohesion Funds.</w:t>
            </w:r>
          </w:p>
          <w:p w14:paraId="4DD19A84" w14:textId="77777777" w:rsidR="009A1DEC" w:rsidRPr="00A66F03" w:rsidRDefault="009A1DEC" w:rsidP="00B72629">
            <w:pPr>
              <w:spacing w:after="0" w:line="276" w:lineRule="auto"/>
              <w:jc w:val="both"/>
              <w:rPr>
                <w:rFonts w:ascii="Times New Roman" w:hAnsi="Times New Roman" w:cs="Times New Roman"/>
                <w:lang w:val="en-GB"/>
              </w:rPr>
            </w:pPr>
          </w:p>
          <w:p w14:paraId="7D21A46C" w14:textId="77777777" w:rsidR="00B8319A" w:rsidRPr="00A66F03" w:rsidRDefault="00976636" w:rsidP="00B72629">
            <w:pPr>
              <w:spacing w:after="0" w:line="276" w:lineRule="auto"/>
              <w:jc w:val="both"/>
              <w:rPr>
                <w:rFonts w:ascii="Times New Roman" w:hAnsi="Times New Roman" w:cs="Times New Roman"/>
                <w:lang w:val="en-GB"/>
              </w:rPr>
            </w:pPr>
            <w:r w:rsidRPr="00A66F03">
              <w:rPr>
                <w:rFonts w:ascii="Times New Roman" w:hAnsi="Times New Roman" w:cs="Times New Roman"/>
                <w:lang w:val="en-GB"/>
              </w:rPr>
              <w:t xml:space="preserve">In the field of digitalisation promotion, the ISF and BMVI are also complemented by </w:t>
            </w:r>
            <w:r w:rsidRPr="00A66F03">
              <w:rPr>
                <w:rFonts w:ascii="Times New Roman" w:hAnsi="Times New Roman" w:cs="Times New Roman"/>
                <w:b/>
                <w:bCs/>
                <w:lang w:val="en-GB"/>
              </w:rPr>
              <w:t>RRP</w:t>
            </w:r>
            <w:r w:rsidRPr="00A66F03">
              <w:rPr>
                <w:rFonts w:ascii="Times New Roman" w:hAnsi="Times New Roman" w:cs="Times New Roman"/>
                <w:lang w:val="en-GB"/>
              </w:rPr>
              <w:t xml:space="preserve"> actions.</w:t>
            </w:r>
            <w:r w:rsidRPr="00A66F03">
              <w:rPr>
                <w:rFonts w:ascii="Times New Roman" w:hAnsi="Times New Roman" w:cs="Times New Roman"/>
                <w:b/>
                <w:bCs/>
                <w:lang w:val="en-GB"/>
              </w:rPr>
              <w:t xml:space="preserve"> </w:t>
            </w:r>
            <w:r w:rsidRPr="00A66F03">
              <w:rPr>
                <w:rFonts w:ascii="Times New Roman" w:hAnsi="Times New Roman" w:cs="Times New Roman"/>
                <w:lang w:val="en-GB"/>
              </w:rPr>
              <w:t>Important demarcations, complementarities and sy</w:t>
            </w:r>
            <w:r w:rsidRPr="00A66F03">
              <w:rPr>
                <w:rFonts w:ascii="Times New Roman" w:hAnsi="Times New Roman" w:cs="Times New Roman"/>
                <w:lang w:val="en-GB"/>
              </w:rPr>
              <w:t>nergies between the BMVI, the ISF and the RRP have been identified in the area of digitalisation investments; these are focused mainly on the upgrading of information systems and the purchase of equipment, which is of the utmost importance as a basis for e</w:t>
            </w:r>
            <w:r w:rsidRPr="00A66F03">
              <w:rPr>
                <w:rFonts w:ascii="Times New Roman" w:hAnsi="Times New Roman" w:cs="Times New Roman"/>
                <w:lang w:val="en-GB"/>
              </w:rPr>
              <w:t>nabling the police to function at an optimal level. It also forms the basis for other investments in digitalisation to be funded by the ISF and the BMVI (interoperability, large systems, PNR, ETIAS, etc.). Against this background, unified planning and moni</w:t>
            </w:r>
            <w:r w:rsidRPr="00A66F03">
              <w:rPr>
                <w:rFonts w:ascii="Times New Roman" w:hAnsi="Times New Roman" w:cs="Times New Roman"/>
                <w:lang w:val="en-GB"/>
              </w:rPr>
              <w:t>toring will be put in place to avoid overlaps.</w:t>
            </w:r>
          </w:p>
          <w:p w14:paraId="0EADC7B6" w14:textId="77777777" w:rsidR="004942FD" w:rsidRPr="00A66F03" w:rsidRDefault="004942FD" w:rsidP="00B72629">
            <w:pPr>
              <w:spacing w:after="0" w:line="276" w:lineRule="auto"/>
              <w:jc w:val="both"/>
              <w:rPr>
                <w:rFonts w:ascii="Times New Roman" w:hAnsi="Times New Roman" w:cs="Times New Roman"/>
                <w:lang w:val="en-GB"/>
              </w:rPr>
            </w:pPr>
          </w:p>
          <w:p w14:paraId="3BD349FD" w14:textId="77777777" w:rsidR="0095651B" w:rsidRPr="00A66F03" w:rsidRDefault="00976636" w:rsidP="00B72629">
            <w:pPr>
              <w:spacing w:after="0" w:line="276" w:lineRule="auto"/>
              <w:jc w:val="both"/>
              <w:rPr>
                <w:rFonts w:ascii="Times New Roman" w:eastAsia="Times New Roman" w:hAnsi="Times New Roman" w:cs="Times New Roman"/>
                <w:b/>
                <w:lang w:val="en-GB"/>
              </w:rPr>
            </w:pPr>
            <w:r w:rsidRPr="00A66F03">
              <w:rPr>
                <w:rFonts w:ascii="Times New Roman" w:eastAsia="Times New Roman" w:hAnsi="Times New Roman" w:cs="Times New Roman"/>
                <w:b/>
                <w:bCs/>
                <w:lang w:val="en-GB"/>
              </w:rPr>
              <w:t>Policy Objective 2</w:t>
            </w:r>
          </w:p>
          <w:p w14:paraId="33CA4395" w14:textId="77777777" w:rsidR="004942FD" w:rsidRPr="00A66F03" w:rsidRDefault="004942FD" w:rsidP="00B72629">
            <w:pPr>
              <w:spacing w:after="0" w:line="276" w:lineRule="auto"/>
              <w:jc w:val="both"/>
              <w:rPr>
                <w:rFonts w:ascii="Times New Roman" w:eastAsia="Times New Roman" w:hAnsi="Times New Roman" w:cs="Times New Roman"/>
                <w:b/>
                <w:lang w:val="en-GB"/>
              </w:rPr>
            </w:pPr>
          </w:p>
          <w:p w14:paraId="718F6858" w14:textId="77777777" w:rsidR="005953D1" w:rsidRPr="00A66F03" w:rsidRDefault="00976636" w:rsidP="00B72629">
            <w:pPr>
              <w:spacing w:after="0" w:line="276" w:lineRule="auto"/>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t xml:space="preserve">Under PO2, ERDF and EMFAF resources will be complemented by </w:t>
            </w:r>
            <w:r w:rsidRPr="00A66F03">
              <w:rPr>
                <w:rFonts w:ascii="Times New Roman" w:eastAsia="Times New Roman" w:hAnsi="Times New Roman" w:cs="Times New Roman"/>
                <w:b/>
                <w:bCs/>
                <w:lang w:val="en-GB"/>
              </w:rPr>
              <w:t xml:space="preserve">EAFRD </w:t>
            </w:r>
            <w:r w:rsidRPr="00A66F03">
              <w:rPr>
                <w:rFonts w:ascii="Times New Roman" w:eastAsia="Times New Roman" w:hAnsi="Times New Roman" w:cs="Times New Roman"/>
                <w:lang w:val="en-GB"/>
              </w:rPr>
              <w:t>resources in the following areas:</w:t>
            </w:r>
          </w:p>
          <w:p w14:paraId="25A2E12C" w14:textId="77777777" w:rsidR="006372B8" w:rsidRPr="00A66F03" w:rsidRDefault="00976636" w:rsidP="00B72629">
            <w:pPr>
              <w:pStyle w:val="Odstavekseznama"/>
              <w:numPr>
                <w:ilvl w:val="0"/>
                <w:numId w:val="14"/>
              </w:numPr>
              <w:spacing w:after="0" w:line="276" w:lineRule="auto"/>
              <w:jc w:val="both"/>
              <w:rPr>
                <w:rFonts w:ascii="Times New Roman" w:eastAsia="Times New Roman" w:hAnsi="Times New Roman" w:cs="Times New Roman"/>
              </w:rPr>
            </w:pPr>
            <w:r w:rsidRPr="00A66F03">
              <w:rPr>
                <w:rFonts w:ascii="Times New Roman" w:hAnsi="Times New Roman" w:cs="Times New Roman"/>
              </w:rPr>
              <w:t xml:space="preserve">The Common Agricultural Policy Strategic Plan 2023–2027 will include, for the whole </w:t>
            </w:r>
            <w:r w:rsidRPr="00A66F03">
              <w:rPr>
                <w:rFonts w:ascii="Times New Roman" w:hAnsi="Times New Roman" w:cs="Times New Roman"/>
              </w:rPr>
              <w:t>territory of Slovenia, commitments under European environmental legislation</w:t>
            </w:r>
            <w:r w:rsidRPr="00A66F03">
              <w:rPr>
                <w:rFonts w:ascii="Times New Roman" w:hAnsi="Times New Roman" w:cs="Times New Roman"/>
                <w:vertAlign w:val="superscript"/>
              </w:rPr>
              <w:footnoteReference w:id="102"/>
            </w:r>
            <w:r w:rsidRPr="00A66F03">
              <w:rPr>
                <w:rFonts w:ascii="Times New Roman" w:hAnsi="Times New Roman" w:cs="Times New Roman"/>
              </w:rPr>
              <w:t xml:space="preserve"> and the NECP. The substance and background is contained in the ‘Our Food, Countryside and Natural Resources After 2021’ resolution.</w:t>
            </w:r>
            <w:r w:rsidRPr="00A66F03">
              <w:rPr>
                <w:rFonts w:ascii="Times New Roman" w:hAnsi="Times New Roman" w:cs="Times New Roman"/>
                <w:vertAlign w:val="superscript"/>
              </w:rPr>
              <w:footnoteReference w:id="103"/>
            </w:r>
            <w:r w:rsidRPr="00A66F03">
              <w:rPr>
                <w:rFonts w:ascii="Times New Roman" w:hAnsi="Times New Roman" w:cs="Times New Roman"/>
              </w:rPr>
              <w:t xml:space="preserve"> EAFRD resources will be used to support the de</w:t>
            </w:r>
            <w:r w:rsidRPr="00A66F03">
              <w:rPr>
                <w:rFonts w:ascii="Times New Roman" w:hAnsi="Times New Roman" w:cs="Times New Roman"/>
              </w:rPr>
              <w:t xml:space="preserve">velopment of a carbon-neutral and circular economy, which will contribute to the achievement of CP1, CP2 and CP4. </w:t>
            </w:r>
          </w:p>
          <w:p w14:paraId="74A5095B" w14:textId="77777777" w:rsidR="00B554F8" w:rsidRPr="00A66F03" w:rsidRDefault="00976636" w:rsidP="00B72629">
            <w:pPr>
              <w:pStyle w:val="Odstavekseznama"/>
              <w:numPr>
                <w:ilvl w:val="0"/>
                <w:numId w:val="14"/>
              </w:numPr>
              <w:spacing w:after="0" w:line="276" w:lineRule="auto"/>
              <w:jc w:val="both"/>
              <w:rPr>
                <w:rFonts w:ascii="Times New Roman" w:eastAsia="Times New Roman" w:hAnsi="Times New Roman" w:cs="Times New Roman"/>
              </w:rPr>
            </w:pPr>
            <w:r w:rsidRPr="00A66F03">
              <w:rPr>
                <w:rFonts w:ascii="Times New Roman" w:eastAsia="Times New Roman" w:hAnsi="Times New Roman" w:cs="Times New Roman"/>
              </w:rPr>
              <w:t>As part of efforts to promote the circular economy, EAFRD resources will be used to support non-agricultural supplementary activities on farm</w:t>
            </w:r>
            <w:r w:rsidRPr="00A66F03">
              <w:rPr>
                <w:rFonts w:ascii="Times New Roman" w:eastAsia="Times New Roman" w:hAnsi="Times New Roman" w:cs="Times New Roman"/>
              </w:rPr>
              <w:t>s, as well as investments in agricultural holdings and food businesses that address the circular and organic economy. EAFRD resources will be used to support investments in farms/agricultural holdings and food businesses that address the re-use of by-produ</w:t>
            </w:r>
            <w:r w:rsidRPr="00A66F03">
              <w:rPr>
                <w:rFonts w:ascii="Times New Roman" w:eastAsia="Times New Roman" w:hAnsi="Times New Roman" w:cs="Times New Roman"/>
              </w:rPr>
              <w:t>cts, residues and other non-food raw materials, investments in water use reduction, waste water reuse and waste reduction, investments related to recycling and composting, investments in renewable energy and energy efficiency for farms/agricultural holding</w:t>
            </w:r>
            <w:r w:rsidRPr="00A66F03">
              <w:rPr>
                <w:rFonts w:ascii="Times New Roman" w:eastAsia="Times New Roman" w:hAnsi="Times New Roman" w:cs="Times New Roman"/>
              </w:rPr>
              <w:t>s, the introduction of biodegradable and recycled packaging, and investments in the increased material efficiency of production processes.</w:t>
            </w:r>
          </w:p>
          <w:p w14:paraId="7A64E6FC" w14:textId="77777777" w:rsidR="009B012A" w:rsidRPr="00A66F03" w:rsidRDefault="00976636" w:rsidP="00B72629">
            <w:pPr>
              <w:pStyle w:val="Odstavekseznama"/>
              <w:numPr>
                <w:ilvl w:val="0"/>
                <w:numId w:val="14"/>
              </w:numPr>
              <w:spacing w:after="0" w:line="276" w:lineRule="auto"/>
              <w:jc w:val="both"/>
              <w:rPr>
                <w:rFonts w:ascii="Times New Roman" w:eastAsia="Times New Roman" w:hAnsi="Times New Roman" w:cs="Times New Roman"/>
              </w:rPr>
            </w:pPr>
            <w:r w:rsidRPr="00A66F03">
              <w:rPr>
                <w:rFonts w:ascii="Times New Roman" w:hAnsi="Times New Roman" w:cs="Times New Roman"/>
              </w:rPr>
              <w:lastRenderedPageBreak/>
              <w:t xml:space="preserve">EAFRD resources will also be used to support the maintenance of and improvements to biodiversity status, sustainable </w:t>
            </w:r>
            <w:r w:rsidRPr="00A66F03">
              <w:rPr>
                <w:rFonts w:ascii="Times New Roman" w:hAnsi="Times New Roman" w:cs="Times New Roman"/>
              </w:rPr>
              <w:t>energy use, and climate change mitigation and adaptation in agriculture and forestry.</w:t>
            </w:r>
          </w:p>
          <w:p w14:paraId="0BFE465D" w14:textId="77777777" w:rsidR="00C3260A" w:rsidRPr="00A66F03" w:rsidRDefault="00C3260A" w:rsidP="00B72629">
            <w:pPr>
              <w:spacing w:after="0" w:line="276" w:lineRule="auto"/>
              <w:jc w:val="both"/>
              <w:rPr>
                <w:rFonts w:ascii="Times New Roman" w:eastAsia="Times New Roman" w:hAnsi="Times New Roman" w:cs="Times New Roman"/>
                <w:iCs/>
                <w:lang w:val="en-GB"/>
              </w:rPr>
            </w:pPr>
          </w:p>
          <w:p w14:paraId="34DE1828" w14:textId="77777777" w:rsidR="00467152" w:rsidRPr="00A66F03" w:rsidRDefault="00976636" w:rsidP="00B72629">
            <w:pPr>
              <w:spacing w:after="0" w:line="276" w:lineRule="auto"/>
              <w:jc w:val="both"/>
              <w:rPr>
                <w:rFonts w:ascii="Times New Roman" w:eastAsia="Times New Roman" w:hAnsi="Times New Roman" w:cs="Times New Roman"/>
                <w:iCs/>
                <w:lang w:val="en-GB"/>
              </w:rPr>
            </w:pPr>
            <w:r w:rsidRPr="00A66F03">
              <w:rPr>
                <w:rFonts w:ascii="Times New Roman" w:hAnsi="Times New Roman" w:cs="Times New Roman"/>
                <w:lang w:val="en-GB"/>
              </w:rPr>
              <w:t xml:space="preserve">Cohesion policy funding for biodiversity conservation measures will be complemented by resources from the </w:t>
            </w:r>
            <w:r w:rsidRPr="00A66F03">
              <w:rPr>
                <w:rFonts w:ascii="Times New Roman" w:hAnsi="Times New Roman" w:cs="Times New Roman"/>
                <w:b/>
                <w:bCs/>
                <w:lang w:val="en-GB"/>
              </w:rPr>
              <w:t xml:space="preserve">LIFE+ Programme </w:t>
            </w:r>
            <w:r w:rsidRPr="00A66F03">
              <w:rPr>
                <w:rFonts w:ascii="Times New Roman" w:hAnsi="Times New Roman" w:cs="Times New Roman"/>
                <w:lang w:val="en-GB"/>
              </w:rPr>
              <w:t>to support strategic nature projects. Managing authorities will seek to create opportunities to exploit possible complementarities and synergies with this programme; this could include supporting strategic nature projects (strategic integrated projects) an</w:t>
            </w:r>
            <w:r w:rsidRPr="00A66F03">
              <w:rPr>
                <w:rFonts w:ascii="Times New Roman" w:hAnsi="Times New Roman" w:cs="Times New Roman"/>
                <w:lang w:val="en-GB"/>
              </w:rPr>
              <w:t>d maintaining the results and impacts of projects awarded with a Seal of Excellence under the LIFE Programme. We will facilitate the achievement of biodiversity conservation and restoration objectives through, among other things, the EAFRD, the EMFAF (part</w:t>
            </w:r>
            <w:r w:rsidRPr="00A66F03">
              <w:rPr>
                <w:rFonts w:ascii="Times New Roman" w:hAnsi="Times New Roman" w:cs="Times New Roman"/>
                <w:lang w:val="en-GB"/>
              </w:rPr>
              <w:t xml:space="preserve">icularly Objectives 1.3, 1.6 and 4 of the Union’s priorities), cross-border programmes and Interreg programmes. </w:t>
            </w:r>
            <w:r w:rsidRPr="00A66F03">
              <w:rPr>
                <w:rFonts w:ascii="Times New Roman" w:hAnsi="Times New Roman" w:cs="Times New Roman"/>
                <w:color w:val="000000"/>
                <w:lang w:val="en-GB"/>
              </w:rPr>
              <w:t>All measures relating to the conservation and improvement of biodiversity status at sea and in the coastal zone will be financed by EMFAF resour</w:t>
            </w:r>
            <w:r w:rsidRPr="00A66F03">
              <w:rPr>
                <w:rFonts w:ascii="Times New Roman" w:hAnsi="Times New Roman" w:cs="Times New Roman"/>
                <w:color w:val="000000"/>
                <w:lang w:val="en-GB"/>
              </w:rPr>
              <w:t>ces and will therefore not be eligible for funding under ECP 2021–2027. All measures to conserve and improve biodiversity status implemented on mainland areas of Slovenia will be financed under ECP 2021–2027 and will therefore not be eligible for funding u</w:t>
            </w:r>
            <w:r w:rsidRPr="00A66F03">
              <w:rPr>
                <w:rFonts w:ascii="Times New Roman" w:hAnsi="Times New Roman" w:cs="Times New Roman"/>
                <w:color w:val="000000"/>
                <w:lang w:val="en-GB"/>
              </w:rPr>
              <w:t xml:space="preserve">nder the EMFAF. Additional funding priorities, with an indication of the funding source (EMFAF or ECP), are defined by the government’s Natura 2000 Management Programme. </w:t>
            </w:r>
          </w:p>
          <w:p w14:paraId="47517D1D" w14:textId="77777777" w:rsidR="00733E7D" w:rsidRPr="00A66F03" w:rsidRDefault="00733E7D" w:rsidP="00B72629">
            <w:pPr>
              <w:spacing w:after="0" w:line="276" w:lineRule="auto"/>
              <w:jc w:val="both"/>
              <w:rPr>
                <w:rFonts w:ascii="Times New Roman" w:eastAsia="Times New Roman" w:hAnsi="Times New Roman" w:cs="Times New Roman"/>
                <w:iCs/>
                <w:lang w:val="en-GB"/>
              </w:rPr>
            </w:pPr>
          </w:p>
          <w:p w14:paraId="1C399F6C" w14:textId="77777777" w:rsidR="00733E7D" w:rsidRPr="00A66F03" w:rsidRDefault="00976636" w:rsidP="00B72629">
            <w:pPr>
              <w:spacing w:after="0" w:line="276" w:lineRule="auto"/>
              <w:jc w:val="both"/>
              <w:rPr>
                <w:rFonts w:ascii="Times New Roman" w:eastAsia="Times New Roman" w:hAnsi="Times New Roman" w:cs="Times New Roman"/>
                <w:iCs/>
                <w:lang w:val="en-GB"/>
              </w:rPr>
            </w:pPr>
            <w:r w:rsidRPr="00A66F03">
              <w:rPr>
                <w:rFonts w:ascii="Times New Roman" w:eastAsia="Times New Roman" w:hAnsi="Times New Roman" w:cs="Times New Roman"/>
                <w:lang w:val="en-GB"/>
              </w:rPr>
              <w:t>EMFAF resources will help to increase the efficiency and visibility of maritime surv</w:t>
            </w:r>
            <w:r w:rsidRPr="00A66F03">
              <w:rPr>
                <w:rFonts w:ascii="Times New Roman" w:eastAsia="Times New Roman" w:hAnsi="Times New Roman" w:cs="Times New Roman"/>
                <w:lang w:val="en-GB"/>
              </w:rPr>
              <w:t>eillance within international contexts as well. The selected activities will contribute to actions A.1.7, A.2.9 and B.2.7 of the EU Maritime Security Strategy (EUMSS) Action Plan, in conjunction with the objective of a cross- sectoral approach and EUMSS ri</w:t>
            </w:r>
            <w:r w:rsidRPr="00A66F03">
              <w:rPr>
                <w:rFonts w:ascii="Times New Roman" w:eastAsia="Times New Roman" w:hAnsi="Times New Roman" w:cs="Times New Roman"/>
                <w:lang w:val="en-GB"/>
              </w:rPr>
              <w:t>sk management. Synergies will be created between the selected maritime surveillance activities, together with activities relating to surveillance and enforcement of the first Union priority, and the investments envisaged under the Integrated Border Managem</w:t>
            </w:r>
            <w:r w:rsidRPr="00A66F03">
              <w:rPr>
                <w:rFonts w:ascii="Times New Roman" w:eastAsia="Times New Roman" w:hAnsi="Times New Roman" w:cs="Times New Roman"/>
                <w:lang w:val="en-GB"/>
              </w:rPr>
              <w:t xml:space="preserve">ent Fund, more specifically under Article 3(2)(a) of Regulation (EU) 2021/1148. </w:t>
            </w:r>
          </w:p>
          <w:p w14:paraId="69A5BC90" w14:textId="77777777" w:rsidR="004942FD" w:rsidRPr="00A66F03" w:rsidRDefault="004942FD" w:rsidP="00B72629">
            <w:pPr>
              <w:spacing w:after="0" w:line="276" w:lineRule="auto"/>
              <w:jc w:val="both"/>
              <w:rPr>
                <w:rFonts w:ascii="Times New Roman" w:eastAsia="Times New Roman" w:hAnsi="Times New Roman" w:cs="Times New Roman"/>
                <w:iCs/>
                <w:lang w:val="en-GB"/>
              </w:rPr>
            </w:pPr>
          </w:p>
          <w:p w14:paraId="163FC159" w14:textId="77777777" w:rsidR="008D4756" w:rsidRPr="00A66F03" w:rsidRDefault="00976636" w:rsidP="00B72629">
            <w:pPr>
              <w:spacing w:after="0" w:line="276" w:lineRule="auto"/>
              <w:jc w:val="both"/>
              <w:rPr>
                <w:rFonts w:ascii="Times New Roman" w:eastAsia="Times New Roman" w:hAnsi="Times New Roman" w:cs="Times New Roman"/>
                <w:iCs/>
                <w:lang w:val="en-GB"/>
              </w:rPr>
            </w:pPr>
            <w:r w:rsidRPr="00A66F03">
              <w:rPr>
                <w:rFonts w:ascii="Times New Roman" w:eastAsia="Times New Roman" w:hAnsi="Times New Roman" w:cs="Times New Roman"/>
                <w:lang w:val="en-GB"/>
              </w:rPr>
              <w:t xml:space="preserve">Funding for cohesion policy measures will be complemented by funds from the </w:t>
            </w:r>
            <w:r w:rsidRPr="00A66F03">
              <w:rPr>
                <w:rFonts w:ascii="Times New Roman" w:eastAsia="Times New Roman" w:hAnsi="Times New Roman" w:cs="Times New Roman"/>
                <w:b/>
                <w:bCs/>
                <w:lang w:val="en-GB"/>
              </w:rPr>
              <w:t>RRP</w:t>
            </w:r>
            <w:r w:rsidRPr="00A66F03">
              <w:rPr>
                <w:rFonts w:ascii="Times New Roman" w:eastAsia="Times New Roman" w:hAnsi="Times New Roman" w:cs="Times New Roman"/>
                <w:lang w:val="en-GB"/>
              </w:rPr>
              <w:t>:</w:t>
            </w:r>
          </w:p>
          <w:p w14:paraId="26E92F6D" w14:textId="77777777" w:rsidR="009901BF" w:rsidRPr="00A66F03" w:rsidRDefault="00976636" w:rsidP="00B72629">
            <w:pPr>
              <w:pStyle w:val="Odstavekseznama"/>
              <w:numPr>
                <w:ilvl w:val="0"/>
                <w:numId w:val="14"/>
              </w:numPr>
              <w:spacing w:after="0" w:line="276" w:lineRule="auto"/>
              <w:jc w:val="both"/>
              <w:rPr>
                <w:rFonts w:ascii="Times New Roman" w:eastAsia="Times New Roman" w:hAnsi="Times New Roman" w:cs="Times New Roman"/>
              </w:rPr>
            </w:pPr>
            <w:r w:rsidRPr="00A66F03">
              <w:rPr>
                <w:rFonts w:ascii="Times New Roman" w:eastAsia="Times New Roman" w:hAnsi="Times New Roman" w:cs="Times New Roman"/>
              </w:rPr>
              <w:t xml:space="preserve">In the field of energy efficiency, plans have been drawn up to use RRP resources to activate </w:t>
            </w:r>
            <w:r w:rsidRPr="00A66F03">
              <w:rPr>
                <w:rFonts w:ascii="Times New Roman" w:eastAsia="Times New Roman" w:hAnsi="Times New Roman" w:cs="Times New Roman"/>
              </w:rPr>
              <w:t>additional energy renovation potential for public buildings that also need other elements of sustainable renovation before energy renovation, or that are specific in terms of their intended purpose and are classified as specific types of building.</w:t>
            </w:r>
          </w:p>
          <w:p w14:paraId="5ACD35FF" w14:textId="77777777" w:rsidR="00ED34D4" w:rsidRPr="00A66F03" w:rsidRDefault="00976636" w:rsidP="00B72629">
            <w:pPr>
              <w:pStyle w:val="Odstavekseznama"/>
              <w:numPr>
                <w:ilvl w:val="0"/>
                <w:numId w:val="14"/>
              </w:numPr>
              <w:spacing w:after="0" w:line="276" w:lineRule="auto"/>
              <w:jc w:val="both"/>
              <w:rPr>
                <w:rFonts w:ascii="Times New Roman" w:eastAsia="Times New Roman" w:hAnsi="Times New Roman" w:cs="Times New Roman"/>
              </w:rPr>
            </w:pPr>
            <w:r w:rsidRPr="00A66F03">
              <w:rPr>
                <w:rFonts w:ascii="Times New Roman" w:eastAsia="Times New Roman" w:hAnsi="Times New Roman" w:cs="Times New Roman"/>
              </w:rPr>
              <w:t>RRP inve</w:t>
            </w:r>
            <w:r w:rsidRPr="00A66F03">
              <w:rPr>
                <w:rFonts w:ascii="Times New Roman" w:eastAsia="Times New Roman" w:hAnsi="Times New Roman" w:cs="Times New Roman"/>
              </w:rPr>
              <w:t>stments in renewables are intended to promote the renovation of existing district heating systems and the production of electricity from renewables (hydro and geothermal energy), to be upgraded, if necessary, by the installation of solar power plants on th</w:t>
            </w:r>
            <w:r w:rsidRPr="00A66F03">
              <w:rPr>
                <w:rFonts w:ascii="Times New Roman" w:eastAsia="Times New Roman" w:hAnsi="Times New Roman" w:cs="Times New Roman"/>
              </w:rPr>
              <w:t>e vacant surfaces of public buildings. In the area of the circular economy, a key action under the RRP concerns the implementation of some of the programmes of Slovenia’s Comprehensive Strategic Decarbonisation Project through a transition to a circular ec</w:t>
            </w:r>
            <w:r w:rsidRPr="00A66F03">
              <w:rPr>
                <w:rFonts w:ascii="Times New Roman" w:eastAsia="Times New Roman" w:hAnsi="Times New Roman" w:cs="Times New Roman"/>
              </w:rPr>
              <w:t>onomy (CSP-CE in horizontal cooperation with key ministries and partners (Climate KIC, EIT RawMaterials and JRC). The remaining programmes will be supported by ESI funds, as well as by the EAFRD and the Climate Change Fund. Climate Change Fund resources wi</w:t>
            </w:r>
            <w:r w:rsidRPr="00A66F03">
              <w:rPr>
                <w:rFonts w:ascii="Times New Roman" w:eastAsia="Times New Roman" w:hAnsi="Times New Roman" w:cs="Times New Roman"/>
              </w:rPr>
              <w:t>ll also cover organisation of the implementation itself and the establishment of a real-time monitoring, evaluation and learning system that will enable us to adapt the content and implementation of the programmes as we go along. RRP resources will support</w:t>
            </w:r>
            <w:r w:rsidRPr="00A66F03">
              <w:rPr>
                <w:rFonts w:ascii="Times New Roman" w:eastAsia="Times New Roman" w:hAnsi="Times New Roman" w:cs="Times New Roman"/>
              </w:rPr>
              <w:t xml:space="preserve"> investments in building a support environment for the transition of companies and value chains towards low-carbon and circular practices, and will also support the identification and development of solutions to help companies transform their operations. E</w:t>
            </w:r>
            <w:r w:rsidRPr="00A66F03">
              <w:rPr>
                <w:rFonts w:ascii="Times New Roman" w:eastAsia="Times New Roman" w:hAnsi="Times New Roman" w:cs="Times New Roman"/>
              </w:rPr>
              <w:t xml:space="preserve">SI resources will be used to invest in changing business models that support the transition of economic operators to a circular economy and improve emissions productivity. </w:t>
            </w:r>
          </w:p>
          <w:p w14:paraId="0D9D69D5" w14:textId="77777777" w:rsidR="00570F16" w:rsidRPr="00A66F03" w:rsidRDefault="00976636" w:rsidP="00B72629">
            <w:pPr>
              <w:pStyle w:val="Odstavekseznama"/>
              <w:numPr>
                <w:ilvl w:val="0"/>
                <w:numId w:val="14"/>
              </w:numPr>
              <w:spacing w:after="0" w:line="276" w:lineRule="auto"/>
              <w:jc w:val="both"/>
              <w:rPr>
                <w:rFonts w:ascii="Times New Roman" w:eastAsia="Times New Roman" w:hAnsi="Times New Roman" w:cs="Times New Roman"/>
              </w:rPr>
            </w:pPr>
            <w:r w:rsidRPr="00A66F03">
              <w:rPr>
                <w:rFonts w:ascii="Times New Roman" w:eastAsia="Times New Roman" w:hAnsi="Times New Roman" w:cs="Times New Roman"/>
              </w:rPr>
              <w:lastRenderedPageBreak/>
              <w:t>RRP resources are designed to support increase capacities for the industrial proces</w:t>
            </w:r>
            <w:r w:rsidRPr="00A66F03">
              <w:rPr>
                <w:rFonts w:ascii="Times New Roman" w:eastAsia="Times New Roman" w:hAnsi="Times New Roman" w:cs="Times New Roman"/>
              </w:rPr>
              <w:t xml:space="preserve">sing of wood. </w:t>
            </w:r>
          </w:p>
          <w:p w14:paraId="6AF1BCF5" w14:textId="77777777" w:rsidR="00ED34D4" w:rsidRPr="00A66F03" w:rsidRDefault="00976636" w:rsidP="00B72629">
            <w:pPr>
              <w:pStyle w:val="Odstavekseznama"/>
              <w:numPr>
                <w:ilvl w:val="0"/>
                <w:numId w:val="14"/>
              </w:numPr>
              <w:spacing w:after="0" w:line="276" w:lineRule="auto"/>
              <w:jc w:val="both"/>
              <w:rPr>
                <w:rFonts w:ascii="Times New Roman" w:eastAsia="Times New Roman" w:hAnsi="Times New Roman" w:cs="Times New Roman"/>
              </w:rPr>
            </w:pPr>
            <w:r w:rsidRPr="00A66F03">
              <w:rPr>
                <w:rFonts w:ascii="Times New Roman" w:eastAsia="Times New Roman" w:hAnsi="Times New Roman" w:cs="Times New Roman"/>
              </w:rPr>
              <w:t>In the field of waste water drainage and treatment, there is a clear demarcation between the RRP and ESI resources. RRP resources for the drainage and treatment of waste water for agglomerations of less than 2,000 p.e. will be allocated as a</w:t>
            </w:r>
            <w:r w:rsidRPr="00A66F03">
              <w:rPr>
                <w:rFonts w:ascii="Times New Roman" w:eastAsia="Times New Roman" w:hAnsi="Times New Roman" w:cs="Times New Roman"/>
              </w:rPr>
              <w:t xml:space="preserve"> priority to investments in Natura 2000 or water protection areas. In the field of drinking water supply, RRP resources will be allocated to systems serving fewer than 10,000 inhabitants.</w:t>
            </w:r>
          </w:p>
          <w:p w14:paraId="56EB0621" w14:textId="77777777" w:rsidR="00CC7455" w:rsidRPr="00A66F03" w:rsidRDefault="00976636" w:rsidP="00B72629">
            <w:pPr>
              <w:pStyle w:val="Odstavekseznama"/>
              <w:numPr>
                <w:ilvl w:val="0"/>
                <w:numId w:val="14"/>
              </w:numPr>
              <w:spacing w:after="0" w:line="276" w:lineRule="auto"/>
              <w:jc w:val="both"/>
              <w:rPr>
                <w:rFonts w:ascii="Times New Roman" w:eastAsia="Times New Roman" w:hAnsi="Times New Roman" w:cs="Times New Roman"/>
              </w:rPr>
            </w:pPr>
            <w:r w:rsidRPr="00A66F03">
              <w:rPr>
                <w:rFonts w:ascii="Times New Roman" w:eastAsia="Times New Roman" w:hAnsi="Times New Roman" w:cs="Times New Roman"/>
              </w:rPr>
              <w:t>RRP funds will support actions for climate change adaptation and the</w:t>
            </w:r>
            <w:r w:rsidRPr="00A66F03">
              <w:rPr>
                <w:rFonts w:ascii="Times New Roman" w:eastAsia="Times New Roman" w:hAnsi="Times New Roman" w:cs="Times New Roman"/>
              </w:rPr>
              <w:t xml:space="preserve"> management of climate-related disasters. The RRP envisages four reforms and five investments in this area at all stages of management of climate-related disasters: prevention, preparedness, response and recovery. According to the itemisation list of inves</w:t>
            </w:r>
            <w:r w:rsidRPr="00A66F03">
              <w:rPr>
                <w:rFonts w:ascii="Times New Roman" w:eastAsia="Times New Roman" w:hAnsi="Times New Roman" w:cs="Times New Roman"/>
              </w:rPr>
              <w:t xml:space="preserve">tment financing sources under the RRP reform, it is envisaged that CF 2021–2027 resources will continue to upgrade preparedness for and response to climate-related disasters, with particular emphasis on the provision of infrastructure and other capacities </w:t>
            </w:r>
            <w:r w:rsidRPr="00A66F03">
              <w:rPr>
                <w:rFonts w:ascii="Times New Roman" w:eastAsia="Times New Roman" w:hAnsi="Times New Roman" w:cs="Times New Roman"/>
              </w:rPr>
              <w:t>and of training programmes to respond to ice storms and extreme weather events. With a view to strengthening the long-term resilience of Slovenian forests to climate change and ensuring sufficient quantities of wood to further build the forest-timber value</w:t>
            </w:r>
            <w:r w:rsidRPr="00A66F03">
              <w:rPr>
                <w:rFonts w:ascii="Times New Roman" w:eastAsia="Times New Roman" w:hAnsi="Times New Roman" w:cs="Times New Roman"/>
              </w:rPr>
              <w:t xml:space="preserve"> chain, RRP resources will support the creation of a seed, nursery and forest protection centre that will indirectly contribute to the preservation of biodiversity (from genetic diversity onwards as a basis for maintaining forests’ ability to adapt to clim</w:t>
            </w:r>
            <w:r w:rsidRPr="00A66F03">
              <w:rPr>
                <w:rFonts w:ascii="Times New Roman" w:eastAsia="Times New Roman" w:hAnsi="Times New Roman" w:cs="Times New Roman"/>
              </w:rPr>
              <w:t>ate change). Measures to protect forest ecosystems will be supported by ESI resources and the Common Agricultural Policy 2023–2027.</w:t>
            </w:r>
          </w:p>
          <w:p w14:paraId="1156F509" w14:textId="77777777" w:rsidR="00640DCD" w:rsidRPr="00A66F03" w:rsidRDefault="00640DCD" w:rsidP="00B72629">
            <w:pPr>
              <w:spacing w:after="0" w:line="276" w:lineRule="auto"/>
              <w:jc w:val="both"/>
              <w:rPr>
                <w:rFonts w:ascii="Times New Roman" w:eastAsia="Times New Roman" w:hAnsi="Times New Roman" w:cs="Times New Roman"/>
                <w:iCs/>
                <w:lang w:val="en-GB"/>
              </w:rPr>
            </w:pPr>
          </w:p>
          <w:p w14:paraId="500313F7" w14:textId="77777777" w:rsidR="00640DCD" w:rsidRPr="00A66F03" w:rsidRDefault="00976636" w:rsidP="00640DCD">
            <w:pPr>
              <w:spacing w:after="0" w:line="276" w:lineRule="auto"/>
              <w:jc w:val="both"/>
              <w:rPr>
                <w:rFonts w:ascii="Times New Roman" w:eastAsia="Times New Roman" w:hAnsi="Times New Roman" w:cs="Times New Roman"/>
                <w:iCs/>
                <w:lang w:val="en-GB"/>
              </w:rPr>
            </w:pPr>
            <w:r w:rsidRPr="00A66F03">
              <w:rPr>
                <w:rFonts w:ascii="Times New Roman" w:eastAsia="Times New Roman" w:hAnsi="Times New Roman" w:cs="Times New Roman"/>
                <w:lang w:val="en-GB"/>
              </w:rPr>
              <w:t>We will also secure the complementary nature of Horizon Europe funds by supporting the implementation of projects in three Slovenian cities (Ljubljana, Kranj and Velenje) selected under the ‘100 Climate-Neutral and Smart Cities by 2030’ mission. We will us</w:t>
            </w:r>
            <w:r w:rsidRPr="00A66F03">
              <w:rPr>
                <w:rFonts w:ascii="Times New Roman" w:eastAsia="Times New Roman" w:hAnsi="Times New Roman" w:cs="Times New Roman"/>
                <w:lang w:val="en-GB"/>
              </w:rPr>
              <w:t>e ECP funds and climate change adaptation measures, investments in infrastructure for the drainage and treatment of urban waste water, investments in drinking water supply infrastructure and investments in biodiversity preservation to address the Horizon E</w:t>
            </w:r>
            <w:r w:rsidRPr="00A66F03">
              <w:rPr>
                <w:rFonts w:ascii="Times New Roman" w:eastAsia="Times New Roman" w:hAnsi="Times New Roman" w:cs="Times New Roman"/>
                <w:lang w:val="en-GB"/>
              </w:rPr>
              <w:t>urope ‘Restore Our Ocean and Waters by 2030’ mission, particularly the ‘Restoration of marine and aquatic ecosystems’ and ‘Zero pollution’ objectives. Using EMFAF resources and through the Horizon Europe ‘Restore our Ocean and Waters by 2030’ mission, we w</w:t>
            </w:r>
            <w:r w:rsidRPr="00A66F03">
              <w:rPr>
                <w:rFonts w:ascii="Times New Roman" w:eastAsia="Times New Roman" w:hAnsi="Times New Roman" w:cs="Times New Roman"/>
                <w:lang w:val="en-GB"/>
              </w:rPr>
              <w:t>ill create synergies across the following objectives: Restoration of marine and aquatic ecosystems, Zero pollution, Decarbonising our oceans, seas and waters.</w:t>
            </w:r>
          </w:p>
          <w:p w14:paraId="2121BF54" w14:textId="77777777" w:rsidR="00640DCD" w:rsidRPr="00A66F03" w:rsidRDefault="00640DCD" w:rsidP="00B72629">
            <w:pPr>
              <w:spacing w:after="0" w:line="276" w:lineRule="auto"/>
              <w:jc w:val="both"/>
              <w:rPr>
                <w:rFonts w:ascii="Times New Roman" w:eastAsia="Times New Roman" w:hAnsi="Times New Roman" w:cs="Times New Roman"/>
                <w:iCs/>
                <w:lang w:val="en-GB"/>
              </w:rPr>
            </w:pPr>
          </w:p>
          <w:p w14:paraId="26B5AFC4" w14:textId="77777777" w:rsidR="0095651B" w:rsidRPr="00A66F03" w:rsidRDefault="00976636" w:rsidP="00B72629">
            <w:pPr>
              <w:spacing w:after="0" w:line="276" w:lineRule="auto"/>
              <w:jc w:val="both"/>
              <w:rPr>
                <w:rFonts w:ascii="Times New Roman" w:eastAsia="Times New Roman" w:hAnsi="Times New Roman" w:cs="Times New Roman"/>
                <w:b/>
                <w:lang w:val="en-GB"/>
              </w:rPr>
            </w:pPr>
            <w:r w:rsidRPr="00A66F03">
              <w:rPr>
                <w:rFonts w:ascii="Times New Roman" w:eastAsia="Times New Roman" w:hAnsi="Times New Roman" w:cs="Times New Roman"/>
                <w:b/>
                <w:bCs/>
                <w:lang w:val="en-GB"/>
              </w:rPr>
              <w:t>Policy Objective 3</w:t>
            </w:r>
          </w:p>
          <w:p w14:paraId="2324B92A" w14:textId="77777777" w:rsidR="004942FD" w:rsidRPr="00A66F03" w:rsidRDefault="004942FD" w:rsidP="00B72629">
            <w:pPr>
              <w:spacing w:after="0" w:line="276" w:lineRule="auto"/>
              <w:jc w:val="both"/>
              <w:rPr>
                <w:rFonts w:ascii="Times New Roman" w:eastAsia="Times New Roman" w:hAnsi="Times New Roman" w:cs="Times New Roman"/>
                <w:b/>
                <w:lang w:val="en-GB"/>
              </w:rPr>
            </w:pPr>
          </w:p>
          <w:p w14:paraId="52E03442" w14:textId="77777777" w:rsidR="005953D1" w:rsidRPr="00A66F03" w:rsidRDefault="00976636" w:rsidP="00B72629">
            <w:pPr>
              <w:spacing w:after="0" w:line="276" w:lineRule="auto"/>
              <w:jc w:val="both"/>
              <w:rPr>
                <w:rFonts w:ascii="Times New Roman" w:hAnsi="Times New Roman" w:cs="Times New Roman"/>
                <w:color w:val="111111"/>
                <w:lang w:val="en-GB"/>
              </w:rPr>
            </w:pPr>
            <w:r w:rsidRPr="00A66F03">
              <w:rPr>
                <w:rFonts w:ascii="Times New Roman" w:hAnsi="Times New Roman" w:cs="Times New Roman"/>
                <w:lang w:val="en-GB"/>
              </w:rPr>
              <w:t xml:space="preserve">Under PO3, ERDF and CF resources will be complemented by the </w:t>
            </w:r>
            <w:r w:rsidRPr="00A66F03">
              <w:rPr>
                <w:rFonts w:ascii="Times New Roman" w:hAnsi="Times New Roman" w:cs="Times New Roman"/>
                <w:b/>
                <w:bCs/>
                <w:lang w:val="en-GB"/>
              </w:rPr>
              <w:t>Connecting Euro</w:t>
            </w:r>
            <w:r w:rsidRPr="00A66F03">
              <w:rPr>
                <w:rFonts w:ascii="Times New Roman" w:hAnsi="Times New Roman" w:cs="Times New Roman"/>
                <w:b/>
                <w:bCs/>
                <w:lang w:val="en-GB"/>
              </w:rPr>
              <w:t xml:space="preserve">pe Facility </w:t>
            </w:r>
            <w:r w:rsidRPr="00A66F03">
              <w:rPr>
                <w:rFonts w:ascii="Times New Roman" w:hAnsi="Times New Roman" w:cs="Times New Roman"/>
                <w:lang w:val="en-GB"/>
              </w:rPr>
              <w:t>(CEF), a funding programme that supports the development of transport, energy and digital infrastructure within the trans-European networks. The main orientations under CEF will be the developing infrastructure networks, helping to address mark</w:t>
            </w:r>
            <w:r w:rsidRPr="00A66F03">
              <w:rPr>
                <w:rFonts w:ascii="Times New Roman" w:hAnsi="Times New Roman" w:cs="Times New Roman"/>
                <w:lang w:val="en-GB"/>
              </w:rPr>
              <w:t>et failures, and stimulating further public and private sector investment. Grants from the Cohesion Fund and the Connecting Europe Facility for the transport sector focus on the development of the Trans-European Transport Network (TEN-T) (both the core and</w:t>
            </w:r>
            <w:r w:rsidRPr="00A66F03">
              <w:rPr>
                <w:rFonts w:ascii="Times New Roman" w:hAnsi="Times New Roman" w:cs="Times New Roman"/>
                <w:lang w:val="en-GB"/>
              </w:rPr>
              <w:t xml:space="preserve"> comprehensive networks). Appropriate projects on the Slovenian TEN-T network eligible for one of these European funds will be identified for this purpose in the 2021–2027 period as well. Since the Connecting Europe Facility will support infrastructure dev</w:t>
            </w:r>
            <w:r w:rsidRPr="00A66F03">
              <w:rPr>
                <w:rFonts w:ascii="Times New Roman" w:hAnsi="Times New Roman" w:cs="Times New Roman"/>
                <w:lang w:val="en-GB"/>
              </w:rPr>
              <w:t xml:space="preserve">elopment and the development of horizontal measures, e.g. alternative fuels, the digitalisation of traffic management, telematics applications, etc., the Ministry of Transport will continue </w:t>
            </w:r>
            <w:r w:rsidRPr="00A66F03">
              <w:rPr>
                <w:rFonts w:ascii="Times New Roman" w:hAnsi="Times New Roman" w:cs="Times New Roman"/>
                <w:color w:val="111111"/>
                <w:lang w:val="en-GB"/>
              </w:rPr>
              <w:t>to inform potential Slovenian beneficiaries about the European Com</w:t>
            </w:r>
            <w:r w:rsidRPr="00A66F03">
              <w:rPr>
                <w:rFonts w:ascii="Times New Roman" w:hAnsi="Times New Roman" w:cs="Times New Roman"/>
                <w:color w:val="111111"/>
                <w:lang w:val="en-GB"/>
              </w:rPr>
              <w:t>mission’s calls for proposals under the CEF programme.</w:t>
            </w:r>
          </w:p>
          <w:p w14:paraId="7E41A40F" w14:textId="77777777" w:rsidR="00FA37B2" w:rsidRPr="00A66F03" w:rsidRDefault="00FA37B2" w:rsidP="00B72629">
            <w:pPr>
              <w:spacing w:after="0" w:line="276" w:lineRule="auto"/>
              <w:jc w:val="both"/>
              <w:rPr>
                <w:rFonts w:ascii="Times New Roman" w:eastAsia="Times New Roman" w:hAnsi="Times New Roman" w:cs="Times New Roman"/>
                <w:iCs/>
                <w:lang w:val="en-GB"/>
              </w:rPr>
            </w:pPr>
          </w:p>
          <w:p w14:paraId="373FDCB8" w14:textId="77777777" w:rsidR="005953D1" w:rsidRPr="00A66F03" w:rsidRDefault="00976636" w:rsidP="00B72629">
            <w:pPr>
              <w:spacing w:after="0" w:line="276" w:lineRule="auto"/>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t xml:space="preserve">The actions will also be complemented by the actions planned in the </w:t>
            </w:r>
            <w:r w:rsidRPr="00A66F03">
              <w:rPr>
                <w:rFonts w:ascii="Times New Roman" w:eastAsia="Times New Roman" w:hAnsi="Times New Roman" w:cs="Times New Roman"/>
                <w:b/>
                <w:bCs/>
                <w:lang w:val="en-GB"/>
              </w:rPr>
              <w:t>RRP</w:t>
            </w:r>
            <w:r w:rsidRPr="00A66F03">
              <w:rPr>
                <w:rFonts w:ascii="Times New Roman" w:eastAsia="Times New Roman" w:hAnsi="Times New Roman" w:cs="Times New Roman"/>
                <w:lang w:val="en-GB"/>
              </w:rPr>
              <w:t>:</w:t>
            </w:r>
          </w:p>
          <w:p w14:paraId="28034FB1" w14:textId="77777777" w:rsidR="00CC7455" w:rsidRPr="00A66F03" w:rsidRDefault="00976636" w:rsidP="00B72629">
            <w:pPr>
              <w:pStyle w:val="Odstavekseznama"/>
              <w:numPr>
                <w:ilvl w:val="0"/>
                <w:numId w:val="14"/>
              </w:numPr>
              <w:spacing w:after="0" w:line="276" w:lineRule="auto"/>
              <w:jc w:val="both"/>
              <w:rPr>
                <w:rFonts w:ascii="Times New Roman" w:eastAsia="Times New Roman" w:hAnsi="Times New Roman" w:cs="Times New Roman"/>
              </w:rPr>
            </w:pPr>
            <w:r w:rsidRPr="00A66F03">
              <w:rPr>
                <w:rFonts w:ascii="Times New Roman" w:eastAsia="Times New Roman" w:hAnsi="Times New Roman" w:cs="Times New Roman"/>
              </w:rPr>
              <w:lastRenderedPageBreak/>
              <w:t>Promoting the establishment of alternative fuels infrastructure in transport (electric charging network).</w:t>
            </w:r>
          </w:p>
          <w:p w14:paraId="221512C4" w14:textId="77777777" w:rsidR="00CC7455" w:rsidRPr="00A66F03" w:rsidRDefault="00976636" w:rsidP="00B72629">
            <w:pPr>
              <w:pStyle w:val="Odstavekseznama"/>
              <w:numPr>
                <w:ilvl w:val="0"/>
                <w:numId w:val="14"/>
              </w:numPr>
              <w:spacing w:after="0" w:line="276" w:lineRule="auto"/>
              <w:jc w:val="both"/>
              <w:rPr>
                <w:rFonts w:ascii="Times New Roman" w:eastAsia="Times New Roman" w:hAnsi="Times New Roman" w:cs="Times New Roman"/>
              </w:rPr>
            </w:pPr>
            <w:r w:rsidRPr="00A66F03">
              <w:rPr>
                <w:rFonts w:ascii="Times New Roman" w:eastAsia="Times New Roman" w:hAnsi="Times New Roman" w:cs="Times New Roman"/>
              </w:rPr>
              <w:t>Increasing railway infrastructure capacity: upgrading of Domžale, Grosuplje and Ljubljana railway stations and of the main no 20 railway line running from Ljubljana to Jesenice and on to the state border, the equipping of locomotives and motor sets with ET</w:t>
            </w:r>
            <w:r w:rsidRPr="00A66F03">
              <w:rPr>
                <w:rFonts w:ascii="Times New Roman" w:eastAsia="Times New Roman" w:hAnsi="Times New Roman" w:cs="Times New Roman"/>
              </w:rPr>
              <w:t>SC devices, and the comprehensive refurbishment of the Ljubljana–Brezovica–Borovnica railway line.</w:t>
            </w:r>
          </w:p>
          <w:p w14:paraId="1D7DBE66" w14:textId="77777777" w:rsidR="00CC7455" w:rsidRPr="00A66F03" w:rsidRDefault="00976636" w:rsidP="00B72629">
            <w:pPr>
              <w:pStyle w:val="Odstavekseznama"/>
              <w:numPr>
                <w:ilvl w:val="0"/>
                <w:numId w:val="14"/>
              </w:numPr>
              <w:spacing w:after="0" w:line="276" w:lineRule="auto"/>
              <w:jc w:val="both"/>
              <w:rPr>
                <w:rFonts w:ascii="Times New Roman" w:eastAsia="Times New Roman" w:hAnsi="Times New Roman" w:cs="Times New Roman"/>
              </w:rPr>
            </w:pPr>
            <w:r w:rsidRPr="00A66F03">
              <w:rPr>
                <w:rFonts w:ascii="Times New Roman" w:eastAsia="Times New Roman" w:hAnsi="Times New Roman" w:cs="Times New Roman"/>
              </w:rPr>
              <w:t>Digitalisation of rail and road infrastructure (equipping of locomotives and motor sets with ETSC devices + DARS and MZI for roads).</w:t>
            </w:r>
          </w:p>
          <w:p w14:paraId="7BFE16AF" w14:textId="77777777" w:rsidR="008C1953" w:rsidRPr="00A66F03" w:rsidRDefault="008C1953" w:rsidP="00B72629">
            <w:pPr>
              <w:spacing w:after="0" w:line="276" w:lineRule="auto"/>
              <w:jc w:val="both"/>
              <w:rPr>
                <w:rFonts w:ascii="Times New Roman" w:eastAsia="Times New Roman" w:hAnsi="Times New Roman" w:cs="Times New Roman"/>
                <w:lang w:val="en-GB"/>
              </w:rPr>
            </w:pPr>
          </w:p>
          <w:p w14:paraId="5DB92A4A" w14:textId="77777777" w:rsidR="0095651B" w:rsidRPr="00A66F03" w:rsidRDefault="00976636" w:rsidP="00B72629">
            <w:pPr>
              <w:spacing w:after="0" w:line="276" w:lineRule="auto"/>
              <w:jc w:val="both"/>
              <w:rPr>
                <w:rFonts w:ascii="Times New Roman" w:eastAsia="Times New Roman" w:hAnsi="Times New Roman" w:cs="Times New Roman"/>
                <w:b/>
                <w:lang w:val="en-GB"/>
              </w:rPr>
            </w:pPr>
            <w:r w:rsidRPr="00A66F03">
              <w:rPr>
                <w:rFonts w:ascii="Times New Roman" w:eastAsia="Times New Roman" w:hAnsi="Times New Roman" w:cs="Times New Roman"/>
                <w:b/>
                <w:bCs/>
                <w:lang w:val="en-GB"/>
              </w:rPr>
              <w:t>Policy Objective 4</w:t>
            </w:r>
          </w:p>
          <w:p w14:paraId="23983652" w14:textId="77777777" w:rsidR="004942FD" w:rsidRPr="00A66F03" w:rsidRDefault="004942FD" w:rsidP="00B72629">
            <w:pPr>
              <w:spacing w:after="0" w:line="276" w:lineRule="auto"/>
              <w:jc w:val="both"/>
              <w:rPr>
                <w:rFonts w:ascii="Times New Roman" w:eastAsia="Times New Roman" w:hAnsi="Times New Roman" w:cs="Times New Roman"/>
                <w:b/>
                <w:lang w:val="en-GB"/>
              </w:rPr>
            </w:pPr>
          </w:p>
          <w:p w14:paraId="2168AEAC" w14:textId="77777777" w:rsidR="00B554F8" w:rsidRPr="00A66F03" w:rsidRDefault="00976636" w:rsidP="00B72629">
            <w:pPr>
              <w:spacing w:after="0" w:line="276" w:lineRule="auto"/>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t>Und</w:t>
            </w:r>
            <w:r w:rsidRPr="00A66F03">
              <w:rPr>
                <w:rFonts w:ascii="Times New Roman" w:eastAsia="Times New Roman" w:hAnsi="Times New Roman" w:cs="Times New Roman"/>
                <w:lang w:val="en-GB"/>
              </w:rPr>
              <w:t xml:space="preserve">er PO4, ESF+ and ERDF resources will be complemented by </w:t>
            </w:r>
            <w:r w:rsidRPr="00A66F03">
              <w:rPr>
                <w:rFonts w:ascii="Times New Roman" w:eastAsia="Times New Roman" w:hAnsi="Times New Roman" w:cs="Times New Roman"/>
                <w:b/>
                <w:bCs/>
                <w:lang w:val="en-GB"/>
              </w:rPr>
              <w:t>Erasmus+</w:t>
            </w:r>
            <w:r w:rsidRPr="00A66F03">
              <w:rPr>
                <w:rFonts w:ascii="Times New Roman" w:eastAsia="Times New Roman" w:hAnsi="Times New Roman" w:cs="Times New Roman"/>
                <w:lang w:val="en-GB"/>
              </w:rPr>
              <w:t>,</w:t>
            </w:r>
            <w:r w:rsidRPr="00A66F03">
              <w:rPr>
                <w:rFonts w:ascii="Times New Roman" w:eastAsia="Times New Roman" w:hAnsi="Times New Roman" w:cs="Times New Roman"/>
                <w:b/>
                <w:bCs/>
                <w:lang w:val="en-GB"/>
              </w:rPr>
              <w:t xml:space="preserve"> </w:t>
            </w:r>
            <w:r w:rsidRPr="00A66F03">
              <w:rPr>
                <w:rFonts w:ascii="Times New Roman" w:eastAsia="Times New Roman" w:hAnsi="Times New Roman" w:cs="Times New Roman"/>
                <w:lang w:val="en-GB"/>
              </w:rPr>
              <w:t>which will support actions to increase mobility and increase the relevance, attractiveness and inclusiveness of the programme.</w:t>
            </w:r>
          </w:p>
          <w:p w14:paraId="4801CFE1" w14:textId="77777777" w:rsidR="00EF3435" w:rsidRPr="00A66F03" w:rsidRDefault="00EF3435" w:rsidP="00B72629">
            <w:pPr>
              <w:spacing w:after="0" w:line="276" w:lineRule="auto"/>
              <w:jc w:val="both"/>
              <w:rPr>
                <w:rFonts w:ascii="Times New Roman" w:eastAsia="Times New Roman" w:hAnsi="Times New Roman" w:cs="Times New Roman"/>
                <w:lang w:val="en-GB"/>
              </w:rPr>
            </w:pPr>
          </w:p>
          <w:p w14:paraId="0890CAF3" w14:textId="77777777" w:rsidR="00B554F8" w:rsidRPr="00A66F03" w:rsidRDefault="00976636" w:rsidP="00B72629">
            <w:pPr>
              <w:spacing w:after="0" w:line="276" w:lineRule="auto"/>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t>In the 2021–2027 period, and in order to increase synergies an</w:t>
            </w:r>
            <w:r w:rsidRPr="00A66F03">
              <w:rPr>
                <w:rFonts w:ascii="Times New Roman" w:eastAsia="Times New Roman" w:hAnsi="Times New Roman" w:cs="Times New Roman"/>
                <w:lang w:val="en-GB"/>
              </w:rPr>
              <w:t xml:space="preserve">d avoid overlaps between funding instruments, the </w:t>
            </w:r>
            <w:r w:rsidRPr="00A66F03">
              <w:rPr>
                <w:rFonts w:ascii="Times New Roman" w:eastAsia="Times New Roman" w:hAnsi="Times New Roman" w:cs="Times New Roman"/>
                <w:b/>
                <w:bCs/>
                <w:lang w:val="en-GB"/>
              </w:rPr>
              <w:t xml:space="preserve">EaSI </w:t>
            </w:r>
            <w:r w:rsidRPr="00A66F03">
              <w:rPr>
                <w:rFonts w:ascii="Times New Roman" w:eastAsia="Times New Roman" w:hAnsi="Times New Roman" w:cs="Times New Roman"/>
                <w:lang w:val="en-GB"/>
              </w:rPr>
              <w:t>programme will be merged into the ESF+ to form a second strand of instruments implemented under direct and indirect management, covering actions to promote employment and social innovation (EaSI) and b</w:t>
            </w:r>
            <w:r w:rsidRPr="00A66F03">
              <w:rPr>
                <w:rFonts w:ascii="Times New Roman" w:eastAsia="Times New Roman" w:hAnsi="Times New Roman" w:cs="Times New Roman"/>
                <w:lang w:val="en-GB"/>
              </w:rPr>
              <w:t>ased on Article 175(3) TFEU. The EaSI strand will focus on projects with an innovative dimension in which there is clear value added for the EU, meaning that EU action is more effective than action taken at national, regional or local level to achieve crit</w:t>
            </w:r>
            <w:r w:rsidRPr="00A66F03">
              <w:rPr>
                <w:rFonts w:ascii="Times New Roman" w:eastAsia="Times New Roman" w:hAnsi="Times New Roman" w:cs="Times New Roman"/>
                <w:lang w:val="en-GB"/>
              </w:rPr>
              <w:t>ical mass and reduce the administrative burden.</w:t>
            </w:r>
          </w:p>
          <w:p w14:paraId="35C68872" w14:textId="77777777" w:rsidR="004942FD" w:rsidRPr="00A66F03" w:rsidRDefault="004942FD" w:rsidP="00B72629">
            <w:pPr>
              <w:spacing w:after="0" w:line="276" w:lineRule="auto"/>
              <w:jc w:val="both"/>
              <w:rPr>
                <w:rFonts w:ascii="Times New Roman" w:eastAsia="Times New Roman" w:hAnsi="Times New Roman" w:cs="Times New Roman"/>
                <w:lang w:val="en-GB"/>
              </w:rPr>
            </w:pPr>
          </w:p>
          <w:p w14:paraId="1C6D51C9" w14:textId="77777777" w:rsidR="00BE3B6D" w:rsidRPr="00A66F03" w:rsidRDefault="00976636" w:rsidP="00B72629">
            <w:pPr>
              <w:spacing w:after="0" w:line="276" w:lineRule="auto"/>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t>The following complementarities and synergies have been identified: (1) between the AMIF, the ISF and the BMVI in the area of the external dimension of the EU’s migration and security policy through external</w:t>
            </w:r>
            <w:r w:rsidRPr="00A66F03">
              <w:rPr>
                <w:rFonts w:ascii="Times New Roman" w:eastAsia="Times New Roman" w:hAnsi="Times New Roman" w:cs="Times New Roman"/>
                <w:lang w:val="en-GB"/>
              </w:rPr>
              <w:t xml:space="preserve"> instruments such as the Neighbourhood, Development and International Cooperation Instrument (NDICI) and the Instrument for Pre-Accession Assistance (IPA); (2) between the AMIF and Erasmus+; (3) between the ISF and the Digital Europe programme; (4) between</w:t>
            </w:r>
            <w:r w:rsidRPr="00A66F03">
              <w:rPr>
                <w:rFonts w:ascii="Times New Roman" w:eastAsia="Times New Roman" w:hAnsi="Times New Roman" w:cs="Times New Roman"/>
                <w:lang w:val="en-GB"/>
              </w:rPr>
              <w:t xml:space="preserve"> the ISF and Horizon Europe, OLAF HERCULE IV, PERICLES IV, EEA and Norway grants, the RRP, the Citizens, Equality, Rights and Values programme (CERV) and the Justice Programme (JUST); and (5) between the BMVI and the Customs Equipment Control Instrument (C</w:t>
            </w:r>
            <w:r w:rsidRPr="00A66F03">
              <w:rPr>
                <w:rFonts w:ascii="Times New Roman" w:eastAsia="Times New Roman" w:hAnsi="Times New Roman" w:cs="Times New Roman"/>
                <w:lang w:val="en-GB"/>
              </w:rPr>
              <w:t>CEI).</w:t>
            </w:r>
          </w:p>
          <w:p w14:paraId="28E753BA" w14:textId="77777777" w:rsidR="00982841" w:rsidRPr="00A66F03" w:rsidRDefault="00976636" w:rsidP="00B72629">
            <w:pPr>
              <w:spacing w:after="0" w:line="276" w:lineRule="auto"/>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t>The mechanisms to ensure complementarity and synergies will mainly take place through the exchange of information at inter-departmental working groups, committees, monitoring committees and other meetings.</w:t>
            </w:r>
          </w:p>
          <w:p w14:paraId="4D83D9E4" w14:textId="77777777" w:rsidR="005C4F35" w:rsidRPr="00A66F03" w:rsidRDefault="005C4F35" w:rsidP="00B72629">
            <w:pPr>
              <w:spacing w:after="0" w:line="276" w:lineRule="auto"/>
              <w:jc w:val="both"/>
              <w:rPr>
                <w:rFonts w:ascii="Times New Roman" w:eastAsia="Times New Roman" w:hAnsi="Times New Roman" w:cs="Times New Roman"/>
                <w:lang w:val="en-GB"/>
              </w:rPr>
            </w:pPr>
          </w:p>
          <w:p w14:paraId="564AD911" w14:textId="77777777" w:rsidR="00BD27E2" w:rsidRPr="00A66F03" w:rsidRDefault="00976636" w:rsidP="00BD27E2">
            <w:pPr>
              <w:spacing w:after="0" w:line="276" w:lineRule="auto"/>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t xml:space="preserve">Actions in the field of education and the labour market will be complemented by actions planned in the </w:t>
            </w:r>
            <w:r w:rsidRPr="00A66F03">
              <w:rPr>
                <w:rFonts w:ascii="Times New Roman" w:eastAsia="Times New Roman" w:hAnsi="Times New Roman" w:cs="Times New Roman"/>
                <w:b/>
                <w:bCs/>
                <w:lang w:val="en-GB"/>
              </w:rPr>
              <w:t>RRP</w:t>
            </w:r>
            <w:r w:rsidRPr="00A66F03">
              <w:rPr>
                <w:rFonts w:ascii="Times New Roman" w:eastAsia="Times New Roman" w:hAnsi="Times New Roman" w:cs="Times New Roman"/>
                <w:lang w:val="en-GB"/>
              </w:rPr>
              <w:t>:</w:t>
            </w:r>
          </w:p>
          <w:p w14:paraId="107647D5" w14:textId="77777777" w:rsidR="00AC459D" w:rsidRPr="00A66F03" w:rsidRDefault="00976636" w:rsidP="00B72629">
            <w:pPr>
              <w:pStyle w:val="Odstavekseznama"/>
              <w:numPr>
                <w:ilvl w:val="0"/>
                <w:numId w:val="14"/>
              </w:numPr>
              <w:spacing w:after="0" w:line="276" w:lineRule="auto"/>
              <w:jc w:val="both"/>
              <w:rPr>
                <w:rFonts w:ascii="Times New Roman" w:eastAsia="Times New Roman" w:hAnsi="Times New Roman" w:cs="Times New Roman"/>
              </w:rPr>
            </w:pPr>
            <w:r w:rsidRPr="00A66F03">
              <w:rPr>
                <w:rFonts w:ascii="Times New Roman" w:eastAsia="Times New Roman" w:hAnsi="Times New Roman" w:cs="Times New Roman"/>
              </w:rPr>
              <w:t>the overhauling of curricula and syllabuses, with a focus on green and digital transitions. ESI funds will be deployed to support the above-mentione</w:t>
            </w:r>
            <w:r w:rsidRPr="00A66F03">
              <w:rPr>
                <w:rFonts w:ascii="Times New Roman" w:eastAsia="Times New Roman" w:hAnsi="Times New Roman" w:cs="Times New Roman"/>
              </w:rPr>
              <w:t>d RRP actions in terms of the way they implement development projects, thereby enabling educational institutions to introduce revised curricular documents and providing support for the further development of teaching methods and other elements of the educa</w:t>
            </w:r>
            <w:r w:rsidRPr="00A66F03">
              <w:rPr>
                <w:rFonts w:ascii="Times New Roman" w:eastAsia="Times New Roman" w:hAnsi="Times New Roman" w:cs="Times New Roman"/>
              </w:rPr>
              <w:t>tion process.</w:t>
            </w:r>
          </w:p>
          <w:p w14:paraId="24AE6403" w14:textId="77777777" w:rsidR="00434CEC" w:rsidRPr="00A66F03" w:rsidRDefault="00976636" w:rsidP="00B72629">
            <w:pPr>
              <w:pStyle w:val="Odstavekseznama"/>
              <w:numPr>
                <w:ilvl w:val="0"/>
                <w:numId w:val="14"/>
              </w:numPr>
              <w:spacing w:after="0" w:line="276" w:lineRule="auto"/>
              <w:jc w:val="both"/>
              <w:rPr>
                <w:rFonts w:ascii="Times New Roman" w:eastAsia="Times New Roman" w:hAnsi="Times New Roman" w:cs="Times New Roman"/>
              </w:rPr>
            </w:pPr>
            <w:r w:rsidRPr="00A66F03">
              <w:rPr>
                <w:rFonts w:ascii="Times New Roman" w:eastAsia="Times New Roman" w:hAnsi="Times New Roman" w:cs="Times New Roman"/>
              </w:rPr>
              <w:t>The implementation of pilot projects to support the overhaul of education programmes. RRP measures in the field of higher education envisage the modernisation of the curricula of professional higher education study programmes through the inco</w:t>
            </w:r>
            <w:r w:rsidRPr="00A66F03">
              <w:rPr>
                <w:rFonts w:ascii="Times New Roman" w:eastAsia="Times New Roman" w:hAnsi="Times New Roman" w:cs="Times New Roman"/>
              </w:rPr>
              <w:t>rporation of content on digital and green transition; meanwhile, under ECP 2021–2027, we will focus mainly on providing a comprehensive support environment for students to help them complete their studies on time, connect with the (business and non-busines</w:t>
            </w:r>
            <w:r w:rsidRPr="00A66F03">
              <w:rPr>
                <w:rFonts w:ascii="Times New Roman" w:eastAsia="Times New Roman" w:hAnsi="Times New Roman" w:cs="Times New Roman"/>
              </w:rPr>
              <w:t xml:space="preserve">s) environment around them through the provision </w:t>
            </w:r>
            <w:r w:rsidRPr="00A66F03">
              <w:rPr>
                <w:rFonts w:ascii="Times New Roman" w:eastAsia="Times New Roman" w:hAnsi="Times New Roman" w:cs="Times New Roman"/>
              </w:rPr>
              <w:lastRenderedPageBreak/>
              <w:t>of practical training and various other forms of networking, and improve the competencies of higher education teachers, particularly through the use of ICT.</w:t>
            </w:r>
          </w:p>
          <w:p w14:paraId="513F9251" w14:textId="77777777" w:rsidR="00BD27E2" w:rsidRPr="00A66F03" w:rsidRDefault="00976636" w:rsidP="00BD27E2">
            <w:pPr>
              <w:pStyle w:val="Odstavekseznama"/>
              <w:numPr>
                <w:ilvl w:val="0"/>
                <w:numId w:val="14"/>
              </w:numPr>
              <w:jc w:val="both"/>
              <w:rPr>
                <w:rFonts w:ascii="Times New Roman" w:eastAsia="Times New Roman" w:hAnsi="Times New Roman" w:cs="Times New Roman"/>
              </w:rPr>
            </w:pPr>
            <w:r w:rsidRPr="00A66F03">
              <w:rPr>
                <w:rFonts w:ascii="Times New Roman" w:eastAsia="Times New Roman" w:hAnsi="Times New Roman" w:cs="Times New Roman"/>
              </w:rPr>
              <w:t>Measures to reduce mismatches between school stude</w:t>
            </w:r>
            <w:r w:rsidRPr="00A66F03">
              <w:rPr>
                <w:rFonts w:ascii="Times New Roman" w:eastAsia="Times New Roman" w:hAnsi="Times New Roman" w:cs="Times New Roman"/>
              </w:rPr>
              <w:t>nts’ competencies and the needs of the labour market. As part of the RRP, we will overhaul 41 VET and post-secondary education programmes. We will pilot the establishment of digitally supported pathways for the full transmission of information in the plann</w:t>
            </w:r>
            <w:r w:rsidRPr="00A66F03">
              <w:rPr>
                <w:rFonts w:ascii="Times New Roman" w:eastAsia="Times New Roman" w:hAnsi="Times New Roman" w:cs="Times New Roman"/>
              </w:rPr>
              <w:t>ing, implementation and evaluation of practical training through work involving employers, schools and students in the fields of early childhood education, health care and social care. The ECP 2021–2027 measure will ensure that the VET system is better ali</w:t>
            </w:r>
            <w:r w:rsidRPr="00A66F03">
              <w:rPr>
                <w:rFonts w:ascii="Times New Roman" w:eastAsia="Times New Roman" w:hAnsi="Times New Roman" w:cs="Times New Roman"/>
              </w:rPr>
              <w:t xml:space="preserve">gned and linked to labour market needs through incentives for employers to provide places for apprentices, pupils and students in higher vocational schools. </w:t>
            </w:r>
          </w:p>
          <w:p w14:paraId="0EDD155B" w14:textId="77777777" w:rsidR="00BD27E2" w:rsidRPr="00A66F03" w:rsidRDefault="00976636" w:rsidP="00BD27E2">
            <w:pPr>
              <w:pStyle w:val="Odstavekseznama"/>
              <w:numPr>
                <w:ilvl w:val="0"/>
                <w:numId w:val="14"/>
              </w:numPr>
              <w:spacing w:after="0" w:line="276" w:lineRule="auto"/>
              <w:jc w:val="both"/>
              <w:rPr>
                <w:rFonts w:eastAsiaTheme="minorEastAsia"/>
              </w:rPr>
            </w:pPr>
            <w:r w:rsidRPr="00A66F03">
              <w:rPr>
                <w:rFonts w:ascii="Times New Roman" w:eastAsia="Times New Roman" w:hAnsi="Times New Roman" w:cs="Times New Roman"/>
              </w:rPr>
              <w:t>Using ECP</w:t>
            </w:r>
            <w:r w:rsidRPr="00A66F03">
              <w:rPr>
                <w:rFonts w:ascii="Times New Roman" w:eastAsia="Times New Roman" w:hAnsi="Times New Roman" w:cs="Times New Roman"/>
              </w:rPr>
              <w:t xml:space="preserve"> 2021–2027 funds, we will continue to overhaul secondary and post-secondary education and higher education programmes that will not be addressed by the RRP, and support the implementation of the programmes that have been overhauled under the RRP and ECP 20</w:t>
            </w:r>
            <w:r w:rsidRPr="00A66F03">
              <w:rPr>
                <w:rFonts w:ascii="Times New Roman" w:eastAsia="Times New Roman" w:hAnsi="Times New Roman" w:cs="Times New Roman"/>
              </w:rPr>
              <w:t xml:space="preserve">21–2027. </w:t>
            </w:r>
          </w:p>
          <w:p w14:paraId="5288F510" w14:textId="77777777" w:rsidR="00BD27E2" w:rsidRPr="00A66F03" w:rsidRDefault="00976636" w:rsidP="00BD27E2">
            <w:pPr>
              <w:pStyle w:val="Odstavekseznama"/>
              <w:numPr>
                <w:ilvl w:val="0"/>
                <w:numId w:val="14"/>
              </w:numPr>
              <w:spacing w:after="0" w:line="276" w:lineRule="auto"/>
              <w:jc w:val="both"/>
              <w:rPr>
                <w:rFonts w:ascii="Times New Roman" w:eastAsia="Times New Roman" w:hAnsi="Times New Roman" w:cs="Times New Roman"/>
              </w:rPr>
            </w:pPr>
            <w:r w:rsidRPr="00A66F03">
              <w:rPr>
                <w:rFonts w:ascii="Times New Roman" w:eastAsia="Times New Roman" w:hAnsi="Times New Roman" w:cs="Times New Roman"/>
              </w:rPr>
              <w:t>In terms of digital and sustainable development competencies, the RRP will be used to develop a functioning supportive ecosystem for high-quality sustainable and digital education and upgrade or overhaul curricula by incorporating digital compete</w:t>
            </w:r>
            <w:r w:rsidRPr="00A66F03">
              <w:rPr>
                <w:rFonts w:ascii="Times New Roman" w:eastAsia="Times New Roman" w:hAnsi="Times New Roman" w:cs="Times New Roman"/>
              </w:rPr>
              <w:t>ncies, core computing and IT content, sustainable development competencies and financial literacy.  Under SC 6.5 of ECP 2021–2027, we will focus on providing comprehensive system-level support (technical, teaching) to educational establishment stakeholders</w:t>
            </w:r>
            <w:r w:rsidRPr="00A66F03">
              <w:rPr>
                <w:rFonts w:ascii="Times New Roman" w:eastAsia="Times New Roman" w:hAnsi="Times New Roman" w:cs="Times New Roman"/>
              </w:rPr>
              <w:t xml:space="preserve"> with the aim of developing the effective use of digital technologies at educational establishments and those key competencies that do not fall under the RRP, and strengthening the competencies of talented pupils and students. </w:t>
            </w:r>
          </w:p>
          <w:p w14:paraId="6B2E38B5" w14:textId="77777777" w:rsidR="00BD27E2" w:rsidRPr="00A66F03" w:rsidRDefault="00976636" w:rsidP="00BD27E2">
            <w:pPr>
              <w:pStyle w:val="Odstavekseznama"/>
              <w:numPr>
                <w:ilvl w:val="0"/>
                <w:numId w:val="14"/>
              </w:numPr>
              <w:spacing w:after="0" w:line="276" w:lineRule="auto"/>
              <w:jc w:val="both"/>
              <w:rPr>
                <w:rFonts w:ascii="Times New Roman" w:eastAsia="Times New Roman" w:hAnsi="Times New Roman" w:cs="Times New Roman"/>
              </w:rPr>
            </w:pPr>
            <w:r w:rsidRPr="00A66F03">
              <w:rPr>
                <w:rFonts w:ascii="Times New Roman" w:eastAsia="Times New Roman" w:hAnsi="Times New Roman" w:cs="Times New Roman"/>
              </w:rPr>
              <w:t>In the RRP, lifelong learnin</w:t>
            </w:r>
            <w:r w:rsidRPr="00A66F03">
              <w:rPr>
                <w:rFonts w:ascii="Times New Roman" w:eastAsia="Times New Roman" w:hAnsi="Times New Roman" w:cs="Times New Roman"/>
              </w:rPr>
              <w:t>g activities are focused narrowly on programme development and adult education in the field of financial literacy; all other activities in the field of adult education are planned under ECP 2021–2027.</w:t>
            </w:r>
          </w:p>
          <w:p w14:paraId="6742660C" w14:textId="77777777" w:rsidR="00BD27E2" w:rsidRPr="00A66F03" w:rsidRDefault="00976636" w:rsidP="00BD27E2">
            <w:pPr>
              <w:pStyle w:val="Odstavekseznama"/>
              <w:numPr>
                <w:ilvl w:val="0"/>
                <w:numId w:val="14"/>
              </w:numPr>
              <w:spacing w:after="0" w:line="276" w:lineRule="auto"/>
              <w:jc w:val="both"/>
              <w:rPr>
                <w:rFonts w:ascii="Times New Roman" w:eastAsia="Times New Roman" w:hAnsi="Times New Roman" w:cs="Times New Roman"/>
              </w:rPr>
            </w:pPr>
            <w:r w:rsidRPr="00A66F03">
              <w:rPr>
                <w:rFonts w:ascii="Times New Roman" w:eastAsia="Times New Roman" w:hAnsi="Times New Roman" w:cs="Times New Roman"/>
              </w:rPr>
              <w:t>The RRP envisages the professional training of educatio</w:t>
            </w:r>
            <w:r w:rsidRPr="00A66F03">
              <w:rPr>
                <w:rFonts w:ascii="Times New Roman" w:eastAsia="Times New Roman" w:hAnsi="Times New Roman" w:cs="Times New Roman"/>
              </w:rPr>
              <w:t>n professionals with a focus on digital competencies and, to a lesser extent, on sustainable development competencies and financial literacy. We will use ECP 2021–2027 resources in a complementary way to focus on aiding the career development of management</w:t>
            </w:r>
            <w:r w:rsidRPr="00A66F03">
              <w:rPr>
                <w:rFonts w:ascii="Times New Roman" w:eastAsia="Times New Roman" w:hAnsi="Times New Roman" w:cs="Times New Roman"/>
              </w:rPr>
              <w:t xml:space="preserve"> and staff in education, and helping to shape the ability of staff to deliver high-quality education, work effectively in the lifelong learning community and all meet all other challenges arising from the needs of the education process. In a complementary </w:t>
            </w:r>
            <w:r w:rsidRPr="00A66F03">
              <w:rPr>
                <w:rFonts w:ascii="Times New Roman" w:eastAsia="Times New Roman" w:hAnsi="Times New Roman" w:cs="Times New Roman"/>
              </w:rPr>
              <w:t xml:space="preserve">way, national funding will be used to fund scholarships for teaching studies in the fields of natural sciences and technology. </w:t>
            </w:r>
          </w:p>
          <w:p w14:paraId="7951C295" w14:textId="77777777" w:rsidR="00434CEC" w:rsidRPr="00A66F03" w:rsidRDefault="00976636" w:rsidP="00B72629">
            <w:pPr>
              <w:pStyle w:val="Odstavekseznama"/>
              <w:numPr>
                <w:ilvl w:val="0"/>
                <w:numId w:val="14"/>
              </w:numPr>
              <w:spacing w:after="0" w:line="276" w:lineRule="auto"/>
              <w:jc w:val="both"/>
              <w:rPr>
                <w:rFonts w:eastAsiaTheme="minorEastAsia"/>
              </w:rPr>
            </w:pPr>
            <w:r w:rsidRPr="00A66F03">
              <w:rPr>
                <w:rFonts w:ascii="Times New Roman" w:eastAsia="Times New Roman" w:hAnsi="Times New Roman" w:cs="Times New Roman"/>
              </w:rPr>
              <w:t xml:space="preserve">The greening of education infrastructure will be supported by ECP and the RRP, as the needs in this area are extremely high and </w:t>
            </w:r>
            <w:r w:rsidRPr="00A66F03">
              <w:rPr>
                <w:rFonts w:ascii="Times New Roman" w:eastAsia="Times New Roman" w:hAnsi="Times New Roman" w:cs="Times New Roman"/>
              </w:rPr>
              <w:t xml:space="preserve">the mechanisms will address different infrastructure projects. </w:t>
            </w:r>
          </w:p>
          <w:p w14:paraId="50A2C15E" w14:textId="77777777" w:rsidR="00A91930" w:rsidRPr="00A66F03" w:rsidRDefault="00976636" w:rsidP="00A91930">
            <w:pPr>
              <w:pStyle w:val="Odstavekseznama"/>
              <w:numPr>
                <w:ilvl w:val="0"/>
                <w:numId w:val="14"/>
              </w:numPr>
              <w:spacing w:after="0" w:line="276" w:lineRule="auto"/>
              <w:jc w:val="both"/>
              <w:rPr>
                <w:rFonts w:ascii="Times New Roman" w:eastAsia="Times New Roman" w:hAnsi="Times New Roman" w:cs="Times New Roman"/>
              </w:rPr>
            </w:pPr>
            <w:r w:rsidRPr="00A66F03">
              <w:rPr>
                <w:rFonts w:ascii="Times New Roman" w:eastAsia="Times New Roman" w:hAnsi="Times New Roman" w:cs="Times New Roman"/>
              </w:rPr>
              <w:t>Within the RRP, we will make workplaces more accessible to workers with severe mobility impairments by investing in more flexible ways of organising work and adapting workplaces to people with</w:t>
            </w:r>
            <w:r w:rsidRPr="00A66F03">
              <w:rPr>
                <w:rFonts w:ascii="Times New Roman" w:eastAsia="Times New Roman" w:hAnsi="Times New Roman" w:cs="Times New Roman"/>
              </w:rPr>
              <w:t xml:space="preserve"> disabilities. We will produce background documents for a work process tailored to needs and for the acquisition of the necessary competencies on the part of employers and employees at sheltered companies for people with disabilities and employment centres</w:t>
            </w:r>
            <w:r w:rsidRPr="00A66F03">
              <w:rPr>
                <w:rFonts w:ascii="Times New Roman" w:eastAsia="Times New Roman" w:hAnsi="Times New Roman" w:cs="Times New Roman"/>
              </w:rPr>
              <w:t>, with a focus on digital competencies and the provision of psychosocial support.</w:t>
            </w:r>
          </w:p>
          <w:p w14:paraId="0EE11B14" w14:textId="77777777" w:rsidR="00BB0574" w:rsidRPr="00A66F03" w:rsidRDefault="00976636" w:rsidP="00BB0574">
            <w:pPr>
              <w:pStyle w:val="Odstavekseznama"/>
              <w:numPr>
                <w:ilvl w:val="0"/>
                <w:numId w:val="14"/>
              </w:numPr>
              <w:spacing w:after="0" w:line="276" w:lineRule="auto"/>
              <w:jc w:val="both"/>
              <w:rPr>
                <w:rFonts w:ascii="Times New Roman" w:eastAsia="Times New Roman" w:hAnsi="Times New Roman" w:cs="Times New Roman"/>
              </w:rPr>
            </w:pPr>
            <w:r w:rsidRPr="00A66F03">
              <w:rPr>
                <w:rFonts w:ascii="Times New Roman" w:eastAsia="Times New Roman" w:hAnsi="Times New Roman" w:cs="Times New Roman"/>
              </w:rPr>
              <w:t>Through the RRP, we will provide subsidies to employers who wish to recruit young people aged 25 or under in order to encourage young people to enter the labour market more quickly. Implementation through the same provider will ensure that double financing</w:t>
            </w:r>
            <w:r w:rsidRPr="00A66F03">
              <w:rPr>
                <w:rFonts w:ascii="Times New Roman" w:eastAsia="Times New Roman" w:hAnsi="Times New Roman" w:cs="Times New Roman"/>
              </w:rPr>
              <w:t xml:space="preserve"> is avoided. In a complementary way, ESF+ measures will address harder-to-employ people (such as young long-term unemployed people and young NEETs, as well as those with low levels of education and older people) by providing incentives that enable them to </w:t>
            </w:r>
            <w:r w:rsidRPr="00A66F03">
              <w:rPr>
                <w:rFonts w:ascii="Times New Roman" w:eastAsia="Times New Roman" w:hAnsi="Times New Roman" w:cs="Times New Roman"/>
              </w:rPr>
              <w:t xml:space="preserve">integrate into the labour market as quickly as possible. Through the RRP, we will support a new concept of training and </w:t>
            </w:r>
            <w:r w:rsidRPr="00A66F03">
              <w:rPr>
                <w:rFonts w:ascii="Times New Roman" w:eastAsia="Times New Roman" w:hAnsi="Times New Roman" w:cs="Times New Roman"/>
              </w:rPr>
              <w:lastRenderedPageBreak/>
              <w:t>education for all employees, one in which employees will be able to become involved both at their own initiative and that of their emplo</w:t>
            </w:r>
            <w:r w:rsidRPr="00A66F03">
              <w:rPr>
                <w:rFonts w:ascii="Times New Roman" w:eastAsia="Times New Roman" w:hAnsi="Times New Roman" w:cs="Times New Roman"/>
              </w:rPr>
              <w:t>yer. Projects that receive funding from the RRP will not be able to apply for funding for the same purpose under MFF 2021–27.</w:t>
            </w:r>
          </w:p>
          <w:p w14:paraId="6CD87F44" w14:textId="77777777" w:rsidR="004942FD" w:rsidRPr="00A66F03" w:rsidRDefault="004942FD" w:rsidP="00BB0574">
            <w:pPr>
              <w:spacing w:after="0" w:line="276" w:lineRule="auto"/>
              <w:jc w:val="both"/>
              <w:rPr>
                <w:rFonts w:ascii="Times New Roman" w:eastAsia="Times New Roman" w:hAnsi="Times New Roman" w:cs="Times New Roman"/>
                <w:lang w:val="en-GB"/>
              </w:rPr>
            </w:pPr>
          </w:p>
          <w:p w14:paraId="48974BF6" w14:textId="77777777" w:rsidR="00306213" w:rsidRPr="00A66F03" w:rsidRDefault="00976636" w:rsidP="00B72629">
            <w:pPr>
              <w:spacing w:after="0" w:line="276" w:lineRule="auto"/>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t xml:space="preserve">Actions in the field of health and social security will be complemented by the following actions planned within the </w:t>
            </w:r>
            <w:r w:rsidRPr="00A66F03">
              <w:rPr>
                <w:rFonts w:ascii="Times New Roman" w:eastAsia="Times New Roman" w:hAnsi="Times New Roman" w:cs="Times New Roman"/>
                <w:b/>
                <w:bCs/>
                <w:lang w:val="en-GB"/>
              </w:rPr>
              <w:t>RRP</w:t>
            </w:r>
            <w:r w:rsidRPr="00A66F03">
              <w:rPr>
                <w:rFonts w:ascii="Times New Roman" w:eastAsia="Times New Roman" w:hAnsi="Times New Roman" w:cs="Times New Roman"/>
                <w:lang w:val="en-GB"/>
              </w:rPr>
              <w:t>:</w:t>
            </w:r>
          </w:p>
          <w:p w14:paraId="6F4A0ABC" w14:textId="77777777" w:rsidR="00081F4B" w:rsidRPr="00A66F03" w:rsidRDefault="00976636" w:rsidP="00B72629">
            <w:pPr>
              <w:pStyle w:val="Odstavekseznama"/>
              <w:numPr>
                <w:ilvl w:val="0"/>
                <w:numId w:val="14"/>
              </w:numPr>
              <w:spacing w:after="0" w:line="276" w:lineRule="auto"/>
              <w:jc w:val="both"/>
              <w:rPr>
                <w:rFonts w:ascii="Times New Roman" w:eastAsia="Times New Roman" w:hAnsi="Times New Roman" w:cs="Times New Roman"/>
              </w:rPr>
            </w:pPr>
            <w:r w:rsidRPr="00A66F03">
              <w:rPr>
                <w:rFonts w:ascii="Times New Roman" w:eastAsia="Times New Roman" w:hAnsi="Times New Roman" w:cs="Times New Roman"/>
              </w:rPr>
              <w:t>Investme</w:t>
            </w:r>
            <w:r w:rsidRPr="00A66F03">
              <w:rPr>
                <w:rFonts w:ascii="Times New Roman" w:eastAsia="Times New Roman" w:hAnsi="Times New Roman" w:cs="Times New Roman"/>
              </w:rPr>
              <w:t xml:space="preserve">nts in infectious clinics (Ljubljana, Maribor). </w:t>
            </w:r>
          </w:p>
          <w:p w14:paraId="068ABD7F" w14:textId="77777777" w:rsidR="00081F4B" w:rsidRPr="00A66F03" w:rsidRDefault="00976636" w:rsidP="00B72629">
            <w:pPr>
              <w:pStyle w:val="Odstavekseznama"/>
              <w:numPr>
                <w:ilvl w:val="0"/>
                <w:numId w:val="14"/>
              </w:numPr>
              <w:spacing w:after="0" w:line="276" w:lineRule="auto"/>
              <w:jc w:val="both"/>
              <w:rPr>
                <w:rFonts w:ascii="Times New Roman" w:eastAsia="Times New Roman" w:hAnsi="Times New Roman" w:cs="Times New Roman"/>
              </w:rPr>
            </w:pPr>
            <w:r w:rsidRPr="00A66F03">
              <w:rPr>
                <w:rFonts w:ascii="Times New Roman" w:eastAsia="Times New Roman" w:hAnsi="Times New Roman" w:cs="Times New Roman"/>
              </w:rPr>
              <w:t xml:space="preserve">Investment in infrastructure and equipment for psychogeriatric care units within psychiatric hospitals. </w:t>
            </w:r>
          </w:p>
          <w:p w14:paraId="13945388" w14:textId="77777777" w:rsidR="00081F4B" w:rsidRPr="00A66F03" w:rsidRDefault="00976636" w:rsidP="00BB2E98">
            <w:pPr>
              <w:pStyle w:val="Odstavekseznama"/>
              <w:numPr>
                <w:ilvl w:val="0"/>
                <w:numId w:val="14"/>
              </w:numPr>
              <w:spacing w:after="0" w:line="276" w:lineRule="auto"/>
              <w:jc w:val="both"/>
              <w:rPr>
                <w:rFonts w:ascii="Times New Roman" w:eastAsia="Times New Roman" w:hAnsi="Times New Roman" w:cs="Times New Roman"/>
              </w:rPr>
            </w:pPr>
            <w:r w:rsidRPr="00A66F03">
              <w:rPr>
                <w:rFonts w:ascii="Times New Roman" w:eastAsia="Times New Roman" w:hAnsi="Times New Roman" w:cs="Times New Roman"/>
              </w:rPr>
              <w:t>Measures to increase health professionals’ ability to provide high-quality care. The resources of the RRP will address the strengthening of human resources for the provision of high-quality health care. ECP resources will help improve health care users’ di</w:t>
            </w:r>
            <w:r w:rsidRPr="00A66F03">
              <w:rPr>
                <w:rFonts w:ascii="Times New Roman" w:eastAsia="Times New Roman" w:hAnsi="Times New Roman" w:cs="Times New Roman"/>
              </w:rPr>
              <w:t>gital literacy, set up a system of systematic approaches to managing age-related frailty fragility and develop a system of first responders.</w:t>
            </w:r>
          </w:p>
          <w:p w14:paraId="3C554A32" w14:textId="77777777" w:rsidR="00081F4B" w:rsidRPr="00A66F03" w:rsidRDefault="00976636" w:rsidP="00B72629">
            <w:pPr>
              <w:pStyle w:val="Odstavekseznama"/>
              <w:numPr>
                <w:ilvl w:val="0"/>
                <w:numId w:val="14"/>
              </w:numPr>
              <w:spacing w:after="0" w:line="276" w:lineRule="auto"/>
              <w:jc w:val="both"/>
              <w:rPr>
                <w:rFonts w:ascii="Times New Roman" w:eastAsia="Times New Roman" w:hAnsi="Times New Roman" w:cs="Times New Roman"/>
              </w:rPr>
            </w:pPr>
            <w:r w:rsidRPr="00A66F03">
              <w:rPr>
                <w:rFonts w:ascii="Times New Roman" w:eastAsia="Times New Roman" w:hAnsi="Times New Roman" w:cs="Times New Roman"/>
              </w:rPr>
              <w:t>Investments in providing integrated provision for those who require more long-term care and more complex services (</w:t>
            </w:r>
            <w:r w:rsidRPr="00A66F03">
              <w:rPr>
                <w:rFonts w:ascii="Times New Roman" w:eastAsia="Times New Roman" w:hAnsi="Times New Roman" w:cs="Times New Roman"/>
              </w:rPr>
              <w:t xml:space="preserve">care and care homes and a network of rehabilitation centres for those eligible for long-term care). </w:t>
            </w:r>
          </w:p>
          <w:p w14:paraId="2F0C2613" w14:textId="77777777" w:rsidR="00A91930" w:rsidRPr="00A66F03" w:rsidRDefault="00976636" w:rsidP="00A91930">
            <w:pPr>
              <w:pStyle w:val="Odstavekseznama"/>
              <w:numPr>
                <w:ilvl w:val="0"/>
                <w:numId w:val="14"/>
              </w:numPr>
              <w:spacing w:after="0" w:line="276" w:lineRule="auto"/>
              <w:jc w:val="both"/>
              <w:rPr>
                <w:rFonts w:ascii="Times New Roman" w:eastAsia="Times New Roman" w:hAnsi="Times New Roman" w:cs="Times New Roman"/>
              </w:rPr>
            </w:pPr>
            <w:r w:rsidRPr="00A66F03">
              <w:rPr>
                <w:rFonts w:ascii="Times New Roman" w:eastAsia="Times New Roman" w:hAnsi="Times New Roman" w:cs="Times New Roman"/>
              </w:rPr>
              <w:t>Provision of a safe living environment for persons dependent on the assistance of others. The RRP will support the construction of new institutional care a</w:t>
            </w:r>
            <w:r w:rsidRPr="00A66F03">
              <w:rPr>
                <w:rFonts w:ascii="Times New Roman" w:eastAsia="Times New Roman" w:hAnsi="Times New Roman" w:cs="Times New Roman"/>
              </w:rPr>
              <w:t>ccommodation.</w:t>
            </w:r>
          </w:p>
          <w:p w14:paraId="001D6C71" w14:textId="77777777" w:rsidR="00081F4B" w:rsidRPr="00A66F03" w:rsidRDefault="00976636" w:rsidP="00B72629">
            <w:pPr>
              <w:pStyle w:val="Odstavekseznama"/>
              <w:numPr>
                <w:ilvl w:val="0"/>
                <w:numId w:val="14"/>
              </w:numPr>
              <w:spacing w:after="0" w:line="276" w:lineRule="auto"/>
              <w:jc w:val="both"/>
              <w:rPr>
                <w:rFonts w:ascii="Times New Roman" w:eastAsia="Times New Roman" w:hAnsi="Times New Roman" w:cs="Times New Roman"/>
              </w:rPr>
            </w:pPr>
            <w:r w:rsidRPr="00A66F03">
              <w:rPr>
                <w:rFonts w:ascii="Times New Roman" w:eastAsia="Times New Roman" w:hAnsi="Times New Roman" w:cs="Times New Roman"/>
              </w:rPr>
              <w:t>Using RRP resources, we will set up a national-level system for the uniform assessment of eligibility for long-term care and a single entry point. Investments will also support measures for the transfer, integration and transparency of inform</w:t>
            </w:r>
            <w:r w:rsidRPr="00A66F03">
              <w:rPr>
                <w:rFonts w:ascii="Times New Roman" w:eastAsia="Times New Roman" w:hAnsi="Times New Roman" w:cs="Times New Roman"/>
              </w:rPr>
              <w:t>ation in the fields of health care, social care and long-term care. Support will also be given to making living environments safer for those dependent on the assistance of others, including those in institutional care settings. Complementary to this, ESI f</w:t>
            </w:r>
            <w:r w:rsidRPr="00A66F03">
              <w:rPr>
                <w:rFonts w:ascii="Times New Roman" w:eastAsia="Times New Roman" w:hAnsi="Times New Roman" w:cs="Times New Roman"/>
              </w:rPr>
              <w:t xml:space="preserve">unds will provide high-quality and safe health care and long-term care services, and support the transition from institutionalised to home care. </w:t>
            </w:r>
          </w:p>
          <w:p w14:paraId="03D5CDBF" w14:textId="77777777" w:rsidR="00D05EAE" w:rsidRPr="00A66F03" w:rsidRDefault="00D05EAE" w:rsidP="00B72629">
            <w:pPr>
              <w:spacing w:after="0" w:line="276" w:lineRule="auto"/>
              <w:jc w:val="both"/>
              <w:rPr>
                <w:rFonts w:ascii="Times New Roman" w:eastAsia="Times New Roman" w:hAnsi="Times New Roman" w:cs="Times New Roman"/>
                <w:lang w:val="en-GB"/>
              </w:rPr>
            </w:pPr>
          </w:p>
          <w:p w14:paraId="3C42CFB0" w14:textId="77777777" w:rsidR="00D05EAE" w:rsidRPr="00A66F03" w:rsidRDefault="00976636" w:rsidP="00B72629">
            <w:pPr>
              <w:spacing w:after="0" w:line="276" w:lineRule="auto"/>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t xml:space="preserve">Actions to strengthen the role of tourism and culture will be complemented by an action from the development </w:t>
            </w:r>
            <w:r w:rsidRPr="00A66F03">
              <w:rPr>
                <w:rFonts w:ascii="Times New Roman" w:eastAsia="Times New Roman" w:hAnsi="Times New Roman" w:cs="Times New Roman"/>
                <w:lang w:val="en-GB"/>
              </w:rPr>
              <w:t>component of the Sustainable Development of Slovenian Tourism, including cultural heritage in the RRP:</w:t>
            </w:r>
          </w:p>
          <w:p w14:paraId="6A2656BB" w14:textId="77777777" w:rsidR="00D05EAE" w:rsidRPr="00A66F03" w:rsidRDefault="00976636" w:rsidP="00B72629">
            <w:pPr>
              <w:pStyle w:val="Odstavekseznama"/>
              <w:numPr>
                <w:ilvl w:val="0"/>
                <w:numId w:val="14"/>
              </w:numPr>
              <w:spacing w:after="0" w:line="276" w:lineRule="auto"/>
              <w:jc w:val="both"/>
              <w:rPr>
                <w:rFonts w:ascii="Times New Roman" w:eastAsia="Times New Roman" w:hAnsi="Times New Roman" w:cs="Times New Roman"/>
              </w:rPr>
            </w:pPr>
            <w:r w:rsidRPr="00A66F03">
              <w:rPr>
                <w:rFonts w:ascii="Times New Roman" w:eastAsia="Times New Roman" w:hAnsi="Times New Roman" w:cs="Times New Roman"/>
              </w:rPr>
              <w:t>Investment C: ‘Sustainable development of public and collective tourism infrastructure and natural attractions in tourist destinations’. Using ERDF resou</w:t>
            </w:r>
            <w:r w:rsidRPr="00A66F03">
              <w:rPr>
                <w:rFonts w:ascii="Times New Roman" w:eastAsia="Times New Roman" w:hAnsi="Times New Roman" w:cs="Times New Roman"/>
              </w:rPr>
              <w:t xml:space="preserve">rces, the measure will be upgraded to fill the structural gap in Slovenian tourism, which is reflected in the poor level of organisation of public tourism infrastructure. Cohesion policy funds will be used to promote the development of tourist experiences </w:t>
            </w:r>
            <w:r w:rsidRPr="00A66F03">
              <w:rPr>
                <w:rFonts w:ascii="Times New Roman" w:eastAsia="Times New Roman" w:hAnsi="Times New Roman" w:cs="Times New Roman"/>
              </w:rPr>
              <w:t>and products at the level of tourist destinations, and boost the country’s year-round green and sustainable tourism offer. We will increase the involvement of more tourism stakeholders at each destination and the involvement of the local population in shap</w:t>
            </w:r>
            <w:r w:rsidRPr="00A66F03">
              <w:rPr>
                <w:rFonts w:ascii="Times New Roman" w:eastAsia="Times New Roman" w:hAnsi="Times New Roman" w:cs="Times New Roman"/>
              </w:rPr>
              <w:t>ing the tourist products and services on offer;  this will lead to higher value added and have a positive effect on the tourist experience at all tourist destinations.</w:t>
            </w:r>
          </w:p>
          <w:p w14:paraId="5BDA3C0B" w14:textId="77777777" w:rsidR="00D05EAE" w:rsidRPr="00A66F03" w:rsidRDefault="00976636" w:rsidP="00B72629">
            <w:pPr>
              <w:pStyle w:val="Odstavekseznama"/>
              <w:numPr>
                <w:ilvl w:val="0"/>
                <w:numId w:val="14"/>
              </w:numPr>
              <w:spacing w:after="0" w:line="276" w:lineRule="auto"/>
              <w:jc w:val="both"/>
              <w:rPr>
                <w:rFonts w:ascii="Times New Roman" w:eastAsia="Times New Roman" w:hAnsi="Times New Roman" w:cs="Times New Roman"/>
              </w:rPr>
            </w:pPr>
            <w:r w:rsidRPr="00A66F03">
              <w:rPr>
                <w:rFonts w:ascii="Times New Roman" w:eastAsia="Times New Roman" w:hAnsi="Times New Roman" w:cs="Times New Roman"/>
              </w:rPr>
              <w:t>Investment D: ‘Sustainable restoration and revitalisation of cultural heritage and publi</w:t>
            </w:r>
            <w:r w:rsidRPr="00A66F03">
              <w:rPr>
                <w:rFonts w:ascii="Times New Roman" w:eastAsia="Times New Roman" w:hAnsi="Times New Roman" w:cs="Times New Roman"/>
              </w:rPr>
              <w:t>c cultural infrastructure and the integration of cultural experiences into Slovenian tourism’. The RRP will be complemented by ERDF funds for small-value investments (up to EUR 1 million excluding VAT) in the restoration and revitalisation of cultural monu</w:t>
            </w:r>
            <w:r w:rsidRPr="00A66F03">
              <w:rPr>
                <w:rFonts w:ascii="Times New Roman" w:eastAsia="Times New Roman" w:hAnsi="Times New Roman" w:cs="Times New Roman"/>
              </w:rPr>
              <w:t>ments and the promotion of cultural tourism products adapted to new generations and new media.</w:t>
            </w:r>
          </w:p>
          <w:p w14:paraId="5E3E525A" w14:textId="77777777" w:rsidR="004942FD" w:rsidRPr="00A66F03" w:rsidRDefault="004942FD" w:rsidP="00B72629">
            <w:pPr>
              <w:pStyle w:val="Odstavekseznama"/>
              <w:spacing w:after="0" w:line="276" w:lineRule="auto"/>
              <w:jc w:val="both"/>
              <w:rPr>
                <w:rFonts w:ascii="Times New Roman" w:eastAsia="Times New Roman" w:hAnsi="Times New Roman" w:cs="Times New Roman"/>
              </w:rPr>
            </w:pPr>
          </w:p>
          <w:p w14:paraId="17EA372A" w14:textId="77777777" w:rsidR="0095651B" w:rsidRPr="00A66F03" w:rsidRDefault="00976636" w:rsidP="00B72629">
            <w:pPr>
              <w:spacing w:after="0" w:line="276" w:lineRule="auto"/>
              <w:jc w:val="both"/>
              <w:rPr>
                <w:rFonts w:ascii="Times New Roman" w:eastAsia="Times New Roman" w:hAnsi="Times New Roman" w:cs="Times New Roman"/>
                <w:b/>
                <w:lang w:val="en-GB"/>
              </w:rPr>
            </w:pPr>
            <w:r w:rsidRPr="00A66F03">
              <w:rPr>
                <w:rFonts w:ascii="Times New Roman" w:eastAsia="Times New Roman" w:hAnsi="Times New Roman" w:cs="Times New Roman"/>
                <w:b/>
                <w:bCs/>
                <w:lang w:val="en-GB"/>
              </w:rPr>
              <w:t>Policy Objective 5:</w:t>
            </w:r>
          </w:p>
          <w:p w14:paraId="0F531263" w14:textId="77777777" w:rsidR="004942FD" w:rsidRPr="00A66F03" w:rsidRDefault="004942FD" w:rsidP="00B72629">
            <w:pPr>
              <w:spacing w:after="0" w:line="276" w:lineRule="auto"/>
              <w:jc w:val="both"/>
              <w:rPr>
                <w:rFonts w:ascii="Times New Roman" w:eastAsia="Times New Roman" w:hAnsi="Times New Roman" w:cs="Times New Roman"/>
                <w:b/>
                <w:lang w:val="en-GB"/>
              </w:rPr>
            </w:pPr>
          </w:p>
          <w:p w14:paraId="00F5286D" w14:textId="77777777" w:rsidR="005953D1" w:rsidRPr="00A66F03" w:rsidRDefault="00976636" w:rsidP="00B72629">
            <w:pPr>
              <w:spacing w:after="0" w:line="276" w:lineRule="auto"/>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lastRenderedPageBreak/>
              <w:t xml:space="preserve">Under PO5, ERDF and EMFAF resources will be complemented by </w:t>
            </w:r>
            <w:r w:rsidRPr="00A66F03">
              <w:rPr>
                <w:rFonts w:ascii="Times New Roman" w:eastAsia="Times New Roman" w:hAnsi="Times New Roman" w:cs="Times New Roman"/>
                <w:b/>
                <w:bCs/>
                <w:lang w:val="en-GB"/>
              </w:rPr>
              <w:t xml:space="preserve">EAFRD </w:t>
            </w:r>
            <w:r w:rsidRPr="00A66F03">
              <w:rPr>
                <w:rFonts w:ascii="Times New Roman" w:eastAsia="Times New Roman" w:hAnsi="Times New Roman" w:cs="Times New Roman"/>
                <w:lang w:val="en-GB"/>
              </w:rPr>
              <w:t>resources in the following areas:</w:t>
            </w:r>
          </w:p>
          <w:p w14:paraId="581C8383" w14:textId="77777777" w:rsidR="005953D1" w:rsidRPr="00A66F03" w:rsidRDefault="00976636" w:rsidP="00B72629">
            <w:pPr>
              <w:pStyle w:val="Odstavekseznama"/>
              <w:numPr>
                <w:ilvl w:val="0"/>
                <w:numId w:val="14"/>
              </w:numPr>
              <w:spacing w:after="0" w:line="276" w:lineRule="auto"/>
              <w:jc w:val="both"/>
              <w:rPr>
                <w:rFonts w:ascii="Times New Roman" w:eastAsia="Times New Roman" w:hAnsi="Times New Roman" w:cs="Times New Roman"/>
              </w:rPr>
            </w:pPr>
            <w:r w:rsidRPr="00A66F03">
              <w:rPr>
                <w:rFonts w:ascii="Times New Roman" w:eastAsia="Times New Roman" w:hAnsi="Times New Roman" w:cs="Times New Roman"/>
              </w:rPr>
              <w:t xml:space="preserve">The promotion of local rural </w:t>
            </w:r>
            <w:r w:rsidRPr="00A66F03">
              <w:rPr>
                <w:rFonts w:ascii="Times New Roman" w:eastAsia="Times New Roman" w:hAnsi="Times New Roman" w:cs="Times New Roman"/>
              </w:rPr>
              <w:t>development (CLLD) will be supported under the EAFRD using the LEADER approach, where all settlements with fewer than 10,000 inhabitants will be eligible. LEADER resources will be used to support a reduction in structural problems (such as lack of attracti</w:t>
            </w:r>
            <w:r w:rsidRPr="00A66F03">
              <w:rPr>
                <w:rFonts w:ascii="Times New Roman" w:eastAsia="Times New Roman" w:hAnsi="Times New Roman" w:cs="Times New Roman"/>
              </w:rPr>
              <w:t>ve employment opportunities, the ageing of the population), job creation, basic services, social inclusion, environmental content and other needs that have been identified in rural areas. EAFRD and ERDF resources will be used in a complementary fashion thr</w:t>
            </w:r>
            <w:r w:rsidRPr="00A66F03">
              <w:rPr>
                <w:rFonts w:ascii="Times New Roman" w:eastAsia="Times New Roman" w:hAnsi="Times New Roman" w:cs="Times New Roman"/>
              </w:rPr>
              <w:t xml:space="preserve">oughout Slovenia to support the development of areas under the ‘Smart Villages’ concept and the renewal of cultural heritage in rural areas. </w:t>
            </w:r>
          </w:p>
          <w:p w14:paraId="58EE0EFB" w14:textId="77777777" w:rsidR="00B74D84" w:rsidRPr="00A66F03" w:rsidRDefault="00976636" w:rsidP="00B72629">
            <w:pPr>
              <w:pStyle w:val="Odstavekseznama"/>
              <w:numPr>
                <w:ilvl w:val="0"/>
                <w:numId w:val="14"/>
              </w:numPr>
              <w:spacing w:after="0" w:line="276" w:lineRule="auto"/>
              <w:jc w:val="both"/>
              <w:rPr>
                <w:rFonts w:ascii="Times New Roman" w:eastAsia="Times New Roman" w:hAnsi="Times New Roman" w:cs="Times New Roman"/>
              </w:rPr>
            </w:pPr>
            <w:r w:rsidRPr="00A66F03">
              <w:rPr>
                <w:rFonts w:ascii="Times New Roman" w:eastAsia="Times New Roman" w:hAnsi="Times New Roman" w:cs="Times New Roman"/>
              </w:rPr>
              <w:t>A joint approach to CLLD will be employed under the ERDF and EAFRD, while CLLD will be implemented autonomously un</w:t>
            </w:r>
            <w:r w:rsidRPr="00A66F03">
              <w:rPr>
                <w:rFonts w:ascii="Times New Roman" w:eastAsia="Times New Roman" w:hAnsi="Times New Roman" w:cs="Times New Roman"/>
              </w:rPr>
              <w:t>der the EMFAF. Synergies between the EAFRD and EMFAF will be within objective c) of the EMFAF (Strengthening the vitality of communities by increasing social inclusion, attracting women and young people and maintaining and creating new jobs in fisheries an</w:t>
            </w:r>
            <w:r w:rsidRPr="00A66F03">
              <w:rPr>
                <w:rFonts w:ascii="Times New Roman" w:eastAsia="Times New Roman" w:hAnsi="Times New Roman" w:cs="Times New Roman"/>
              </w:rPr>
              <w:t xml:space="preserve">d aquaculture) and the needs of the Common Agricultural Policy Strategic Plan 2023–2027 (P27, P28), notably in providing basic services in the selected area, creating jobs, improving quality of life, and promoting employment and enterprise in rural areas. </w:t>
            </w:r>
            <w:r w:rsidRPr="00A66F03">
              <w:rPr>
                <w:rFonts w:ascii="Times New Roman" w:eastAsia="Times New Roman" w:hAnsi="Times New Roman" w:cs="Times New Roman"/>
              </w:rPr>
              <w:t>There will also be synergies between the ERDF, EAFRD and EMFAF in cooperation projects. Projects selected under CLLD will definitely also be complementary to other national projects (e.g. those of the Slovenian Tourism Board). If the LAGs are selected in t</w:t>
            </w:r>
            <w:r w:rsidRPr="00A66F03">
              <w:rPr>
                <w:rFonts w:ascii="Times New Roman" w:eastAsia="Times New Roman" w:hAnsi="Times New Roman" w:cs="Times New Roman"/>
              </w:rPr>
              <w:t>he territories covered by the Just Transition Fund, the selected projects will be complementary.</w:t>
            </w:r>
          </w:p>
          <w:p w14:paraId="3FC1A90C" w14:textId="77777777" w:rsidR="00255A94" w:rsidRPr="00A66F03" w:rsidRDefault="00976636" w:rsidP="00B72629">
            <w:pPr>
              <w:spacing w:after="0" w:line="276" w:lineRule="auto"/>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t>An interdepartmental working group has been set up and comprises representatives of managing authorities and intermediate bodies of all the funds that implemen</w:t>
            </w:r>
            <w:r w:rsidRPr="00A66F03">
              <w:rPr>
                <w:rFonts w:ascii="Times New Roman" w:eastAsia="Times New Roman" w:hAnsi="Times New Roman" w:cs="Times New Roman"/>
                <w:lang w:val="en-GB"/>
              </w:rPr>
              <w:t>t CLLD. The aim is to harmonise and simplify as far as possible the content common to all funds in order to facilitate the implementation of the action as much as possible by stakeholders on the ground.</w:t>
            </w:r>
          </w:p>
          <w:p w14:paraId="037F007D" w14:textId="77777777" w:rsidR="00C55CE1" w:rsidRPr="00A66F03" w:rsidRDefault="00C55CE1" w:rsidP="00B72629">
            <w:pPr>
              <w:spacing w:after="0" w:line="276" w:lineRule="auto"/>
              <w:jc w:val="both"/>
              <w:rPr>
                <w:rFonts w:ascii="Times New Roman" w:eastAsia="Times New Roman" w:hAnsi="Times New Roman" w:cs="Times New Roman"/>
                <w:lang w:val="en-GB"/>
              </w:rPr>
            </w:pPr>
          </w:p>
          <w:p w14:paraId="3A4267B2" w14:textId="77777777" w:rsidR="0095651B" w:rsidRPr="00A66F03" w:rsidRDefault="00976636" w:rsidP="00B72629">
            <w:pPr>
              <w:spacing w:after="0" w:line="276" w:lineRule="auto"/>
              <w:jc w:val="both"/>
              <w:rPr>
                <w:rFonts w:ascii="Times New Roman" w:eastAsia="Times New Roman" w:hAnsi="Times New Roman" w:cs="Times New Roman"/>
                <w:b/>
                <w:lang w:val="en-GB"/>
              </w:rPr>
            </w:pPr>
            <w:r w:rsidRPr="00A66F03">
              <w:rPr>
                <w:rFonts w:ascii="Times New Roman" w:eastAsia="Times New Roman" w:hAnsi="Times New Roman" w:cs="Times New Roman"/>
                <w:b/>
                <w:bCs/>
                <w:lang w:val="en-GB"/>
              </w:rPr>
              <w:t>JTF-specific objective</w:t>
            </w:r>
          </w:p>
          <w:p w14:paraId="2090D88E" w14:textId="77777777" w:rsidR="004942FD" w:rsidRPr="00A66F03" w:rsidRDefault="004942FD" w:rsidP="00B72629">
            <w:pPr>
              <w:spacing w:after="0" w:line="276" w:lineRule="auto"/>
              <w:jc w:val="both"/>
              <w:rPr>
                <w:rFonts w:ascii="Times New Roman" w:eastAsia="Times New Roman" w:hAnsi="Times New Roman" w:cs="Times New Roman"/>
                <w:b/>
                <w:lang w:val="en-GB"/>
              </w:rPr>
            </w:pPr>
          </w:p>
          <w:p w14:paraId="6FD07E99" w14:textId="77777777" w:rsidR="001D1A48" w:rsidRPr="00A66F03" w:rsidRDefault="00976636" w:rsidP="00B72629">
            <w:pPr>
              <w:spacing w:after="0" w:line="276" w:lineRule="auto"/>
              <w:jc w:val="both"/>
              <w:rPr>
                <w:rFonts w:ascii="Times New Roman" w:eastAsia="Times New Roman" w:hAnsi="Times New Roman" w:cs="Times New Roman"/>
                <w:iCs/>
                <w:lang w:val="en-GB"/>
              </w:rPr>
            </w:pPr>
            <w:r w:rsidRPr="00A66F03">
              <w:rPr>
                <w:rFonts w:ascii="Times New Roman" w:eastAsia="Times New Roman" w:hAnsi="Times New Roman" w:cs="Times New Roman"/>
                <w:lang w:val="en-GB"/>
              </w:rPr>
              <w:t xml:space="preserve">JTF resources will be complemented by cohesion policy and </w:t>
            </w:r>
            <w:r w:rsidRPr="00A66F03">
              <w:rPr>
                <w:rFonts w:ascii="Times New Roman" w:eastAsia="Times New Roman" w:hAnsi="Times New Roman" w:cs="Times New Roman"/>
                <w:b/>
                <w:bCs/>
                <w:lang w:val="en-GB"/>
              </w:rPr>
              <w:t>RRP</w:t>
            </w:r>
            <w:r w:rsidRPr="00A66F03">
              <w:rPr>
                <w:rFonts w:ascii="Times New Roman" w:eastAsia="Times New Roman" w:hAnsi="Times New Roman" w:cs="Times New Roman"/>
                <w:lang w:val="en-GB"/>
              </w:rPr>
              <w:t xml:space="preserve"> resources in</w:t>
            </w:r>
            <w:r w:rsidRPr="00A66F03">
              <w:rPr>
                <w:rFonts w:ascii="Times New Roman" w:eastAsia="Times New Roman" w:hAnsi="Times New Roman" w:cs="Times New Roman"/>
                <w:b/>
                <w:bCs/>
                <w:lang w:val="en-GB"/>
              </w:rPr>
              <w:t xml:space="preserve"> </w:t>
            </w:r>
            <w:r w:rsidRPr="00A66F03">
              <w:rPr>
                <w:rFonts w:ascii="Times New Roman" w:eastAsia="Times New Roman" w:hAnsi="Times New Roman" w:cs="Times New Roman"/>
                <w:lang w:val="en-GB"/>
              </w:rPr>
              <w:t>support of the economy (investments in raising the productivity of existing enterprises and the creation of new ones, supported by investments in research, development and innovatio</w:t>
            </w:r>
            <w:r w:rsidRPr="00A66F03">
              <w:rPr>
                <w:rFonts w:ascii="Times New Roman" w:eastAsia="Times New Roman" w:hAnsi="Times New Roman" w:cs="Times New Roman"/>
                <w:lang w:val="en-GB"/>
              </w:rPr>
              <w:t>n and in digitalisation) and in support of human resources development. Particular attention will be paid to promoting the transition to clean and affordable energy (new technologies, investments in RES, rehabilitation and the upgrading of district heating</w:t>
            </w:r>
            <w:r w:rsidRPr="00A66F03">
              <w:rPr>
                <w:rFonts w:ascii="Times New Roman" w:eastAsia="Times New Roman" w:hAnsi="Times New Roman" w:cs="Times New Roman"/>
                <w:lang w:val="en-GB"/>
              </w:rPr>
              <w:t xml:space="preserve">), the rehabilitation and redevelopment of degraded areas, and the creation of conditions that allow the use of these areas to be changed. </w:t>
            </w:r>
          </w:p>
          <w:p w14:paraId="2C95AA92" w14:textId="77777777" w:rsidR="00070AF5" w:rsidRPr="00A66F03" w:rsidRDefault="00070AF5" w:rsidP="00B72629">
            <w:pPr>
              <w:spacing w:after="0" w:line="276" w:lineRule="auto"/>
              <w:jc w:val="both"/>
              <w:rPr>
                <w:rFonts w:ascii="Times New Roman" w:eastAsia="Times New Roman" w:hAnsi="Times New Roman" w:cs="Times New Roman"/>
                <w:b/>
                <w:i/>
                <w:iCs/>
                <w:lang w:val="en-GB"/>
              </w:rPr>
            </w:pPr>
          </w:p>
          <w:p w14:paraId="04BD679A" w14:textId="77777777" w:rsidR="00230217" w:rsidRPr="00A66F03" w:rsidRDefault="00976636" w:rsidP="00230217">
            <w:pPr>
              <w:spacing w:after="0" w:line="276" w:lineRule="auto"/>
              <w:jc w:val="both"/>
              <w:rPr>
                <w:rFonts w:ascii="Times New Roman" w:hAnsi="Times New Roman" w:cs="Times New Roman"/>
                <w:lang w:val="en-GB"/>
              </w:rPr>
            </w:pPr>
            <w:r w:rsidRPr="00A66F03">
              <w:rPr>
                <w:rFonts w:ascii="Times New Roman" w:hAnsi="Times New Roman" w:cs="Times New Roman"/>
                <w:lang w:val="en-GB"/>
              </w:rPr>
              <w:t>Actions financed by the ERDF and the ESF+ will be complementary, or complementary to those under the JTF, for which the relevant bases will be drawn up at the level of the territorial plans or specific territorial strategies and developed in more detail at</w:t>
            </w:r>
            <w:r w:rsidRPr="00A66F03">
              <w:rPr>
                <w:rFonts w:ascii="Times New Roman" w:hAnsi="Times New Roman" w:cs="Times New Roman"/>
                <w:lang w:val="en-GB"/>
              </w:rPr>
              <w:t xml:space="preserve"> the implementation level. </w:t>
            </w:r>
          </w:p>
          <w:p w14:paraId="713C3A23" w14:textId="77777777" w:rsidR="00230217" w:rsidRPr="00A66F03" w:rsidRDefault="00230217" w:rsidP="00B72629">
            <w:pPr>
              <w:spacing w:after="0" w:line="276" w:lineRule="auto"/>
              <w:jc w:val="both"/>
              <w:rPr>
                <w:rFonts w:ascii="Times New Roman" w:eastAsia="Times New Roman" w:hAnsi="Times New Roman" w:cs="Times New Roman"/>
                <w:b/>
                <w:i/>
                <w:iCs/>
                <w:lang w:val="en-GB"/>
              </w:rPr>
            </w:pPr>
          </w:p>
          <w:p w14:paraId="2E8F3D96" w14:textId="77777777" w:rsidR="00D333D7" w:rsidRPr="00A66F03" w:rsidRDefault="00976636" w:rsidP="00B72629">
            <w:pPr>
              <w:spacing w:after="0" w:line="276" w:lineRule="auto"/>
              <w:jc w:val="both"/>
              <w:rPr>
                <w:rFonts w:ascii="Times New Roman" w:eastAsia="Times New Roman" w:hAnsi="Times New Roman" w:cs="Times New Roman"/>
                <w:iCs/>
                <w:lang w:val="en-GB"/>
              </w:rPr>
            </w:pPr>
            <w:r w:rsidRPr="00A66F03">
              <w:rPr>
                <w:rFonts w:ascii="Times New Roman" w:eastAsia="Times New Roman" w:hAnsi="Times New Roman" w:cs="Times New Roman"/>
                <w:lang w:val="en-GB"/>
              </w:rPr>
              <w:t>JTF resources will also be complemented by support under the other pillars of the Just Transition Mechanism, with the sectors and thematic areas to be supported under those pillars to be identified in the territorial Just Trans</w:t>
            </w:r>
            <w:r w:rsidRPr="00A66F03">
              <w:rPr>
                <w:rFonts w:ascii="Times New Roman" w:eastAsia="Times New Roman" w:hAnsi="Times New Roman" w:cs="Times New Roman"/>
                <w:lang w:val="en-GB"/>
              </w:rPr>
              <w:t>ition plans.</w:t>
            </w:r>
          </w:p>
          <w:p w14:paraId="483A7A7C" w14:textId="77777777" w:rsidR="00DB039B" w:rsidRPr="00A66F03" w:rsidRDefault="00DB039B" w:rsidP="00B72629">
            <w:pPr>
              <w:spacing w:after="0" w:line="276" w:lineRule="auto"/>
              <w:jc w:val="both"/>
              <w:rPr>
                <w:rFonts w:ascii="Times New Roman" w:eastAsia="Times New Roman" w:hAnsi="Times New Roman" w:cs="Times New Roman"/>
                <w:b/>
                <w:i/>
                <w:iCs/>
                <w:lang w:val="en-GB"/>
              </w:rPr>
            </w:pPr>
          </w:p>
          <w:p w14:paraId="0679BC78" w14:textId="77777777" w:rsidR="002D4358" w:rsidRPr="00A66F03" w:rsidRDefault="00976636" w:rsidP="00B72629">
            <w:pPr>
              <w:spacing w:after="0" w:line="276" w:lineRule="auto"/>
              <w:jc w:val="both"/>
              <w:rPr>
                <w:rFonts w:ascii="Times New Roman" w:eastAsia="Times New Roman" w:hAnsi="Times New Roman" w:cs="Times New Roman"/>
                <w:b/>
                <w:i/>
                <w:iCs/>
                <w:lang w:val="en-GB"/>
              </w:rPr>
            </w:pPr>
            <w:r w:rsidRPr="00A66F03">
              <w:rPr>
                <w:rFonts w:ascii="Times New Roman" w:eastAsia="Times New Roman" w:hAnsi="Times New Roman" w:cs="Times New Roman"/>
                <w:b/>
                <w:bCs/>
                <w:i/>
                <w:iCs/>
                <w:lang w:val="en-GB"/>
              </w:rPr>
              <w:t>Invest EU</w:t>
            </w:r>
          </w:p>
          <w:p w14:paraId="073FFDC5" w14:textId="77777777" w:rsidR="00070AF5" w:rsidRPr="00A66F03" w:rsidRDefault="00070AF5" w:rsidP="00B72629">
            <w:pPr>
              <w:spacing w:after="0" w:line="276" w:lineRule="auto"/>
              <w:jc w:val="both"/>
              <w:rPr>
                <w:rFonts w:ascii="Times New Roman" w:eastAsia="Times New Roman" w:hAnsi="Times New Roman" w:cs="Times New Roman"/>
                <w:b/>
                <w:i/>
                <w:iCs/>
                <w:lang w:val="en-GB"/>
              </w:rPr>
            </w:pPr>
          </w:p>
          <w:p w14:paraId="3CF72E8E" w14:textId="77777777" w:rsidR="002D4358" w:rsidRPr="00A66F03" w:rsidRDefault="00976636" w:rsidP="00B72629">
            <w:pPr>
              <w:spacing w:after="0" w:line="276" w:lineRule="auto"/>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t xml:space="preserve">Depending on the service provider selected, the market gap assessments and the addressing of gaps with financial instruments are expected to be presented in detail in summer 2022 as the process of </w:t>
            </w:r>
            <w:r w:rsidRPr="00A66F03">
              <w:rPr>
                <w:rFonts w:ascii="Times New Roman" w:eastAsia="Times New Roman" w:hAnsi="Times New Roman" w:cs="Times New Roman"/>
                <w:lang w:val="en-GB"/>
              </w:rPr>
              <w:lastRenderedPageBreak/>
              <w:t xml:space="preserve">harmonisation of the document has </w:t>
            </w:r>
            <w:r w:rsidRPr="00A66F03">
              <w:rPr>
                <w:rFonts w:ascii="Times New Roman" w:eastAsia="Times New Roman" w:hAnsi="Times New Roman" w:cs="Times New Roman"/>
                <w:lang w:val="en-GB"/>
              </w:rPr>
              <w:t xml:space="preserve">been delayed. The results of the analysis will be taken into account as required. Only then will it be possible to address specific gaps in different investment areas and to design investment strategies for the implementation of financial instruments that </w:t>
            </w:r>
            <w:r w:rsidRPr="00A66F03">
              <w:rPr>
                <w:rFonts w:ascii="Times New Roman" w:eastAsia="Times New Roman" w:hAnsi="Times New Roman" w:cs="Times New Roman"/>
                <w:lang w:val="en-GB"/>
              </w:rPr>
              <w:t>most effectively address the identified gaps. Among other things, the preliminary evaluation should address the possibility of using a mix of financial instruments with other forms of cohesion support effectively in the targeted policies/sectors of the pro</w:t>
            </w:r>
            <w:r w:rsidRPr="00A66F03">
              <w:rPr>
                <w:rFonts w:ascii="Times New Roman" w:eastAsia="Times New Roman" w:hAnsi="Times New Roman" w:cs="Times New Roman"/>
                <w:lang w:val="en-GB"/>
              </w:rPr>
              <w:t xml:space="preserve">gramme to improve the impact and acceptability of financial instruments by private co-investors as well as by final recipients. </w:t>
            </w:r>
          </w:p>
          <w:p w14:paraId="71C1DC11" w14:textId="77777777" w:rsidR="006F31AD" w:rsidRPr="00A66F03" w:rsidRDefault="006F31AD" w:rsidP="00B72629">
            <w:pPr>
              <w:spacing w:after="0" w:line="276" w:lineRule="auto"/>
              <w:jc w:val="both"/>
              <w:rPr>
                <w:rFonts w:ascii="Times New Roman" w:eastAsia="Times New Roman" w:hAnsi="Times New Roman" w:cs="Times New Roman"/>
                <w:lang w:val="en-GB"/>
              </w:rPr>
            </w:pPr>
          </w:p>
          <w:p w14:paraId="35247A41" w14:textId="77777777" w:rsidR="004942FD" w:rsidRPr="00A66F03" w:rsidRDefault="00976636" w:rsidP="00B72629">
            <w:pPr>
              <w:spacing w:after="0" w:line="276" w:lineRule="auto"/>
              <w:jc w:val="both"/>
              <w:rPr>
                <w:rFonts w:ascii="Times New Roman" w:eastAsia="Times New Roman" w:hAnsi="Times New Roman" w:cs="Times New Roman"/>
                <w:sz w:val="24"/>
                <w:szCs w:val="24"/>
                <w:lang w:val="en-GB"/>
              </w:rPr>
            </w:pPr>
            <w:r w:rsidRPr="00A66F03">
              <w:rPr>
                <w:rFonts w:ascii="Times New Roman" w:eastAsia="Times New Roman" w:hAnsi="Times New Roman" w:cs="Times New Roman"/>
                <w:sz w:val="24"/>
                <w:szCs w:val="24"/>
                <w:lang w:val="en-GB"/>
              </w:rPr>
              <w:t xml:space="preserve"> </w:t>
            </w:r>
          </w:p>
        </w:tc>
      </w:tr>
    </w:tbl>
    <w:p w14:paraId="7696054C" w14:textId="77777777" w:rsidR="00A76FF9" w:rsidRPr="00A66F03" w:rsidRDefault="00976636" w:rsidP="00B72629">
      <w:pPr>
        <w:pStyle w:val="Naslov1"/>
        <w:spacing w:before="0" w:line="276" w:lineRule="auto"/>
        <w:rPr>
          <w:rFonts w:eastAsia="Times New Roman" w:cs="Times New Roman"/>
          <w:lang w:val="en-GB"/>
        </w:rPr>
      </w:pPr>
      <w:bookmarkStart w:id="26" w:name="_Toc115336016"/>
      <w:r w:rsidRPr="00A66F03">
        <w:rPr>
          <w:rFonts w:eastAsia="Times New Roman" w:cs="Times New Roman"/>
          <w:bCs/>
          <w:lang w:val="en-GB"/>
        </w:rPr>
        <w:lastRenderedPageBreak/>
        <w:t>3.   Contribution to the InvestEU budgetary guarantee with explanations</w:t>
      </w:r>
      <w:bookmarkEnd w:id="26"/>
      <w:r w:rsidRPr="00A66F03">
        <w:rPr>
          <w:rFonts w:eastAsia="Times New Roman" w:cs="Times New Roman"/>
          <w:bCs/>
          <w:color w:val="444444"/>
          <w:lang w:val="en-GB"/>
        </w:rPr>
        <w:t> </w:t>
      </w:r>
    </w:p>
    <w:p w14:paraId="74563290" w14:textId="77777777" w:rsidR="0042425B" w:rsidRPr="00A66F03" w:rsidRDefault="0042425B" w:rsidP="00B72629">
      <w:pPr>
        <w:shd w:val="clear" w:color="auto" w:fill="FFFFFF"/>
        <w:spacing w:after="0" w:line="276" w:lineRule="auto"/>
        <w:jc w:val="both"/>
        <w:rPr>
          <w:rFonts w:ascii="Times New Roman" w:eastAsia="Times New Roman" w:hAnsi="Times New Roman" w:cs="Times New Roman"/>
          <w:b/>
          <w:bCs/>
          <w:color w:val="444444"/>
          <w:sz w:val="27"/>
          <w:szCs w:val="27"/>
          <w:lang w:val="en-GB"/>
        </w:rPr>
      </w:pPr>
    </w:p>
    <w:p w14:paraId="29DEA531" w14:textId="77777777" w:rsidR="00E861FE" w:rsidRPr="00A66F03" w:rsidRDefault="00976636" w:rsidP="00B72629">
      <w:pPr>
        <w:shd w:val="clear" w:color="auto" w:fill="FFFFFF"/>
        <w:spacing w:after="0" w:line="276" w:lineRule="auto"/>
        <w:jc w:val="both"/>
        <w:rPr>
          <w:rFonts w:ascii="Times New Roman" w:eastAsia="Calibri" w:hAnsi="Times New Roman" w:cs="Times New Roman"/>
          <w:noProof/>
          <w:lang w:val="en-GB"/>
        </w:rPr>
      </w:pPr>
      <w:r w:rsidRPr="00A66F03">
        <w:rPr>
          <w:rFonts w:ascii="Times New Roman" w:hAnsi="Times New Roman" w:cs="Times New Roman"/>
          <w:noProof/>
          <w:lang w:val="en-GB"/>
        </w:rPr>
        <w:t xml:space="preserve">As part of the preliminary market needs </w:t>
      </w:r>
      <w:r w:rsidRPr="00A66F03">
        <w:rPr>
          <w:rFonts w:ascii="Times New Roman" w:hAnsi="Times New Roman" w:cs="Times New Roman"/>
          <w:noProof/>
          <w:lang w:val="en-GB"/>
        </w:rPr>
        <w:t>assessment of the funding gap on the market for the implementation of financial instruments in the 2021–2027 programming period in Slovenia, a comparison and SWOT analysis of the use of financial instruments within Invest EU will be produced in relation to</w:t>
      </w:r>
      <w:r w:rsidRPr="00A66F03">
        <w:rPr>
          <w:rFonts w:ascii="Times New Roman" w:hAnsi="Times New Roman" w:cs="Times New Roman"/>
          <w:noProof/>
          <w:lang w:val="en-GB"/>
        </w:rPr>
        <w:t xml:space="preserve"> the areas and objectives addressed by cohesion policy in the next period. At the current moment, Slovenia still does not have bases for the InvestEU budgetary guarantee contribution from the ERDF, ESF+, Cohesion Fund and EMFAF. According to the legal base</w:t>
      </w:r>
      <w:r w:rsidRPr="00A66F03">
        <w:rPr>
          <w:rFonts w:ascii="Times New Roman" w:hAnsi="Times New Roman" w:cs="Times New Roman"/>
          <w:noProof/>
          <w:lang w:val="en-GB"/>
        </w:rPr>
        <w:t>s, we understand that if it subsequently turns out that part of the ERDF, ESF+, Cohesion Fund and EMFAF need to be directed, we can do this at a later date.</w:t>
      </w:r>
    </w:p>
    <w:p w14:paraId="5D740B69" w14:textId="77777777" w:rsidR="006F31AD" w:rsidRPr="00A66F03" w:rsidRDefault="006F31AD" w:rsidP="00B72629">
      <w:pPr>
        <w:shd w:val="clear" w:color="auto" w:fill="FFFFFF"/>
        <w:spacing w:after="0" w:line="276" w:lineRule="auto"/>
        <w:jc w:val="both"/>
        <w:rPr>
          <w:rFonts w:ascii="Times New Roman" w:eastAsia="Times New Roman" w:hAnsi="Times New Roman" w:cs="Times New Roman"/>
          <w:bCs/>
          <w:color w:val="444444"/>
          <w:sz w:val="24"/>
          <w:szCs w:val="24"/>
          <w:lang w:val="en-GB"/>
        </w:rPr>
      </w:pPr>
    </w:p>
    <w:p w14:paraId="47E6A757" w14:textId="77777777" w:rsidR="00EF3435" w:rsidRPr="00A66F03" w:rsidRDefault="00EF3435" w:rsidP="00B72629">
      <w:pPr>
        <w:shd w:val="clear" w:color="auto" w:fill="FFFFFF"/>
        <w:spacing w:after="0" w:line="276" w:lineRule="auto"/>
        <w:jc w:val="both"/>
        <w:rPr>
          <w:rFonts w:ascii="Times New Roman" w:eastAsia="Times New Roman" w:hAnsi="Times New Roman" w:cs="Times New Roman"/>
          <w:b/>
          <w:bCs/>
          <w:color w:val="444444"/>
          <w:sz w:val="27"/>
          <w:szCs w:val="27"/>
          <w:lang w:val="en-GB"/>
        </w:rPr>
      </w:pPr>
    </w:p>
    <w:p w14:paraId="76AE9988" w14:textId="77777777" w:rsidR="0042425B" w:rsidRPr="00A66F03" w:rsidRDefault="00976636" w:rsidP="00B72629">
      <w:pPr>
        <w:pStyle w:val="Naslov1"/>
        <w:spacing w:before="0" w:line="276" w:lineRule="auto"/>
        <w:rPr>
          <w:rFonts w:eastAsia="Times New Roman" w:cs="Times New Roman"/>
          <w:color w:val="444444"/>
          <w:lang w:val="en-GB"/>
        </w:rPr>
      </w:pPr>
      <w:bookmarkStart w:id="27" w:name="_Toc115336017"/>
      <w:r w:rsidRPr="00A66F03">
        <w:rPr>
          <w:rFonts w:eastAsia="Times New Roman" w:cs="Times New Roman"/>
          <w:bCs/>
          <w:lang w:val="en-GB"/>
        </w:rPr>
        <w:t>4.   Transfers</w:t>
      </w:r>
      <w:bookmarkEnd w:id="27"/>
      <w:r w:rsidRPr="00A66F03">
        <w:rPr>
          <w:rFonts w:eastAsia="Times New Roman" w:cs="Times New Roman"/>
          <w:bCs/>
          <w:color w:val="444444"/>
          <w:lang w:val="en-GB"/>
        </w:rPr>
        <w:t> </w:t>
      </w:r>
    </w:p>
    <w:p w14:paraId="2344E9F3" w14:textId="77777777" w:rsidR="00070AF5" w:rsidRPr="00A66F03" w:rsidRDefault="00070AF5" w:rsidP="00B72629">
      <w:pPr>
        <w:spacing w:after="0" w:line="276" w:lineRule="auto"/>
        <w:rPr>
          <w:rFonts w:ascii="Times New Roman" w:hAnsi="Times New Roman" w:cs="Times New Roman"/>
          <w:lang w:val="en-GB"/>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920"/>
        <w:gridCol w:w="7136"/>
      </w:tblGrid>
      <w:tr w:rsidR="00143DBE" w:rsidRPr="00A66F03" w14:paraId="65138930" w14:textId="77777777" w:rsidTr="00A76FF9">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25CFC65A" w14:textId="77777777" w:rsidR="00A76FF9" w:rsidRPr="00A66F03" w:rsidRDefault="00976636" w:rsidP="00B72629">
            <w:pPr>
              <w:spacing w:after="0" w:line="276" w:lineRule="auto"/>
              <w:rPr>
                <w:rFonts w:ascii="Times New Roman" w:eastAsia="Times New Roman" w:hAnsi="Times New Roman" w:cs="Times New Roman"/>
                <w:lang w:val="en-GB"/>
              </w:rPr>
            </w:pPr>
            <w:r w:rsidRPr="00A66F03">
              <w:rPr>
                <w:rFonts w:ascii="Times New Roman" w:eastAsia="Times New Roman" w:hAnsi="Times New Roman" w:cs="Times New Roman"/>
                <w:lang w:val="en-GB"/>
              </w:rPr>
              <w:t>Member State requests a</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91"/>
              <w:gridCol w:w="6730"/>
            </w:tblGrid>
            <w:tr w:rsidR="00143DBE" w:rsidRPr="00A66F03" w14:paraId="12C4DB1B" w14:textId="77777777">
              <w:tc>
                <w:tcPr>
                  <w:tcW w:w="0" w:type="auto"/>
                  <w:shd w:val="clear" w:color="auto" w:fill="auto"/>
                  <w:hideMark/>
                </w:tcPr>
                <w:p w14:paraId="2EF93194" w14:textId="77777777" w:rsidR="00A76FF9" w:rsidRPr="00A66F03" w:rsidRDefault="00976636" w:rsidP="00B72629">
                  <w:pPr>
                    <w:spacing w:after="0" w:line="276" w:lineRule="auto"/>
                    <w:jc w:val="both"/>
                    <w:rPr>
                      <w:rFonts w:ascii="Times New Roman" w:eastAsia="Times New Roman" w:hAnsi="Times New Roman" w:cs="Times New Roman"/>
                      <w:sz w:val="24"/>
                      <w:szCs w:val="24"/>
                      <w:lang w:val="en-GB"/>
                    </w:rPr>
                  </w:pPr>
                  <w:r w:rsidRPr="00A66F03">
                    <w:rPr>
                      <w:rFonts w:ascii="Segoe UI Symbol" w:eastAsia="Times New Roman" w:hAnsi="Segoe UI Symbol" w:cs="Segoe UI Symbol"/>
                      <w:sz w:val="24"/>
                      <w:szCs w:val="24"/>
                      <w:lang w:val="en-GB"/>
                    </w:rPr>
                    <w:t>☐</w:t>
                  </w:r>
                </w:p>
              </w:tc>
              <w:tc>
                <w:tcPr>
                  <w:tcW w:w="0" w:type="auto"/>
                  <w:shd w:val="clear" w:color="auto" w:fill="auto"/>
                  <w:hideMark/>
                </w:tcPr>
                <w:p w14:paraId="28EFCE2A" w14:textId="77777777" w:rsidR="00A76FF9" w:rsidRPr="00A66F03" w:rsidRDefault="00976636" w:rsidP="00B72629">
                  <w:pPr>
                    <w:spacing w:after="0" w:line="276" w:lineRule="auto"/>
                    <w:jc w:val="both"/>
                    <w:rPr>
                      <w:rFonts w:ascii="Times New Roman" w:eastAsia="Times New Roman" w:hAnsi="Times New Roman" w:cs="Times New Roman"/>
                      <w:sz w:val="24"/>
                      <w:szCs w:val="24"/>
                      <w:lang w:val="en-GB"/>
                    </w:rPr>
                  </w:pPr>
                  <w:r w:rsidRPr="00A66F03">
                    <w:rPr>
                      <w:rFonts w:ascii="Times New Roman" w:eastAsia="Times New Roman" w:hAnsi="Times New Roman" w:cs="Times New Roman"/>
                      <w:sz w:val="24"/>
                      <w:szCs w:val="24"/>
                      <w:lang w:val="en-GB"/>
                    </w:rPr>
                    <w:t>transfer between categories of region</w:t>
                  </w:r>
                </w:p>
              </w:tc>
            </w:tr>
          </w:tbl>
          <w:p w14:paraId="251656FA" w14:textId="77777777" w:rsidR="00A76FF9" w:rsidRPr="00A66F03" w:rsidRDefault="00A76FF9" w:rsidP="00B72629">
            <w:pPr>
              <w:spacing w:after="0" w:line="276" w:lineRule="auto"/>
              <w:rPr>
                <w:rFonts w:ascii="Times New Roman" w:eastAsia="Times New Roman" w:hAnsi="Times New Roman" w:cs="Times New Roman"/>
                <w:sz w:val="24"/>
                <w:szCs w:val="24"/>
                <w:lang w:val="en-GB"/>
              </w:rPr>
            </w:pPr>
          </w:p>
        </w:tc>
      </w:tr>
      <w:tr w:rsidR="00143DBE" w:rsidRPr="00A66F03" w14:paraId="0DCDE55E" w14:textId="77777777" w:rsidTr="00A76FF9">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82E482" w14:textId="77777777" w:rsidR="00A76FF9" w:rsidRPr="00A66F03" w:rsidRDefault="00A76FF9" w:rsidP="00B72629">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7"/>
              <w:gridCol w:w="7114"/>
            </w:tblGrid>
            <w:tr w:rsidR="00143DBE" w:rsidRPr="00A66F03" w14:paraId="21745BD0" w14:textId="77777777">
              <w:tc>
                <w:tcPr>
                  <w:tcW w:w="0" w:type="auto"/>
                  <w:shd w:val="clear" w:color="auto" w:fill="auto"/>
                  <w:hideMark/>
                </w:tcPr>
                <w:p w14:paraId="6D85228B" w14:textId="77777777" w:rsidR="00A76FF9" w:rsidRPr="00A66F03" w:rsidRDefault="00A76FF9" w:rsidP="00B72629">
                  <w:pPr>
                    <w:spacing w:after="0" w:line="276" w:lineRule="auto"/>
                    <w:jc w:val="both"/>
                    <w:rPr>
                      <w:rFonts w:ascii="Times New Roman" w:eastAsia="Times New Roman" w:hAnsi="Times New Roman" w:cs="Times New Roman"/>
                      <w:sz w:val="24"/>
                      <w:szCs w:val="24"/>
                      <w:lang w:val="en-GB"/>
                    </w:rPr>
                  </w:pPr>
                </w:p>
              </w:tc>
              <w:tc>
                <w:tcPr>
                  <w:tcW w:w="0" w:type="auto"/>
                  <w:shd w:val="clear" w:color="auto" w:fill="auto"/>
                  <w:hideMark/>
                </w:tcPr>
                <w:p w14:paraId="278B2E1A" w14:textId="77777777" w:rsidR="00A76FF9" w:rsidRPr="00A66F03" w:rsidRDefault="00976636" w:rsidP="00B72629">
                  <w:pPr>
                    <w:pStyle w:val="Odstavekseznama"/>
                    <w:spacing w:after="0" w:line="276" w:lineRule="auto"/>
                    <w:ind w:left="0"/>
                    <w:jc w:val="both"/>
                    <w:rPr>
                      <w:rFonts w:ascii="Times New Roman" w:eastAsia="Times New Roman" w:hAnsi="Times New Roman" w:cs="Times New Roman"/>
                      <w:sz w:val="24"/>
                      <w:szCs w:val="24"/>
                    </w:rPr>
                  </w:pPr>
                  <w:r w:rsidRPr="00A66F03">
                    <w:rPr>
                      <w:rFonts w:ascii="Segoe UI Symbol" w:eastAsia="Times New Roman" w:hAnsi="Segoe UI Symbol"/>
                      <w:sz w:val="24"/>
                      <w:szCs w:val="24"/>
                    </w:rPr>
                    <w:t xml:space="preserve">☐ </w:t>
                  </w:r>
                  <w:r w:rsidRPr="00A66F03">
                    <w:rPr>
                      <w:rFonts w:ascii="Times New Roman" w:eastAsia="Times New Roman" w:hAnsi="Times New Roman"/>
                      <w:sz w:val="24"/>
                      <w:szCs w:val="24"/>
                    </w:rPr>
                    <w:t xml:space="preserve">transfer </w:t>
                  </w:r>
                  <w:r w:rsidRPr="00A66F03">
                    <w:rPr>
                      <w:rFonts w:ascii="Times New Roman" w:eastAsia="Times New Roman" w:hAnsi="Times New Roman"/>
                      <w:sz w:val="24"/>
                      <w:szCs w:val="24"/>
                    </w:rPr>
                    <w:t>to instruments under direct or indirect management</w:t>
                  </w:r>
                </w:p>
              </w:tc>
            </w:tr>
          </w:tbl>
          <w:p w14:paraId="07F2EF2A" w14:textId="77777777" w:rsidR="00A76FF9" w:rsidRPr="00A66F03" w:rsidRDefault="00A76FF9" w:rsidP="00B72629">
            <w:pPr>
              <w:spacing w:after="0" w:line="276" w:lineRule="auto"/>
              <w:rPr>
                <w:rFonts w:ascii="Times New Roman" w:eastAsia="Times New Roman" w:hAnsi="Times New Roman" w:cs="Times New Roman"/>
                <w:sz w:val="24"/>
                <w:szCs w:val="24"/>
                <w:lang w:val="en-GB"/>
              </w:rPr>
            </w:pPr>
          </w:p>
        </w:tc>
      </w:tr>
      <w:tr w:rsidR="00143DBE" w:rsidRPr="00A66F03" w14:paraId="7D40CBF1" w14:textId="77777777" w:rsidTr="00A76FF9">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EE50916" w14:textId="77777777" w:rsidR="00A76FF9" w:rsidRPr="00A66F03" w:rsidRDefault="00976636" w:rsidP="00B72629">
            <w:pPr>
              <w:spacing w:after="0" w:line="276" w:lineRule="auto"/>
              <w:jc w:val="both"/>
              <w:rPr>
                <w:rFonts w:ascii="Times New Roman" w:eastAsia="Times New Roman" w:hAnsi="Times New Roman" w:cs="Times New Roman"/>
                <w:sz w:val="24"/>
                <w:szCs w:val="24"/>
                <w:lang w:val="en-GB"/>
              </w:rPr>
            </w:pPr>
            <w:r w:rsidRPr="00A66F03">
              <w:rPr>
                <w:rFonts w:ascii="Times New Roman" w:eastAsia="Times New Roman" w:hAnsi="Times New Roman" w:cs="Times New Roman"/>
                <w:sz w:val="24"/>
                <w:szCs w:val="24"/>
                <w:lang w:val="en-GB"/>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6"/>
              <w:gridCol w:w="7115"/>
            </w:tblGrid>
            <w:tr w:rsidR="00143DBE" w:rsidRPr="00A66F03" w14:paraId="32DB97DC" w14:textId="77777777" w:rsidTr="00631DA2">
              <w:tc>
                <w:tcPr>
                  <w:tcW w:w="0" w:type="auto"/>
                  <w:shd w:val="clear" w:color="auto" w:fill="000000" w:themeFill="text1"/>
                  <w:hideMark/>
                </w:tcPr>
                <w:p w14:paraId="239A64D7" w14:textId="77777777" w:rsidR="00A76FF9" w:rsidRPr="00A66F03" w:rsidRDefault="00A76FF9" w:rsidP="00B72629">
                  <w:pPr>
                    <w:pStyle w:val="Odstavekseznama"/>
                    <w:numPr>
                      <w:ilvl w:val="0"/>
                      <w:numId w:val="19"/>
                    </w:numPr>
                    <w:spacing w:after="0" w:line="276" w:lineRule="auto"/>
                    <w:jc w:val="both"/>
                    <w:rPr>
                      <w:rFonts w:ascii="Times New Roman" w:eastAsia="Times New Roman" w:hAnsi="Times New Roman" w:cs="Times New Roman"/>
                      <w:sz w:val="24"/>
                      <w:szCs w:val="24"/>
                    </w:rPr>
                  </w:pPr>
                </w:p>
              </w:tc>
              <w:tc>
                <w:tcPr>
                  <w:tcW w:w="0" w:type="auto"/>
                  <w:shd w:val="clear" w:color="auto" w:fill="auto"/>
                  <w:hideMark/>
                </w:tcPr>
                <w:p w14:paraId="751B4965" w14:textId="77777777" w:rsidR="00A76FF9" w:rsidRPr="00A66F03" w:rsidRDefault="00976636" w:rsidP="00B72629">
                  <w:pPr>
                    <w:pStyle w:val="Odstavekseznama"/>
                    <w:numPr>
                      <w:ilvl w:val="0"/>
                      <w:numId w:val="19"/>
                    </w:numPr>
                    <w:spacing w:after="0" w:line="276" w:lineRule="auto"/>
                    <w:jc w:val="both"/>
                    <w:rPr>
                      <w:rFonts w:ascii="Times New Roman" w:eastAsia="Times New Roman" w:hAnsi="Times New Roman" w:cs="Times New Roman"/>
                      <w:sz w:val="24"/>
                      <w:szCs w:val="24"/>
                    </w:rPr>
                  </w:pPr>
                  <w:r w:rsidRPr="00A66F03">
                    <w:rPr>
                      <w:rFonts w:ascii="Times New Roman" w:eastAsia="Times New Roman" w:hAnsi="Times New Roman" w:cs="Times New Roman"/>
                      <w:sz w:val="24"/>
                      <w:szCs w:val="24"/>
                    </w:rPr>
                    <w:t>transfer between the ERDF, ESF+ or Cohesion Fund or to another fund or funds</w:t>
                  </w:r>
                </w:p>
              </w:tc>
            </w:tr>
          </w:tbl>
          <w:p w14:paraId="2D5DA99E" w14:textId="77777777" w:rsidR="00A76FF9" w:rsidRPr="00A66F03" w:rsidRDefault="00A76FF9" w:rsidP="00B72629">
            <w:pPr>
              <w:spacing w:after="0" w:line="276" w:lineRule="auto"/>
              <w:rPr>
                <w:rFonts w:ascii="Times New Roman" w:eastAsia="Times New Roman" w:hAnsi="Times New Roman" w:cs="Times New Roman"/>
                <w:sz w:val="24"/>
                <w:szCs w:val="24"/>
                <w:lang w:val="en-GB"/>
              </w:rPr>
            </w:pPr>
          </w:p>
        </w:tc>
      </w:tr>
      <w:tr w:rsidR="00143DBE" w:rsidRPr="00A66F03" w14:paraId="4D7DFF00" w14:textId="77777777" w:rsidTr="00A76FF9">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9DCC992" w14:textId="77777777" w:rsidR="00A76FF9" w:rsidRPr="00A66F03" w:rsidRDefault="00976636" w:rsidP="00B72629">
            <w:pPr>
              <w:spacing w:after="0" w:line="276" w:lineRule="auto"/>
              <w:jc w:val="both"/>
              <w:rPr>
                <w:rFonts w:ascii="Times New Roman" w:eastAsia="Times New Roman" w:hAnsi="Times New Roman" w:cs="Times New Roman"/>
                <w:sz w:val="24"/>
                <w:szCs w:val="24"/>
                <w:lang w:val="en-GB"/>
              </w:rPr>
            </w:pPr>
            <w:r w:rsidRPr="00A66F03">
              <w:rPr>
                <w:rFonts w:ascii="Times New Roman" w:eastAsia="Times New Roman" w:hAnsi="Times New Roman" w:cs="Times New Roman"/>
                <w:sz w:val="24"/>
                <w:szCs w:val="24"/>
                <w:lang w:val="en-GB"/>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07"/>
              <w:gridCol w:w="6914"/>
            </w:tblGrid>
            <w:tr w:rsidR="00143DBE" w:rsidRPr="00A66F03" w14:paraId="24FD895B" w14:textId="77777777">
              <w:tc>
                <w:tcPr>
                  <w:tcW w:w="0" w:type="auto"/>
                  <w:shd w:val="clear" w:color="auto" w:fill="auto"/>
                  <w:hideMark/>
                </w:tcPr>
                <w:p w14:paraId="662DCAF7" w14:textId="77777777" w:rsidR="00A76FF9" w:rsidRPr="00A66F03" w:rsidRDefault="00976636" w:rsidP="00B72629">
                  <w:pPr>
                    <w:spacing w:after="0" w:line="276" w:lineRule="auto"/>
                    <w:jc w:val="both"/>
                    <w:rPr>
                      <w:rFonts w:ascii="Times New Roman" w:eastAsia="Times New Roman" w:hAnsi="Times New Roman" w:cs="Times New Roman"/>
                      <w:sz w:val="24"/>
                      <w:szCs w:val="24"/>
                      <w:lang w:val="en-GB"/>
                    </w:rPr>
                  </w:pPr>
                  <w:r w:rsidRPr="00A66F03">
                    <w:rPr>
                      <w:rFonts w:ascii="Segoe UI Symbol" w:eastAsia="Times New Roman" w:hAnsi="Segoe UI Symbol" w:cs="Segoe UI Symbol"/>
                      <w:sz w:val="24"/>
                      <w:szCs w:val="24"/>
                      <w:lang w:val="en-GB"/>
                    </w:rPr>
                    <w:t>☐</w:t>
                  </w:r>
                </w:p>
              </w:tc>
              <w:tc>
                <w:tcPr>
                  <w:tcW w:w="0" w:type="auto"/>
                  <w:shd w:val="clear" w:color="auto" w:fill="auto"/>
                  <w:hideMark/>
                </w:tcPr>
                <w:p w14:paraId="05D05946" w14:textId="77777777" w:rsidR="00A76FF9" w:rsidRPr="00A66F03" w:rsidRDefault="00976636" w:rsidP="00B72629">
                  <w:pPr>
                    <w:spacing w:after="0" w:line="276" w:lineRule="auto"/>
                    <w:jc w:val="both"/>
                    <w:rPr>
                      <w:rFonts w:ascii="Times New Roman" w:eastAsia="Times New Roman" w:hAnsi="Times New Roman" w:cs="Times New Roman"/>
                      <w:sz w:val="24"/>
                      <w:szCs w:val="24"/>
                      <w:lang w:val="en-GB"/>
                    </w:rPr>
                  </w:pPr>
                  <w:r w:rsidRPr="00A66F03">
                    <w:rPr>
                      <w:rFonts w:ascii="Times New Roman" w:eastAsia="Times New Roman" w:hAnsi="Times New Roman" w:cs="Times New Roman"/>
                      <w:sz w:val="24"/>
                      <w:szCs w:val="24"/>
                      <w:lang w:val="en-GB"/>
                    </w:rPr>
                    <w:t>transfer of ERDF and ESF+ resources as complementary support to the JTF</w:t>
                  </w:r>
                </w:p>
              </w:tc>
            </w:tr>
          </w:tbl>
          <w:p w14:paraId="2D8B2101" w14:textId="77777777" w:rsidR="00A76FF9" w:rsidRPr="00A66F03" w:rsidRDefault="00A76FF9" w:rsidP="00B72629">
            <w:pPr>
              <w:spacing w:after="0" w:line="276" w:lineRule="auto"/>
              <w:rPr>
                <w:rFonts w:ascii="Times New Roman" w:eastAsia="Times New Roman" w:hAnsi="Times New Roman" w:cs="Times New Roman"/>
                <w:sz w:val="24"/>
                <w:szCs w:val="24"/>
                <w:lang w:val="en-GB"/>
              </w:rPr>
            </w:pPr>
          </w:p>
        </w:tc>
      </w:tr>
      <w:tr w:rsidR="00143DBE" w:rsidRPr="00A66F03" w14:paraId="1263C021" w14:textId="77777777" w:rsidTr="00A76FF9">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5AC8275" w14:textId="77777777" w:rsidR="00A76FF9" w:rsidRPr="00A66F03" w:rsidRDefault="00976636" w:rsidP="00B72629">
            <w:pPr>
              <w:spacing w:after="0" w:line="276" w:lineRule="auto"/>
              <w:jc w:val="both"/>
              <w:rPr>
                <w:rFonts w:ascii="Times New Roman" w:eastAsia="Times New Roman" w:hAnsi="Times New Roman" w:cs="Times New Roman"/>
                <w:sz w:val="24"/>
                <w:szCs w:val="24"/>
                <w:lang w:val="en-GB"/>
              </w:rPr>
            </w:pPr>
            <w:r w:rsidRPr="00A66F03">
              <w:rPr>
                <w:rFonts w:ascii="Times New Roman" w:eastAsia="Times New Roman" w:hAnsi="Times New Roman" w:cs="Times New Roman"/>
                <w:sz w:val="24"/>
                <w:szCs w:val="24"/>
                <w:lang w:val="en-GB"/>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07"/>
              <w:gridCol w:w="6914"/>
            </w:tblGrid>
            <w:tr w:rsidR="00143DBE" w:rsidRPr="00A66F03" w14:paraId="54A702F4" w14:textId="77777777">
              <w:tc>
                <w:tcPr>
                  <w:tcW w:w="0" w:type="auto"/>
                  <w:shd w:val="clear" w:color="auto" w:fill="auto"/>
                  <w:hideMark/>
                </w:tcPr>
                <w:p w14:paraId="7615AC13" w14:textId="77777777" w:rsidR="00A76FF9" w:rsidRPr="00A66F03" w:rsidRDefault="00976636" w:rsidP="00B72629">
                  <w:pPr>
                    <w:spacing w:after="0" w:line="276" w:lineRule="auto"/>
                    <w:jc w:val="both"/>
                    <w:rPr>
                      <w:rFonts w:ascii="Times New Roman" w:eastAsia="Times New Roman" w:hAnsi="Times New Roman" w:cs="Times New Roman"/>
                      <w:sz w:val="24"/>
                      <w:szCs w:val="24"/>
                      <w:lang w:val="en-GB"/>
                    </w:rPr>
                  </w:pPr>
                  <w:r w:rsidRPr="00A66F03">
                    <w:rPr>
                      <w:rFonts w:ascii="Segoe UI Symbol" w:eastAsia="Times New Roman" w:hAnsi="Segoe UI Symbol" w:cs="Segoe UI Symbol"/>
                      <w:sz w:val="24"/>
                      <w:szCs w:val="24"/>
                      <w:lang w:val="en-GB"/>
                    </w:rPr>
                    <w:t>☐</w:t>
                  </w:r>
                </w:p>
              </w:tc>
              <w:tc>
                <w:tcPr>
                  <w:tcW w:w="0" w:type="auto"/>
                  <w:shd w:val="clear" w:color="auto" w:fill="auto"/>
                  <w:hideMark/>
                </w:tcPr>
                <w:p w14:paraId="3877528F" w14:textId="77777777" w:rsidR="00A76FF9" w:rsidRPr="00A66F03" w:rsidRDefault="00976636" w:rsidP="00B72629">
                  <w:pPr>
                    <w:spacing w:after="0" w:line="276" w:lineRule="auto"/>
                    <w:jc w:val="both"/>
                    <w:rPr>
                      <w:rFonts w:ascii="Times New Roman" w:eastAsia="Times New Roman" w:hAnsi="Times New Roman" w:cs="Times New Roman"/>
                      <w:sz w:val="24"/>
                      <w:szCs w:val="24"/>
                      <w:lang w:val="en-GB"/>
                    </w:rPr>
                  </w:pPr>
                  <w:r w:rsidRPr="00A66F03">
                    <w:rPr>
                      <w:rFonts w:ascii="Times New Roman" w:eastAsia="Times New Roman" w:hAnsi="Times New Roman" w:cs="Times New Roman"/>
                      <w:sz w:val="24"/>
                      <w:szCs w:val="24"/>
                      <w:lang w:val="en-GB"/>
                    </w:rPr>
                    <w:t xml:space="preserve">transfers from European territorial </w:t>
                  </w:r>
                  <w:r w:rsidRPr="00A66F03">
                    <w:rPr>
                      <w:rFonts w:ascii="Times New Roman" w:eastAsia="Times New Roman" w:hAnsi="Times New Roman" w:cs="Times New Roman"/>
                      <w:sz w:val="24"/>
                      <w:szCs w:val="24"/>
                      <w:lang w:val="en-GB"/>
                    </w:rPr>
                    <w:t>cooperation to the investment for jobs and growth</w:t>
                  </w:r>
                </w:p>
              </w:tc>
            </w:tr>
          </w:tbl>
          <w:p w14:paraId="26291DAA" w14:textId="77777777" w:rsidR="00A76FF9" w:rsidRPr="00A66F03" w:rsidRDefault="00A76FF9" w:rsidP="00B72629">
            <w:pPr>
              <w:spacing w:after="0" w:line="276" w:lineRule="auto"/>
              <w:rPr>
                <w:rFonts w:ascii="Times New Roman" w:eastAsia="Times New Roman" w:hAnsi="Times New Roman" w:cs="Times New Roman"/>
                <w:sz w:val="24"/>
                <w:szCs w:val="24"/>
                <w:lang w:val="en-GB"/>
              </w:rPr>
            </w:pPr>
          </w:p>
        </w:tc>
      </w:tr>
    </w:tbl>
    <w:p w14:paraId="17CE5C67" w14:textId="77777777" w:rsidR="00DB039B" w:rsidRPr="00A66F03" w:rsidRDefault="00DB039B" w:rsidP="00B72629">
      <w:pPr>
        <w:shd w:val="clear" w:color="auto" w:fill="FFFFFF"/>
        <w:spacing w:after="0" w:line="276" w:lineRule="auto"/>
        <w:jc w:val="both"/>
        <w:rPr>
          <w:rFonts w:ascii="Times New Roman" w:eastAsia="Times New Roman" w:hAnsi="Times New Roman" w:cs="Times New Roman"/>
          <w:bCs/>
          <w:color w:val="5B9BD5" w:themeColor="accent1"/>
          <w:sz w:val="27"/>
          <w:szCs w:val="27"/>
          <w:lang w:val="en-GB"/>
        </w:rPr>
      </w:pPr>
    </w:p>
    <w:p w14:paraId="62BB878D" w14:textId="77777777" w:rsidR="00AB155F" w:rsidRPr="00A66F03" w:rsidRDefault="00976636" w:rsidP="00B72629">
      <w:pPr>
        <w:pStyle w:val="Naslov2"/>
        <w:spacing w:before="0" w:line="276" w:lineRule="auto"/>
        <w:rPr>
          <w:rFonts w:eastAsia="Times New Roman" w:cs="Times New Roman"/>
          <w:lang w:val="en-GB"/>
        </w:rPr>
      </w:pPr>
      <w:bookmarkStart w:id="28" w:name="_Toc115336018"/>
      <w:r w:rsidRPr="00A66F03">
        <w:rPr>
          <w:rFonts w:eastAsia="Times New Roman" w:cs="Times New Roman"/>
          <w:lang w:val="en-GB"/>
        </w:rPr>
        <w:t>4.1 Transfer between categories of region</w:t>
      </w:r>
      <w:bookmarkEnd w:id="28"/>
    </w:p>
    <w:p w14:paraId="4F4C0589" w14:textId="77777777" w:rsidR="00A27B47" w:rsidRPr="00A66F03" w:rsidRDefault="00A27B47" w:rsidP="00B72629">
      <w:pPr>
        <w:shd w:val="clear" w:color="auto" w:fill="FFFFFF"/>
        <w:spacing w:after="0" w:line="276" w:lineRule="auto"/>
        <w:jc w:val="both"/>
        <w:rPr>
          <w:rFonts w:ascii="Times New Roman" w:eastAsia="Times New Roman" w:hAnsi="Times New Roman" w:cs="Times New Roman"/>
          <w:bCs/>
          <w:color w:val="5B9BD5" w:themeColor="accent1"/>
          <w:sz w:val="27"/>
          <w:szCs w:val="27"/>
          <w:lang w:val="en-GB"/>
        </w:rPr>
      </w:pPr>
    </w:p>
    <w:p w14:paraId="327D4664" w14:textId="77777777" w:rsidR="00AB155F" w:rsidRPr="00A66F03" w:rsidRDefault="00976636" w:rsidP="00B72629">
      <w:pPr>
        <w:shd w:val="clear" w:color="auto" w:fill="FFFFFF"/>
        <w:spacing w:after="0" w:line="276" w:lineRule="auto"/>
        <w:jc w:val="both"/>
        <w:rPr>
          <w:rFonts w:ascii="Times New Roman" w:eastAsia="Times New Roman" w:hAnsi="Times New Roman" w:cs="Times New Roman"/>
          <w:bCs/>
          <w:color w:val="444444"/>
          <w:lang w:val="en-GB"/>
        </w:rPr>
      </w:pPr>
      <w:r w:rsidRPr="00A66F03">
        <w:rPr>
          <w:rFonts w:ascii="Times New Roman" w:eastAsia="Times New Roman" w:hAnsi="Times New Roman" w:cs="Times New Roman"/>
          <w:color w:val="444444"/>
          <w:lang w:val="en-GB"/>
        </w:rPr>
        <w:t>Transfer between categories of region is not envisaged.</w:t>
      </w:r>
    </w:p>
    <w:p w14:paraId="0B023A35" w14:textId="77777777" w:rsidR="00091860" w:rsidRPr="00A66F03" w:rsidRDefault="00091860" w:rsidP="00B72629">
      <w:pPr>
        <w:shd w:val="clear" w:color="auto" w:fill="FFFFFF"/>
        <w:spacing w:after="0" w:line="276" w:lineRule="auto"/>
        <w:jc w:val="both"/>
        <w:rPr>
          <w:rFonts w:ascii="Times New Roman" w:eastAsia="Times New Roman" w:hAnsi="Times New Roman" w:cs="Times New Roman"/>
          <w:bCs/>
          <w:color w:val="5B9BD5" w:themeColor="accent1"/>
          <w:sz w:val="27"/>
          <w:szCs w:val="27"/>
          <w:lang w:val="en-GB"/>
        </w:rPr>
      </w:pPr>
    </w:p>
    <w:p w14:paraId="6F7FA87E" w14:textId="77777777" w:rsidR="00EF27ED" w:rsidRPr="00A66F03" w:rsidRDefault="00EF27ED" w:rsidP="00B72629">
      <w:pPr>
        <w:shd w:val="clear" w:color="auto" w:fill="FFFFFF"/>
        <w:spacing w:after="0" w:line="276" w:lineRule="auto"/>
        <w:jc w:val="both"/>
        <w:rPr>
          <w:rFonts w:ascii="Times New Roman" w:eastAsia="Times New Roman" w:hAnsi="Times New Roman" w:cs="Times New Roman"/>
          <w:bCs/>
          <w:color w:val="5B9BD5" w:themeColor="accent1"/>
          <w:sz w:val="27"/>
          <w:szCs w:val="27"/>
          <w:lang w:val="en-GB"/>
        </w:rPr>
      </w:pPr>
    </w:p>
    <w:p w14:paraId="0F6FCE2E" w14:textId="77777777" w:rsidR="00D75BBC" w:rsidRPr="00A66F03" w:rsidRDefault="00976636" w:rsidP="00B72629">
      <w:pPr>
        <w:pStyle w:val="Naslov2"/>
        <w:spacing w:before="0" w:line="276" w:lineRule="auto"/>
        <w:rPr>
          <w:rFonts w:eastAsia="Times New Roman" w:cs="Times New Roman"/>
          <w:lang w:val="en-GB"/>
        </w:rPr>
      </w:pPr>
      <w:bookmarkStart w:id="29" w:name="_Toc115336019"/>
      <w:r w:rsidRPr="00A66F03">
        <w:rPr>
          <w:rFonts w:eastAsia="Times New Roman" w:cs="Times New Roman"/>
          <w:lang w:val="en-GB"/>
        </w:rPr>
        <w:t>4.2 Transfers to instruments under direct or indirect management</w:t>
      </w:r>
      <w:bookmarkEnd w:id="29"/>
    </w:p>
    <w:p w14:paraId="4F457D79" w14:textId="77777777" w:rsidR="00D75BBC" w:rsidRPr="00A66F03" w:rsidRDefault="00D75BBC" w:rsidP="00B72629">
      <w:pPr>
        <w:shd w:val="clear" w:color="auto" w:fill="FFFFFF"/>
        <w:spacing w:after="0" w:line="276" w:lineRule="auto"/>
        <w:jc w:val="both"/>
        <w:rPr>
          <w:rFonts w:ascii="Times New Roman" w:eastAsia="Times New Roman" w:hAnsi="Times New Roman" w:cs="Times New Roman"/>
          <w:bCs/>
          <w:color w:val="5B9BD5" w:themeColor="accent1"/>
          <w:sz w:val="27"/>
          <w:szCs w:val="27"/>
          <w:lang w:val="en-GB"/>
        </w:rPr>
      </w:pPr>
    </w:p>
    <w:p w14:paraId="37EB5EBA" w14:textId="77777777" w:rsidR="00EF27ED" w:rsidRPr="00A66F03" w:rsidRDefault="00976636" w:rsidP="00B72629">
      <w:pPr>
        <w:shd w:val="clear" w:color="auto" w:fill="FFFFFF"/>
        <w:spacing w:after="0" w:line="276" w:lineRule="auto"/>
        <w:jc w:val="both"/>
        <w:rPr>
          <w:rFonts w:ascii="Times New Roman" w:eastAsia="Times New Roman" w:hAnsi="Times New Roman" w:cs="Times New Roman"/>
          <w:bCs/>
          <w:color w:val="444444"/>
          <w:lang w:val="en-GB"/>
        </w:rPr>
      </w:pPr>
      <w:r w:rsidRPr="00A66F03">
        <w:rPr>
          <w:rFonts w:ascii="Times New Roman" w:eastAsia="Times New Roman" w:hAnsi="Times New Roman" w:cs="Times New Roman"/>
          <w:color w:val="444444"/>
          <w:lang w:val="en-GB"/>
        </w:rPr>
        <w:t xml:space="preserve">Transfers to instruments under </w:t>
      </w:r>
      <w:r w:rsidRPr="00A66F03">
        <w:rPr>
          <w:rFonts w:ascii="Times New Roman" w:eastAsia="Times New Roman" w:hAnsi="Times New Roman" w:cs="Times New Roman"/>
          <w:color w:val="444444"/>
          <w:lang w:val="en-GB"/>
        </w:rPr>
        <w:t>direct or indirect management are not envisaged.</w:t>
      </w:r>
    </w:p>
    <w:p w14:paraId="5B9DE241" w14:textId="77777777" w:rsidR="00EF27ED" w:rsidRPr="00A66F03" w:rsidRDefault="00EF27ED" w:rsidP="00B72629">
      <w:pPr>
        <w:pStyle w:val="Naslov2"/>
        <w:spacing w:before="0" w:line="276" w:lineRule="auto"/>
        <w:rPr>
          <w:rFonts w:eastAsia="Times New Roman" w:cs="Times New Roman"/>
          <w:bCs/>
          <w:color w:val="444444"/>
          <w:lang w:val="en-GB"/>
        </w:rPr>
      </w:pPr>
    </w:p>
    <w:p w14:paraId="52FDCBE7" w14:textId="77777777" w:rsidR="00EF27ED" w:rsidRPr="00A66F03" w:rsidRDefault="00EF27ED" w:rsidP="00B72629">
      <w:pPr>
        <w:spacing w:after="0" w:line="276" w:lineRule="auto"/>
        <w:rPr>
          <w:lang w:val="en-GB"/>
        </w:rPr>
      </w:pPr>
    </w:p>
    <w:p w14:paraId="6D843328" w14:textId="77777777" w:rsidR="00A91930" w:rsidRPr="00A66F03" w:rsidRDefault="00976636" w:rsidP="00A91930">
      <w:pPr>
        <w:pStyle w:val="Naslov2"/>
        <w:spacing w:before="0" w:line="276" w:lineRule="auto"/>
        <w:rPr>
          <w:rFonts w:eastAsia="Times New Roman" w:cs="Times New Roman"/>
          <w:lang w:val="en-GB"/>
        </w:rPr>
      </w:pPr>
      <w:bookmarkStart w:id="30" w:name="_Toc115336020"/>
      <w:r w:rsidRPr="00A66F03">
        <w:rPr>
          <w:rFonts w:eastAsia="Times New Roman" w:cs="Times New Roman"/>
          <w:lang w:val="en-GB"/>
        </w:rPr>
        <w:lastRenderedPageBreak/>
        <w:t>4.3 Transfers between ERDF, ESF+ or Cohesion Fund or to another fund or funds</w:t>
      </w:r>
      <w:bookmarkEnd w:id="30"/>
    </w:p>
    <w:p w14:paraId="03AB885C" w14:textId="77777777" w:rsidR="00091860" w:rsidRPr="00A66F03" w:rsidRDefault="00091860" w:rsidP="00B72629">
      <w:pPr>
        <w:shd w:val="clear" w:color="auto" w:fill="FFFFFF"/>
        <w:spacing w:after="0" w:line="276" w:lineRule="auto"/>
        <w:jc w:val="center"/>
        <w:rPr>
          <w:rFonts w:ascii="Times New Roman" w:eastAsia="Times New Roman" w:hAnsi="Times New Roman" w:cs="Times New Roman"/>
          <w:b/>
          <w:bCs/>
          <w:color w:val="444444"/>
          <w:sz w:val="27"/>
          <w:szCs w:val="27"/>
          <w:lang w:val="en-GB"/>
        </w:rPr>
      </w:pPr>
    </w:p>
    <w:p w14:paraId="669AEA97" w14:textId="77777777" w:rsidR="00E26663" w:rsidRPr="00A66F03" w:rsidRDefault="00976636" w:rsidP="00B72629">
      <w:pPr>
        <w:shd w:val="clear" w:color="auto" w:fill="FFFFFF"/>
        <w:spacing w:after="0" w:line="276" w:lineRule="auto"/>
        <w:jc w:val="both"/>
        <w:rPr>
          <w:rFonts w:ascii="Times New Roman" w:eastAsia="Times New Roman" w:hAnsi="Times New Roman" w:cs="Times New Roman"/>
          <w:color w:val="444444"/>
          <w:sz w:val="24"/>
          <w:szCs w:val="24"/>
          <w:lang w:val="en-GB"/>
        </w:rPr>
      </w:pPr>
      <w:r w:rsidRPr="00A66F03">
        <w:rPr>
          <w:rFonts w:ascii="Times New Roman" w:eastAsia="Times New Roman" w:hAnsi="Times New Roman" w:cs="Times New Roman"/>
          <w:color w:val="444444"/>
          <w:sz w:val="24"/>
          <w:szCs w:val="24"/>
          <w:lang w:val="en-GB"/>
        </w:rPr>
        <w:t>Table 5A: Transfers between ERDF, ESF+ or Cohesion Fund or to another fund or funds (breakdown by year)</w:t>
      </w:r>
    </w:p>
    <w:p w14:paraId="60269365" w14:textId="77777777" w:rsidR="00D40B1F" w:rsidRPr="00A66F03" w:rsidRDefault="00D40B1F" w:rsidP="00B72629">
      <w:pPr>
        <w:shd w:val="clear" w:color="auto" w:fill="FFFFFF"/>
        <w:spacing w:after="0" w:line="276" w:lineRule="auto"/>
        <w:jc w:val="both"/>
        <w:rPr>
          <w:rFonts w:ascii="Times New Roman" w:eastAsia="Times New Roman" w:hAnsi="Times New Roman" w:cs="Times New Roman"/>
          <w:color w:val="444444"/>
          <w:sz w:val="24"/>
          <w:szCs w:val="24"/>
          <w:lang w:val="en-GB"/>
        </w:rPr>
      </w:pPr>
    </w:p>
    <w:tbl>
      <w:tblPr>
        <w:tblW w:w="5000" w:type="pct"/>
        <w:tblCellMar>
          <w:left w:w="70" w:type="dxa"/>
          <w:right w:w="70" w:type="dxa"/>
        </w:tblCellMar>
        <w:tblLook w:val="04A0" w:firstRow="1" w:lastRow="0" w:firstColumn="1" w:lastColumn="0" w:noHBand="0" w:noVBand="1"/>
      </w:tblPr>
      <w:tblGrid>
        <w:gridCol w:w="718"/>
        <w:gridCol w:w="859"/>
        <w:gridCol w:w="747"/>
        <w:gridCol w:w="748"/>
        <w:gridCol w:w="748"/>
        <w:gridCol w:w="748"/>
        <w:gridCol w:w="748"/>
        <w:gridCol w:w="748"/>
        <w:gridCol w:w="748"/>
        <w:gridCol w:w="748"/>
        <w:gridCol w:w="748"/>
        <w:gridCol w:w="744"/>
      </w:tblGrid>
      <w:tr w:rsidR="00143DBE" w:rsidRPr="00A66F03" w14:paraId="138AA2D4" w14:textId="77777777" w:rsidTr="00305B56">
        <w:trPr>
          <w:trHeight w:val="315"/>
        </w:trPr>
        <w:tc>
          <w:tcPr>
            <w:tcW w:w="872"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2F18326" w14:textId="77777777" w:rsidR="00B643DB" w:rsidRPr="00A66F03" w:rsidRDefault="00976636" w:rsidP="00305B56">
            <w:pPr>
              <w:spacing w:after="0" w:line="240" w:lineRule="auto"/>
              <w:jc w:val="center"/>
              <w:rPr>
                <w:rFonts w:eastAsia="Times New Roman" w:cstheme="minorHAnsi"/>
                <w:color w:val="000000"/>
                <w:sz w:val="12"/>
                <w:szCs w:val="12"/>
                <w:lang w:val="en-GB"/>
              </w:rPr>
            </w:pPr>
            <w:r w:rsidRPr="00A66F03">
              <w:rPr>
                <w:rFonts w:eastAsia="Times New Roman" w:cstheme="minorHAnsi"/>
                <w:color w:val="000000"/>
                <w:sz w:val="12"/>
                <w:szCs w:val="12"/>
                <w:lang w:val="en-GB"/>
              </w:rPr>
              <w:t>Transfer from</w:t>
            </w:r>
          </w:p>
        </w:tc>
        <w:tc>
          <w:tcPr>
            <w:tcW w:w="826" w:type="pct"/>
            <w:gridSpan w:val="2"/>
            <w:tcBorders>
              <w:top w:val="single" w:sz="8" w:space="0" w:color="auto"/>
              <w:left w:val="nil"/>
              <w:bottom w:val="single" w:sz="8" w:space="0" w:color="auto"/>
              <w:right w:val="single" w:sz="8" w:space="0" w:color="000000"/>
            </w:tcBorders>
            <w:shd w:val="clear" w:color="auto" w:fill="auto"/>
            <w:vAlign w:val="center"/>
            <w:hideMark/>
          </w:tcPr>
          <w:p w14:paraId="46413381" w14:textId="77777777" w:rsidR="00B643DB" w:rsidRPr="00A66F03" w:rsidRDefault="00976636" w:rsidP="00305B56">
            <w:pPr>
              <w:spacing w:after="0" w:line="240" w:lineRule="auto"/>
              <w:jc w:val="center"/>
              <w:rPr>
                <w:rFonts w:eastAsia="Times New Roman" w:cstheme="minorHAnsi"/>
                <w:color w:val="000000"/>
                <w:sz w:val="12"/>
                <w:szCs w:val="12"/>
                <w:lang w:val="en-GB"/>
              </w:rPr>
            </w:pPr>
            <w:r w:rsidRPr="00A66F03">
              <w:rPr>
                <w:rFonts w:eastAsia="Times New Roman" w:cstheme="minorHAnsi"/>
                <w:color w:val="000000"/>
                <w:sz w:val="12"/>
                <w:szCs w:val="12"/>
                <w:lang w:val="en-GB"/>
              </w:rPr>
              <w:t>Transfer to</w:t>
            </w:r>
          </w:p>
        </w:tc>
        <w:tc>
          <w:tcPr>
            <w:tcW w:w="3302" w:type="pct"/>
            <w:gridSpan w:val="8"/>
            <w:tcBorders>
              <w:top w:val="single" w:sz="8" w:space="0" w:color="auto"/>
              <w:left w:val="nil"/>
              <w:bottom w:val="single" w:sz="8" w:space="0" w:color="auto"/>
              <w:right w:val="single" w:sz="8" w:space="0" w:color="000000"/>
            </w:tcBorders>
            <w:shd w:val="clear" w:color="auto" w:fill="auto"/>
            <w:vAlign w:val="center"/>
            <w:hideMark/>
          </w:tcPr>
          <w:p w14:paraId="4E61A884" w14:textId="77777777" w:rsidR="00B643DB" w:rsidRPr="00A66F03" w:rsidRDefault="00976636" w:rsidP="00305B56">
            <w:pPr>
              <w:spacing w:after="0" w:line="240" w:lineRule="auto"/>
              <w:jc w:val="center"/>
              <w:rPr>
                <w:rFonts w:eastAsia="Times New Roman" w:cstheme="minorHAnsi"/>
                <w:color w:val="000000"/>
                <w:sz w:val="12"/>
                <w:szCs w:val="12"/>
                <w:lang w:val="en-GB"/>
              </w:rPr>
            </w:pPr>
            <w:r w:rsidRPr="00A66F03">
              <w:rPr>
                <w:rFonts w:eastAsia="Times New Roman" w:cstheme="minorHAnsi"/>
                <w:color w:val="000000"/>
                <w:sz w:val="12"/>
                <w:szCs w:val="12"/>
                <w:lang w:val="en-GB"/>
              </w:rPr>
              <w:t>Breakdown by year</w:t>
            </w:r>
          </w:p>
        </w:tc>
      </w:tr>
      <w:tr w:rsidR="00143DBE" w:rsidRPr="00A66F03" w14:paraId="5C6EA089" w14:textId="77777777" w:rsidTr="00305B56">
        <w:trPr>
          <w:trHeight w:val="491"/>
        </w:trPr>
        <w:tc>
          <w:tcPr>
            <w:tcW w:w="397" w:type="pct"/>
            <w:tcBorders>
              <w:top w:val="nil"/>
              <w:left w:val="single" w:sz="8" w:space="0" w:color="auto"/>
              <w:bottom w:val="single" w:sz="8" w:space="0" w:color="auto"/>
              <w:right w:val="single" w:sz="8" w:space="0" w:color="auto"/>
            </w:tcBorders>
            <w:shd w:val="clear" w:color="auto" w:fill="auto"/>
            <w:vAlign w:val="center"/>
            <w:hideMark/>
          </w:tcPr>
          <w:p w14:paraId="48954E72" w14:textId="77777777" w:rsidR="00B643DB" w:rsidRPr="00A66F03" w:rsidRDefault="00976636" w:rsidP="00305B56">
            <w:pPr>
              <w:spacing w:after="0" w:line="240" w:lineRule="auto"/>
              <w:jc w:val="center"/>
              <w:rPr>
                <w:rFonts w:eastAsia="Times New Roman" w:cstheme="minorHAnsi"/>
                <w:color w:val="000000"/>
                <w:sz w:val="12"/>
                <w:szCs w:val="12"/>
                <w:lang w:val="en-GB"/>
              </w:rPr>
            </w:pPr>
            <w:r w:rsidRPr="00A66F03">
              <w:rPr>
                <w:rFonts w:eastAsia="Times New Roman" w:cstheme="minorHAnsi"/>
                <w:color w:val="000000"/>
                <w:sz w:val="12"/>
                <w:szCs w:val="12"/>
                <w:lang w:val="en-GB"/>
              </w:rPr>
              <w:t>Fund</w:t>
            </w:r>
          </w:p>
        </w:tc>
        <w:tc>
          <w:tcPr>
            <w:tcW w:w="475" w:type="pct"/>
            <w:tcBorders>
              <w:top w:val="nil"/>
              <w:left w:val="nil"/>
              <w:bottom w:val="single" w:sz="8" w:space="0" w:color="auto"/>
              <w:right w:val="single" w:sz="8" w:space="0" w:color="auto"/>
            </w:tcBorders>
            <w:shd w:val="clear" w:color="auto" w:fill="auto"/>
            <w:vAlign w:val="center"/>
            <w:hideMark/>
          </w:tcPr>
          <w:p w14:paraId="22EF446E" w14:textId="77777777" w:rsidR="00B643DB" w:rsidRPr="00A66F03" w:rsidRDefault="00976636" w:rsidP="00305B56">
            <w:pPr>
              <w:spacing w:after="0" w:line="240" w:lineRule="auto"/>
              <w:jc w:val="center"/>
              <w:rPr>
                <w:rFonts w:eastAsia="Times New Roman" w:cstheme="minorHAnsi"/>
                <w:color w:val="000000"/>
                <w:sz w:val="12"/>
                <w:szCs w:val="12"/>
                <w:lang w:val="en-GB"/>
              </w:rPr>
            </w:pPr>
            <w:r w:rsidRPr="00A66F03">
              <w:rPr>
                <w:rFonts w:eastAsia="Times New Roman" w:cstheme="minorHAnsi"/>
                <w:color w:val="000000"/>
                <w:sz w:val="12"/>
                <w:szCs w:val="12"/>
                <w:lang w:val="en-GB"/>
              </w:rPr>
              <w:t>Category of region</w:t>
            </w:r>
          </w:p>
        </w:tc>
        <w:tc>
          <w:tcPr>
            <w:tcW w:w="413" w:type="pct"/>
            <w:tcBorders>
              <w:top w:val="nil"/>
              <w:left w:val="nil"/>
              <w:bottom w:val="single" w:sz="8" w:space="0" w:color="auto"/>
              <w:right w:val="single" w:sz="8" w:space="0" w:color="auto"/>
            </w:tcBorders>
            <w:shd w:val="clear" w:color="auto" w:fill="auto"/>
            <w:vAlign w:val="center"/>
            <w:hideMark/>
          </w:tcPr>
          <w:p w14:paraId="502101B5" w14:textId="77777777" w:rsidR="00B643DB" w:rsidRPr="00A66F03" w:rsidRDefault="00976636" w:rsidP="00305B56">
            <w:pPr>
              <w:spacing w:after="0" w:line="240" w:lineRule="auto"/>
              <w:jc w:val="center"/>
              <w:rPr>
                <w:rFonts w:eastAsia="Times New Roman" w:cstheme="minorHAnsi"/>
                <w:color w:val="000000"/>
                <w:sz w:val="12"/>
                <w:szCs w:val="12"/>
                <w:lang w:val="en-GB"/>
              </w:rPr>
            </w:pPr>
            <w:r w:rsidRPr="00A66F03">
              <w:rPr>
                <w:rFonts w:eastAsia="Times New Roman" w:cstheme="minorHAnsi"/>
                <w:color w:val="000000"/>
                <w:sz w:val="12"/>
                <w:szCs w:val="12"/>
                <w:lang w:val="en-GB"/>
              </w:rPr>
              <w:t>Fund</w:t>
            </w:r>
          </w:p>
        </w:tc>
        <w:tc>
          <w:tcPr>
            <w:tcW w:w="413" w:type="pct"/>
            <w:tcBorders>
              <w:top w:val="nil"/>
              <w:left w:val="nil"/>
              <w:bottom w:val="single" w:sz="8" w:space="0" w:color="auto"/>
              <w:right w:val="single" w:sz="8" w:space="0" w:color="auto"/>
            </w:tcBorders>
            <w:shd w:val="clear" w:color="auto" w:fill="auto"/>
            <w:vAlign w:val="center"/>
            <w:hideMark/>
          </w:tcPr>
          <w:p w14:paraId="1D4B5D1D" w14:textId="77777777" w:rsidR="00B643DB" w:rsidRPr="00A66F03" w:rsidRDefault="00976636" w:rsidP="00305B56">
            <w:pPr>
              <w:spacing w:after="0" w:line="240" w:lineRule="auto"/>
              <w:jc w:val="center"/>
              <w:rPr>
                <w:rFonts w:eastAsia="Times New Roman" w:cstheme="minorHAnsi"/>
                <w:color w:val="000000"/>
                <w:sz w:val="12"/>
                <w:szCs w:val="12"/>
                <w:lang w:val="en-GB"/>
              </w:rPr>
            </w:pPr>
            <w:r w:rsidRPr="00A66F03">
              <w:rPr>
                <w:rFonts w:eastAsia="Times New Roman" w:cstheme="minorHAnsi"/>
                <w:color w:val="000000"/>
                <w:sz w:val="12"/>
                <w:szCs w:val="12"/>
                <w:lang w:val="en-GB"/>
              </w:rPr>
              <w:t xml:space="preserve">Category of region </w:t>
            </w:r>
          </w:p>
        </w:tc>
        <w:tc>
          <w:tcPr>
            <w:tcW w:w="413" w:type="pct"/>
            <w:tcBorders>
              <w:top w:val="nil"/>
              <w:left w:val="nil"/>
              <w:bottom w:val="single" w:sz="8" w:space="0" w:color="auto"/>
              <w:right w:val="single" w:sz="8" w:space="0" w:color="auto"/>
            </w:tcBorders>
            <w:shd w:val="clear" w:color="auto" w:fill="auto"/>
            <w:vAlign w:val="center"/>
            <w:hideMark/>
          </w:tcPr>
          <w:p w14:paraId="6F3FEBA3" w14:textId="77777777" w:rsidR="00B643DB" w:rsidRPr="00A66F03" w:rsidRDefault="00976636" w:rsidP="00305B56">
            <w:pPr>
              <w:spacing w:after="0" w:line="240" w:lineRule="auto"/>
              <w:jc w:val="center"/>
              <w:rPr>
                <w:rFonts w:eastAsia="Times New Roman" w:cstheme="minorHAnsi"/>
                <w:color w:val="000000"/>
                <w:sz w:val="12"/>
                <w:szCs w:val="12"/>
                <w:lang w:val="en-GB"/>
              </w:rPr>
            </w:pPr>
            <w:r w:rsidRPr="00A66F03">
              <w:rPr>
                <w:rFonts w:eastAsia="Times New Roman" w:cstheme="minorHAnsi"/>
                <w:color w:val="000000"/>
                <w:sz w:val="12"/>
                <w:szCs w:val="12"/>
                <w:lang w:val="en-GB"/>
              </w:rPr>
              <w:t>2021</w:t>
            </w:r>
          </w:p>
        </w:tc>
        <w:tc>
          <w:tcPr>
            <w:tcW w:w="413" w:type="pct"/>
            <w:tcBorders>
              <w:top w:val="nil"/>
              <w:left w:val="nil"/>
              <w:bottom w:val="single" w:sz="8" w:space="0" w:color="auto"/>
              <w:right w:val="single" w:sz="8" w:space="0" w:color="auto"/>
            </w:tcBorders>
            <w:shd w:val="clear" w:color="auto" w:fill="auto"/>
            <w:vAlign w:val="center"/>
            <w:hideMark/>
          </w:tcPr>
          <w:p w14:paraId="023FBEB6" w14:textId="77777777" w:rsidR="00B643DB" w:rsidRPr="00A66F03" w:rsidRDefault="00976636" w:rsidP="00305B56">
            <w:pPr>
              <w:spacing w:after="0" w:line="240" w:lineRule="auto"/>
              <w:jc w:val="center"/>
              <w:rPr>
                <w:rFonts w:eastAsia="Times New Roman" w:cstheme="minorHAnsi"/>
                <w:color w:val="000000"/>
                <w:sz w:val="12"/>
                <w:szCs w:val="12"/>
                <w:lang w:val="en-GB"/>
              </w:rPr>
            </w:pPr>
            <w:r w:rsidRPr="00A66F03">
              <w:rPr>
                <w:rFonts w:eastAsia="Times New Roman" w:cstheme="minorHAnsi"/>
                <w:color w:val="000000"/>
                <w:sz w:val="12"/>
                <w:szCs w:val="12"/>
                <w:lang w:val="en-GB"/>
              </w:rPr>
              <w:t>2022</w:t>
            </w:r>
          </w:p>
        </w:tc>
        <w:tc>
          <w:tcPr>
            <w:tcW w:w="413" w:type="pct"/>
            <w:tcBorders>
              <w:top w:val="nil"/>
              <w:left w:val="nil"/>
              <w:bottom w:val="single" w:sz="8" w:space="0" w:color="auto"/>
              <w:right w:val="single" w:sz="8" w:space="0" w:color="auto"/>
            </w:tcBorders>
            <w:shd w:val="clear" w:color="auto" w:fill="auto"/>
            <w:vAlign w:val="center"/>
            <w:hideMark/>
          </w:tcPr>
          <w:p w14:paraId="6283EE35" w14:textId="77777777" w:rsidR="00B643DB" w:rsidRPr="00A66F03" w:rsidRDefault="00976636" w:rsidP="00305B56">
            <w:pPr>
              <w:spacing w:after="0" w:line="240" w:lineRule="auto"/>
              <w:jc w:val="center"/>
              <w:rPr>
                <w:rFonts w:eastAsia="Times New Roman" w:cstheme="minorHAnsi"/>
                <w:color w:val="000000"/>
                <w:sz w:val="12"/>
                <w:szCs w:val="12"/>
                <w:lang w:val="en-GB"/>
              </w:rPr>
            </w:pPr>
            <w:r w:rsidRPr="00A66F03">
              <w:rPr>
                <w:rFonts w:eastAsia="Times New Roman" w:cstheme="minorHAnsi"/>
                <w:color w:val="000000"/>
                <w:sz w:val="12"/>
                <w:szCs w:val="12"/>
                <w:lang w:val="en-GB"/>
              </w:rPr>
              <w:t>2023</w:t>
            </w:r>
          </w:p>
        </w:tc>
        <w:tc>
          <w:tcPr>
            <w:tcW w:w="413" w:type="pct"/>
            <w:tcBorders>
              <w:top w:val="nil"/>
              <w:left w:val="nil"/>
              <w:bottom w:val="single" w:sz="8" w:space="0" w:color="auto"/>
              <w:right w:val="single" w:sz="8" w:space="0" w:color="auto"/>
            </w:tcBorders>
            <w:shd w:val="clear" w:color="auto" w:fill="auto"/>
            <w:vAlign w:val="center"/>
            <w:hideMark/>
          </w:tcPr>
          <w:p w14:paraId="7A5659E5" w14:textId="77777777" w:rsidR="00B643DB" w:rsidRPr="00A66F03" w:rsidRDefault="00976636" w:rsidP="00305B56">
            <w:pPr>
              <w:spacing w:after="0" w:line="240" w:lineRule="auto"/>
              <w:jc w:val="center"/>
              <w:rPr>
                <w:rFonts w:eastAsia="Times New Roman" w:cstheme="minorHAnsi"/>
                <w:color w:val="000000"/>
                <w:sz w:val="12"/>
                <w:szCs w:val="12"/>
                <w:lang w:val="en-GB"/>
              </w:rPr>
            </w:pPr>
            <w:r w:rsidRPr="00A66F03">
              <w:rPr>
                <w:rFonts w:eastAsia="Times New Roman" w:cstheme="minorHAnsi"/>
                <w:color w:val="000000"/>
                <w:sz w:val="12"/>
                <w:szCs w:val="12"/>
                <w:lang w:val="en-GB"/>
              </w:rPr>
              <w:t>2024</w:t>
            </w:r>
          </w:p>
        </w:tc>
        <w:tc>
          <w:tcPr>
            <w:tcW w:w="413" w:type="pct"/>
            <w:tcBorders>
              <w:top w:val="nil"/>
              <w:left w:val="nil"/>
              <w:bottom w:val="single" w:sz="8" w:space="0" w:color="auto"/>
              <w:right w:val="single" w:sz="8" w:space="0" w:color="auto"/>
            </w:tcBorders>
            <w:shd w:val="clear" w:color="auto" w:fill="auto"/>
            <w:vAlign w:val="center"/>
            <w:hideMark/>
          </w:tcPr>
          <w:p w14:paraId="5DC39396" w14:textId="77777777" w:rsidR="00B643DB" w:rsidRPr="00A66F03" w:rsidRDefault="00976636" w:rsidP="00305B56">
            <w:pPr>
              <w:spacing w:after="0" w:line="240" w:lineRule="auto"/>
              <w:jc w:val="center"/>
              <w:rPr>
                <w:rFonts w:eastAsia="Times New Roman" w:cstheme="minorHAnsi"/>
                <w:color w:val="000000"/>
                <w:sz w:val="12"/>
                <w:szCs w:val="12"/>
                <w:lang w:val="en-GB"/>
              </w:rPr>
            </w:pPr>
            <w:r w:rsidRPr="00A66F03">
              <w:rPr>
                <w:rFonts w:eastAsia="Times New Roman" w:cstheme="minorHAnsi"/>
                <w:color w:val="000000"/>
                <w:sz w:val="12"/>
                <w:szCs w:val="12"/>
                <w:lang w:val="en-GB"/>
              </w:rPr>
              <w:t>2025</w:t>
            </w:r>
          </w:p>
        </w:tc>
        <w:tc>
          <w:tcPr>
            <w:tcW w:w="413" w:type="pct"/>
            <w:tcBorders>
              <w:top w:val="nil"/>
              <w:left w:val="nil"/>
              <w:bottom w:val="single" w:sz="8" w:space="0" w:color="auto"/>
              <w:right w:val="single" w:sz="8" w:space="0" w:color="auto"/>
            </w:tcBorders>
            <w:shd w:val="clear" w:color="auto" w:fill="auto"/>
            <w:vAlign w:val="center"/>
            <w:hideMark/>
          </w:tcPr>
          <w:p w14:paraId="3301C2D3" w14:textId="77777777" w:rsidR="00B643DB" w:rsidRPr="00A66F03" w:rsidRDefault="00976636" w:rsidP="00305B56">
            <w:pPr>
              <w:spacing w:after="0" w:line="240" w:lineRule="auto"/>
              <w:jc w:val="center"/>
              <w:rPr>
                <w:rFonts w:eastAsia="Times New Roman" w:cstheme="minorHAnsi"/>
                <w:color w:val="000000"/>
                <w:sz w:val="12"/>
                <w:szCs w:val="12"/>
                <w:lang w:val="en-GB"/>
              </w:rPr>
            </w:pPr>
            <w:r w:rsidRPr="00A66F03">
              <w:rPr>
                <w:rFonts w:eastAsia="Times New Roman" w:cstheme="minorHAnsi"/>
                <w:color w:val="000000"/>
                <w:sz w:val="12"/>
                <w:szCs w:val="12"/>
                <w:lang w:val="en-GB"/>
              </w:rPr>
              <w:t>2026</w:t>
            </w:r>
          </w:p>
        </w:tc>
        <w:tc>
          <w:tcPr>
            <w:tcW w:w="413" w:type="pct"/>
            <w:tcBorders>
              <w:top w:val="nil"/>
              <w:left w:val="nil"/>
              <w:bottom w:val="single" w:sz="8" w:space="0" w:color="auto"/>
              <w:right w:val="single" w:sz="8" w:space="0" w:color="auto"/>
            </w:tcBorders>
            <w:shd w:val="clear" w:color="auto" w:fill="auto"/>
            <w:vAlign w:val="center"/>
            <w:hideMark/>
          </w:tcPr>
          <w:p w14:paraId="659BF09E" w14:textId="77777777" w:rsidR="00B643DB" w:rsidRPr="00A66F03" w:rsidRDefault="00976636" w:rsidP="00305B56">
            <w:pPr>
              <w:spacing w:after="0" w:line="240" w:lineRule="auto"/>
              <w:jc w:val="center"/>
              <w:rPr>
                <w:rFonts w:eastAsia="Times New Roman" w:cstheme="minorHAnsi"/>
                <w:color w:val="000000"/>
                <w:sz w:val="12"/>
                <w:szCs w:val="12"/>
                <w:lang w:val="en-GB"/>
              </w:rPr>
            </w:pPr>
            <w:r w:rsidRPr="00A66F03">
              <w:rPr>
                <w:rFonts w:eastAsia="Times New Roman" w:cstheme="minorHAnsi"/>
                <w:color w:val="000000"/>
                <w:sz w:val="12"/>
                <w:szCs w:val="12"/>
                <w:lang w:val="en-GB"/>
              </w:rPr>
              <w:t>2027</w:t>
            </w:r>
          </w:p>
        </w:tc>
        <w:tc>
          <w:tcPr>
            <w:tcW w:w="413" w:type="pct"/>
            <w:tcBorders>
              <w:top w:val="nil"/>
              <w:left w:val="nil"/>
              <w:bottom w:val="single" w:sz="8" w:space="0" w:color="auto"/>
              <w:right w:val="single" w:sz="8" w:space="0" w:color="auto"/>
            </w:tcBorders>
            <w:shd w:val="clear" w:color="auto" w:fill="auto"/>
            <w:vAlign w:val="center"/>
            <w:hideMark/>
          </w:tcPr>
          <w:p w14:paraId="2A6AC0AE" w14:textId="77777777" w:rsidR="00B643DB" w:rsidRPr="00A66F03" w:rsidRDefault="00976636" w:rsidP="00305B56">
            <w:pPr>
              <w:spacing w:after="0" w:line="240" w:lineRule="auto"/>
              <w:jc w:val="center"/>
              <w:rPr>
                <w:rFonts w:eastAsia="Times New Roman" w:cstheme="minorHAnsi"/>
                <w:color w:val="000000"/>
                <w:sz w:val="12"/>
                <w:szCs w:val="12"/>
                <w:lang w:val="en-GB"/>
              </w:rPr>
            </w:pPr>
            <w:r w:rsidRPr="00A66F03">
              <w:rPr>
                <w:rFonts w:eastAsia="Times New Roman" w:cstheme="minorHAnsi"/>
                <w:color w:val="000000"/>
                <w:sz w:val="12"/>
                <w:szCs w:val="12"/>
                <w:lang w:val="en-GB"/>
              </w:rPr>
              <w:t>Total</w:t>
            </w:r>
          </w:p>
        </w:tc>
      </w:tr>
      <w:tr w:rsidR="00143DBE" w:rsidRPr="00A66F03" w14:paraId="65DE71CD" w14:textId="77777777" w:rsidTr="00305B56">
        <w:trPr>
          <w:trHeight w:val="405"/>
        </w:trPr>
        <w:tc>
          <w:tcPr>
            <w:tcW w:w="397" w:type="pct"/>
            <w:vMerge w:val="restart"/>
            <w:tcBorders>
              <w:top w:val="nil"/>
              <w:left w:val="single" w:sz="8" w:space="0" w:color="auto"/>
              <w:bottom w:val="single" w:sz="8" w:space="0" w:color="000000"/>
              <w:right w:val="single" w:sz="8" w:space="0" w:color="auto"/>
            </w:tcBorders>
            <w:shd w:val="clear" w:color="auto" w:fill="auto"/>
            <w:vAlign w:val="center"/>
            <w:hideMark/>
          </w:tcPr>
          <w:p w14:paraId="1B1192FF" w14:textId="77777777" w:rsidR="00B643DB" w:rsidRPr="00A66F03" w:rsidRDefault="00976636" w:rsidP="00305B56">
            <w:pPr>
              <w:spacing w:after="0" w:line="240" w:lineRule="auto"/>
              <w:jc w:val="center"/>
              <w:rPr>
                <w:rFonts w:eastAsia="Times New Roman" w:cstheme="minorHAnsi"/>
                <w:color w:val="000000"/>
                <w:sz w:val="12"/>
                <w:szCs w:val="12"/>
                <w:lang w:val="en-GB"/>
              </w:rPr>
            </w:pPr>
            <w:r w:rsidRPr="00A66F03">
              <w:rPr>
                <w:rFonts w:eastAsia="Times New Roman" w:cstheme="minorHAnsi"/>
                <w:color w:val="000000"/>
                <w:sz w:val="12"/>
                <w:szCs w:val="12"/>
                <w:lang w:val="en-GB"/>
              </w:rPr>
              <w:t>ERDF</w:t>
            </w:r>
          </w:p>
        </w:tc>
        <w:tc>
          <w:tcPr>
            <w:tcW w:w="475" w:type="pct"/>
            <w:tcBorders>
              <w:top w:val="nil"/>
              <w:left w:val="nil"/>
              <w:bottom w:val="single" w:sz="8" w:space="0" w:color="auto"/>
              <w:right w:val="single" w:sz="8" w:space="0" w:color="auto"/>
            </w:tcBorders>
            <w:shd w:val="clear" w:color="auto" w:fill="auto"/>
            <w:vAlign w:val="center"/>
            <w:hideMark/>
          </w:tcPr>
          <w:p w14:paraId="0C40F158" w14:textId="77777777" w:rsidR="00B643DB" w:rsidRPr="00A66F03" w:rsidRDefault="00976636" w:rsidP="00305B56">
            <w:pPr>
              <w:spacing w:after="0" w:line="240" w:lineRule="auto"/>
              <w:rPr>
                <w:rFonts w:eastAsia="Times New Roman" w:cstheme="minorHAnsi"/>
                <w:color w:val="000000"/>
                <w:sz w:val="12"/>
                <w:szCs w:val="12"/>
                <w:lang w:val="en-GB"/>
              </w:rPr>
            </w:pPr>
            <w:r w:rsidRPr="00A66F03">
              <w:rPr>
                <w:rFonts w:eastAsia="Times New Roman" w:cstheme="minorHAnsi"/>
                <w:color w:val="000000"/>
                <w:sz w:val="12"/>
                <w:szCs w:val="12"/>
                <w:lang w:val="en-GB"/>
              </w:rPr>
              <w:t>More developed</w:t>
            </w:r>
          </w:p>
        </w:tc>
        <w:tc>
          <w:tcPr>
            <w:tcW w:w="413" w:type="pct"/>
            <w:vMerge w:val="restart"/>
            <w:tcBorders>
              <w:top w:val="nil"/>
              <w:left w:val="single" w:sz="8" w:space="0" w:color="auto"/>
              <w:bottom w:val="nil"/>
              <w:right w:val="single" w:sz="8" w:space="0" w:color="auto"/>
            </w:tcBorders>
            <w:shd w:val="clear" w:color="auto" w:fill="auto"/>
            <w:vAlign w:val="center"/>
            <w:hideMark/>
          </w:tcPr>
          <w:p w14:paraId="327772FE" w14:textId="77777777" w:rsidR="00B643DB" w:rsidRPr="00A66F03" w:rsidRDefault="00976636" w:rsidP="00305B56">
            <w:pPr>
              <w:spacing w:after="0" w:line="240" w:lineRule="auto"/>
              <w:jc w:val="center"/>
              <w:rPr>
                <w:rFonts w:eastAsia="Times New Roman" w:cstheme="minorHAnsi"/>
                <w:color w:val="000000"/>
                <w:sz w:val="12"/>
                <w:szCs w:val="12"/>
                <w:lang w:val="en-GB"/>
              </w:rPr>
            </w:pPr>
            <w:r w:rsidRPr="00A66F03">
              <w:rPr>
                <w:rFonts w:eastAsia="Times New Roman" w:cstheme="minorHAnsi"/>
                <w:color w:val="000000"/>
                <w:sz w:val="12"/>
                <w:szCs w:val="12"/>
                <w:lang w:val="en-GB"/>
              </w:rPr>
              <w:t> </w:t>
            </w:r>
          </w:p>
        </w:tc>
        <w:tc>
          <w:tcPr>
            <w:tcW w:w="413" w:type="pct"/>
            <w:tcBorders>
              <w:top w:val="nil"/>
              <w:left w:val="nil"/>
              <w:bottom w:val="single" w:sz="8" w:space="0" w:color="auto"/>
              <w:right w:val="single" w:sz="8" w:space="0" w:color="auto"/>
            </w:tcBorders>
            <w:shd w:val="clear" w:color="auto" w:fill="auto"/>
            <w:vAlign w:val="center"/>
            <w:hideMark/>
          </w:tcPr>
          <w:p w14:paraId="2B8352B1" w14:textId="77777777" w:rsidR="00B643DB" w:rsidRPr="00A66F03" w:rsidRDefault="00976636" w:rsidP="00305B56">
            <w:pPr>
              <w:spacing w:after="0" w:line="240" w:lineRule="auto"/>
              <w:rPr>
                <w:rFonts w:eastAsia="Times New Roman" w:cstheme="minorHAnsi"/>
                <w:color w:val="000000"/>
                <w:sz w:val="12"/>
                <w:szCs w:val="12"/>
                <w:lang w:val="en-GB"/>
              </w:rPr>
            </w:pPr>
            <w:r w:rsidRPr="00A66F03">
              <w:rPr>
                <w:rFonts w:eastAsia="Times New Roman" w:cstheme="minorHAnsi"/>
                <w:color w:val="000000"/>
                <w:sz w:val="12"/>
                <w:szCs w:val="12"/>
                <w:lang w:val="en-GB"/>
              </w:rPr>
              <w:t> </w:t>
            </w:r>
          </w:p>
        </w:tc>
        <w:tc>
          <w:tcPr>
            <w:tcW w:w="413" w:type="pct"/>
            <w:tcBorders>
              <w:top w:val="nil"/>
              <w:left w:val="nil"/>
              <w:bottom w:val="single" w:sz="8" w:space="0" w:color="auto"/>
              <w:right w:val="single" w:sz="8" w:space="0" w:color="auto"/>
            </w:tcBorders>
            <w:shd w:val="clear" w:color="auto" w:fill="auto"/>
            <w:vAlign w:val="center"/>
            <w:hideMark/>
          </w:tcPr>
          <w:p w14:paraId="680810A9" w14:textId="77777777" w:rsidR="00B643DB" w:rsidRPr="00A66F03" w:rsidRDefault="00976636" w:rsidP="00305B56">
            <w:pPr>
              <w:spacing w:after="0" w:line="240" w:lineRule="auto"/>
              <w:rPr>
                <w:rFonts w:eastAsia="Times New Roman" w:cstheme="minorHAnsi"/>
                <w:color w:val="000000"/>
                <w:sz w:val="12"/>
                <w:szCs w:val="12"/>
                <w:lang w:val="en-GB"/>
              </w:rPr>
            </w:pPr>
            <w:r w:rsidRPr="00A66F03">
              <w:rPr>
                <w:rFonts w:eastAsia="Times New Roman" w:cstheme="minorHAnsi"/>
                <w:color w:val="000000"/>
                <w:sz w:val="12"/>
                <w:szCs w:val="12"/>
                <w:lang w:val="en-GB"/>
              </w:rPr>
              <w:t> </w:t>
            </w:r>
          </w:p>
        </w:tc>
        <w:tc>
          <w:tcPr>
            <w:tcW w:w="413" w:type="pct"/>
            <w:tcBorders>
              <w:top w:val="nil"/>
              <w:left w:val="nil"/>
              <w:bottom w:val="single" w:sz="8" w:space="0" w:color="auto"/>
              <w:right w:val="single" w:sz="8" w:space="0" w:color="auto"/>
            </w:tcBorders>
            <w:shd w:val="clear" w:color="auto" w:fill="auto"/>
            <w:vAlign w:val="center"/>
            <w:hideMark/>
          </w:tcPr>
          <w:p w14:paraId="187424B9" w14:textId="77777777" w:rsidR="00B643DB" w:rsidRPr="00A66F03" w:rsidRDefault="00976636" w:rsidP="00305B56">
            <w:pPr>
              <w:spacing w:after="0" w:line="240" w:lineRule="auto"/>
              <w:rPr>
                <w:rFonts w:eastAsia="Times New Roman" w:cstheme="minorHAnsi"/>
                <w:color w:val="000000"/>
                <w:sz w:val="12"/>
                <w:szCs w:val="12"/>
                <w:lang w:val="en-GB"/>
              </w:rPr>
            </w:pPr>
            <w:r w:rsidRPr="00A66F03">
              <w:rPr>
                <w:rFonts w:eastAsia="Times New Roman" w:cstheme="minorHAnsi"/>
                <w:color w:val="000000"/>
                <w:sz w:val="12"/>
                <w:szCs w:val="12"/>
                <w:lang w:val="en-GB"/>
              </w:rPr>
              <w:t> </w:t>
            </w:r>
          </w:p>
        </w:tc>
        <w:tc>
          <w:tcPr>
            <w:tcW w:w="413" w:type="pct"/>
            <w:tcBorders>
              <w:top w:val="nil"/>
              <w:left w:val="nil"/>
              <w:bottom w:val="single" w:sz="8" w:space="0" w:color="auto"/>
              <w:right w:val="single" w:sz="8" w:space="0" w:color="auto"/>
            </w:tcBorders>
            <w:shd w:val="clear" w:color="auto" w:fill="auto"/>
            <w:vAlign w:val="center"/>
            <w:hideMark/>
          </w:tcPr>
          <w:p w14:paraId="3AB19451" w14:textId="77777777" w:rsidR="00B643DB" w:rsidRPr="00A66F03" w:rsidRDefault="00976636" w:rsidP="00305B56">
            <w:pPr>
              <w:spacing w:after="0" w:line="240" w:lineRule="auto"/>
              <w:rPr>
                <w:rFonts w:eastAsia="Times New Roman" w:cstheme="minorHAnsi"/>
                <w:color w:val="000000"/>
                <w:sz w:val="12"/>
                <w:szCs w:val="12"/>
                <w:lang w:val="en-GB"/>
              </w:rPr>
            </w:pPr>
            <w:r w:rsidRPr="00A66F03">
              <w:rPr>
                <w:rFonts w:eastAsia="Times New Roman" w:cstheme="minorHAnsi"/>
                <w:color w:val="000000"/>
                <w:sz w:val="12"/>
                <w:szCs w:val="12"/>
                <w:lang w:val="en-GB"/>
              </w:rPr>
              <w:t> </w:t>
            </w:r>
          </w:p>
        </w:tc>
        <w:tc>
          <w:tcPr>
            <w:tcW w:w="413" w:type="pct"/>
            <w:tcBorders>
              <w:top w:val="nil"/>
              <w:left w:val="nil"/>
              <w:bottom w:val="single" w:sz="8" w:space="0" w:color="auto"/>
              <w:right w:val="single" w:sz="8" w:space="0" w:color="auto"/>
            </w:tcBorders>
            <w:shd w:val="clear" w:color="auto" w:fill="auto"/>
            <w:vAlign w:val="center"/>
            <w:hideMark/>
          </w:tcPr>
          <w:p w14:paraId="4993A95D" w14:textId="77777777" w:rsidR="00B643DB" w:rsidRPr="00A66F03" w:rsidRDefault="00976636" w:rsidP="00305B56">
            <w:pPr>
              <w:spacing w:after="0" w:line="240" w:lineRule="auto"/>
              <w:rPr>
                <w:rFonts w:eastAsia="Times New Roman" w:cstheme="minorHAnsi"/>
                <w:color w:val="000000"/>
                <w:sz w:val="12"/>
                <w:szCs w:val="12"/>
                <w:lang w:val="en-GB"/>
              </w:rPr>
            </w:pPr>
            <w:r w:rsidRPr="00A66F03">
              <w:rPr>
                <w:rFonts w:eastAsia="Times New Roman" w:cstheme="minorHAnsi"/>
                <w:color w:val="000000"/>
                <w:sz w:val="12"/>
                <w:szCs w:val="12"/>
                <w:lang w:val="en-GB"/>
              </w:rPr>
              <w:t> </w:t>
            </w:r>
          </w:p>
        </w:tc>
        <w:tc>
          <w:tcPr>
            <w:tcW w:w="413" w:type="pct"/>
            <w:tcBorders>
              <w:top w:val="nil"/>
              <w:left w:val="nil"/>
              <w:bottom w:val="single" w:sz="8" w:space="0" w:color="auto"/>
              <w:right w:val="single" w:sz="8" w:space="0" w:color="auto"/>
            </w:tcBorders>
            <w:shd w:val="clear" w:color="auto" w:fill="auto"/>
            <w:vAlign w:val="center"/>
            <w:hideMark/>
          </w:tcPr>
          <w:p w14:paraId="40D528A1" w14:textId="77777777" w:rsidR="00B643DB" w:rsidRPr="00A66F03" w:rsidRDefault="00976636" w:rsidP="00305B56">
            <w:pPr>
              <w:spacing w:after="0" w:line="240" w:lineRule="auto"/>
              <w:rPr>
                <w:rFonts w:eastAsia="Times New Roman" w:cstheme="minorHAnsi"/>
                <w:color w:val="000000"/>
                <w:sz w:val="12"/>
                <w:szCs w:val="12"/>
                <w:lang w:val="en-GB"/>
              </w:rPr>
            </w:pPr>
            <w:r w:rsidRPr="00A66F03">
              <w:rPr>
                <w:rFonts w:eastAsia="Times New Roman" w:cstheme="minorHAnsi"/>
                <w:color w:val="000000"/>
                <w:sz w:val="12"/>
                <w:szCs w:val="12"/>
                <w:lang w:val="en-GB"/>
              </w:rPr>
              <w:t> </w:t>
            </w:r>
          </w:p>
        </w:tc>
        <w:tc>
          <w:tcPr>
            <w:tcW w:w="413" w:type="pct"/>
            <w:tcBorders>
              <w:top w:val="nil"/>
              <w:left w:val="nil"/>
              <w:bottom w:val="single" w:sz="8" w:space="0" w:color="auto"/>
              <w:right w:val="single" w:sz="8" w:space="0" w:color="auto"/>
            </w:tcBorders>
            <w:shd w:val="clear" w:color="auto" w:fill="auto"/>
            <w:vAlign w:val="center"/>
            <w:hideMark/>
          </w:tcPr>
          <w:p w14:paraId="4C848C24" w14:textId="77777777" w:rsidR="00B643DB" w:rsidRPr="00A66F03" w:rsidRDefault="00976636" w:rsidP="00305B56">
            <w:pPr>
              <w:spacing w:after="0" w:line="240" w:lineRule="auto"/>
              <w:rPr>
                <w:rFonts w:eastAsia="Times New Roman" w:cstheme="minorHAnsi"/>
                <w:color w:val="000000"/>
                <w:sz w:val="12"/>
                <w:szCs w:val="12"/>
                <w:lang w:val="en-GB"/>
              </w:rPr>
            </w:pPr>
            <w:r w:rsidRPr="00A66F03">
              <w:rPr>
                <w:rFonts w:eastAsia="Times New Roman" w:cstheme="minorHAnsi"/>
                <w:color w:val="000000"/>
                <w:sz w:val="12"/>
                <w:szCs w:val="12"/>
                <w:lang w:val="en-GB"/>
              </w:rPr>
              <w:t> </w:t>
            </w:r>
          </w:p>
        </w:tc>
        <w:tc>
          <w:tcPr>
            <w:tcW w:w="413" w:type="pct"/>
            <w:tcBorders>
              <w:top w:val="nil"/>
              <w:left w:val="nil"/>
              <w:bottom w:val="single" w:sz="8" w:space="0" w:color="auto"/>
              <w:right w:val="single" w:sz="8" w:space="0" w:color="auto"/>
            </w:tcBorders>
            <w:shd w:val="clear" w:color="auto" w:fill="auto"/>
            <w:vAlign w:val="center"/>
            <w:hideMark/>
          </w:tcPr>
          <w:p w14:paraId="14013140" w14:textId="77777777" w:rsidR="00B643DB" w:rsidRPr="00A66F03" w:rsidRDefault="00976636" w:rsidP="00305B56">
            <w:pPr>
              <w:spacing w:after="0" w:line="240" w:lineRule="auto"/>
              <w:rPr>
                <w:rFonts w:eastAsia="Times New Roman" w:cstheme="minorHAnsi"/>
                <w:color w:val="000000"/>
                <w:sz w:val="12"/>
                <w:szCs w:val="12"/>
                <w:lang w:val="en-GB"/>
              </w:rPr>
            </w:pPr>
            <w:r w:rsidRPr="00A66F03">
              <w:rPr>
                <w:rFonts w:eastAsia="Times New Roman" w:cstheme="minorHAnsi"/>
                <w:color w:val="000000"/>
                <w:sz w:val="12"/>
                <w:szCs w:val="12"/>
                <w:lang w:val="en-GB"/>
              </w:rPr>
              <w:t> </w:t>
            </w:r>
          </w:p>
        </w:tc>
        <w:tc>
          <w:tcPr>
            <w:tcW w:w="413" w:type="pct"/>
            <w:tcBorders>
              <w:top w:val="nil"/>
              <w:left w:val="nil"/>
              <w:bottom w:val="single" w:sz="8" w:space="0" w:color="auto"/>
              <w:right w:val="single" w:sz="8" w:space="0" w:color="auto"/>
            </w:tcBorders>
            <w:shd w:val="clear" w:color="auto" w:fill="auto"/>
            <w:vAlign w:val="center"/>
            <w:hideMark/>
          </w:tcPr>
          <w:p w14:paraId="0CCB1482" w14:textId="77777777" w:rsidR="00B643DB" w:rsidRPr="00A66F03" w:rsidRDefault="00976636" w:rsidP="00305B56">
            <w:pPr>
              <w:spacing w:after="0" w:line="240" w:lineRule="auto"/>
              <w:rPr>
                <w:rFonts w:eastAsia="Times New Roman" w:cstheme="minorHAnsi"/>
                <w:color w:val="000000"/>
                <w:sz w:val="12"/>
                <w:szCs w:val="12"/>
                <w:lang w:val="en-GB"/>
              </w:rPr>
            </w:pPr>
            <w:r w:rsidRPr="00A66F03">
              <w:rPr>
                <w:rFonts w:eastAsia="Times New Roman" w:cstheme="minorHAnsi"/>
                <w:color w:val="000000"/>
                <w:sz w:val="12"/>
                <w:szCs w:val="12"/>
                <w:lang w:val="en-GB"/>
              </w:rPr>
              <w:t xml:space="preserve">                           -     </w:t>
            </w:r>
          </w:p>
        </w:tc>
      </w:tr>
      <w:tr w:rsidR="00143DBE" w:rsidRPr="00A66F03" w14:paraId="151F4A94" w14:textId="77777777" w:rsidTr="00305B56">
        <w:trPr>
          <w:trHeight w:val="405"/>
        </w:trPr>
        <w:tc>
          <w:tcPr>
            <w:tcW w:w="397" w:type="pct"/>
            <w:vMerge/>
            <w:tcBorders>
              <w:top w:val="nil"/>
              <w:left w:val="single" w:sz="8" w:space="0" w:color="auto"/>
              <w:bottom w:val="single" w:sz="8" w:space="0" w:color="000000"/>
              <w:right w:val="single" w:sz="8" w:space="0" w:color="auto"/>
            </w:tcBorders>
            <w:vAlign w:val="center"/>
            <w:hideMark/>
          </w:tcPr>
          <w:p w14:paraId="21C0B69E" w14:textId="77777777" w:rsidR="00B643DB" w:rsidRPr="00A66F03" w:rsidRDefault="00B643DB" w:rsidP="00305B56">
            <w:pPr>
              <w:spacing w:after="0" w:line="240" w:lineRule="auto"/>
              <w:rPr>
                <w:rFonts w:eastAsia="Times New Roman" w:cstheme="minorHAnsi"/>
                <w:color w:val="000000"/>
                <w:sz w:val="12"/>
                <w:szCs w:val="12"/>
                <w:lang w:val="en-GB"/>
              </w:rPr>
            </w:pPr>
          </w:p>
        </w:tc>
        <w:tc>
          <w:tcPr>
            <w:tcW w:w="475" w:type="pct"/>
            <w:tcBorders>
              <w:top w:val="nil"/>
              <w:left w:val="nil"/>
              <w:bottom w:val="single" w:sz="8" w:space="0" w:color="auto"/>
              <w:right w:val="single" w:sz="8" w:space="0" w:color="auto"/>
            </w:tcBorders>
            <w:shd w:val="clear" w:color="auto" w:fill="auto"/>
            <w:vAlign w:val="center"/>
            <w:hideMark/>
          </w:tcPr>
          <w:p w14:paraId="792A8983" w14:textId="77777777" w:rsidR="00B643DB" w:rsidRPr="00A66F03" w:rsidRDefault="00976636" w:rsidP="00305B56">
            <w:pPr>
              <w:spacing w:after="0" w:line="240" w:lineRule="auto"/>
              <w:rPr>
                <w:rFonts w:eastAsia="Times New Roman" w:cstheme="minorHAnsi"/>
                <w:color w:val="000000"/>
                <w:sz w:val="12"/>
                <w:szCs w:val="12"/>
                <w:lang w:val="en-GB"/>
              </w:rPr>
            </w:pPr>
            <w:r w:rsidRPr="00A66F03">
              <w:rPr>
                <w:rFonts w:eastAsia="Times New Roman" w:cstheme="minorHAnsi"/>
                <w:color w:val="000000"/>
                <w:sz w:val="12"/>
                <w:szCs w:val="12"/>
                <w:lang w:val="en-GB"/>
              </w:rPr>
              <w:t>Transition</w:t>
            </w:r>
          </w:p>
        </w:tc>
        <w:tc>
          <w:tcPr>
            <w:tcW w:w="413" w:type="pct"/>
            <w:vMerge/>
            <w:tcBorders>
              <w:top w:val="nil"/>
              <w:left w:val="single" w:sz="8" w:space="0" w:color="auto"/>
              <w:bottom w:val="nil"/>
              <w:right w:val="single" w:sz="8" w:space="0" w:color="auto"/>
            </w:tcBorders>
            <w:vAlign w:val="center"/>
            <w:hideMark/>
          </w:tcPr>
          <w:p w14:paraId="6FEA56AE" w14:textId="77777777" w:rsidR="00B643DB" w:rsidRPr="00A66F03" w:rsidRDefault="00B643DB" w:rsidP="00305B56">
            <w:pPr>
              <w:spacing w:after="0" w:line="240" w:lineRule="auto"/>
              <w:rPr>
                <w:rFonts w:eastAsia="Times New Roman" w:cstheme="minorHAnsi"/>
                <w:color w:val="000000"/>
                <w:sz w:val="12"/>
                <w:szCs w:val="12"/>
                <w:lang w:val="en-GB"/>
              </w:rPr>
            </w:pPr>
          </w:p>
        </w:tc>
        <w:tc>
          <w:tcPr>
            <w:tcW w:w="413" w:type="pct"/>
            <w:tcBorders>
              <w:top w:val="nil"/>
              <w:left w:val="nil"/>
              <w:bottom w:val="single" w:sz="8" w:space="0" w:color="auto"/>
              <w:right w:val="single" w:sz="8" w:space="0" w:color="auto"/>
            </w:tcBorders>
            <w:shd w:val="clear" w:color="auto" w:fill="auto"/>
            <w:vAlign w:val="center"/>
            <w:hideMark/>
          </w:tcPr>
          <w:p w14:paraId="0C0C473A" w14:textId="77777777" w:rsidR="00B643DB" w:rsidRPr="00A66F03" w:rsidRDefault="00976636" w:rsidP="00305B56">
            <w:pPr>
              <w:spacing w:after="0" w:line="240" w:lineRule="auto"/>
              <w:rPr>
                <w:rFonts w:eastAsia="Times New Roman" w:cstheme="minorHAnsi"/>
                <w:color w:val="000000"/>
                <w:sz w:val="12"/>
                <w:szCs w:val="12"/>
                <w:lang w:val="en-GB"/>
              </w:rPr>
            </w:pPr>
            <w:r w:rsidRPr="00A66F03">
              <w:rPr>
                <w:rFonts w:eastAsia="Times New Roman" w:cstheme="minorHAnsi"/>
                <w:color w:val="000000"/>
                <w:sz w:val="12"/>
                <w:szCs w:val="12"/>
                <w:lang w:val="en-GB"/>
              </w:rPr>
              <w:t> </w:t>
            </w:r>
          </w:p>
        </w:tc>
        <w:tc>
          <w:tcPr>
            <w:tcW w:w="413" w:type="pct"/>
            <w:tcBorders>
              <w:top w:val="nil"/>
              <w:left w:val="nil"/>
              <w:bottom w:val="single" w:sz="8" w:space="0" w:color="auto"/>
              <w:right w:val="single" w:sz="8" w:space="0" w:color="auto"/>
            </w:tcBorders>
            <w:shd w:val="clear" w:color="auto" w:fill="auto"/>
            <w:vAlign w:val="center"/>
            <w:hideMark/>
          </w:tcPr>
          <w:p w14:paraId="4E1532D8" w14:textId="77777777" w:rsidR="00B643DB" w:rsidRPr="00A66F03" w:rsidRDefault="00976636" w:rsidP="00305B56">
            <w:pPr>
              <w:spacing w:after="0" w:line="240" w:lineRule="auto"/>
              <w:rPr>
                <w:rFonts w:eastAsia="Times New Roman" w:cstheme="minorHAnsi"/>
                <w:color w:val="000000"/>
                <w:sz w:val="12"/>
                <w:szCs w:val="12"/>
                <w:lang w:val="en-GB"/>
              </w:rPr>
            </w:pPr>
            <w:r w:rsidRPr="00A66F03">
              <w:rPr>
                <w:rFonts w:eastAsia="Times New Roman" w:cstheme="minorHAnsi"/>
                <w:color w:val="000000"/>
                <w:sz w:val="12"/>
                <w:szCs w:val="12"/>
                <w:lang w:val="en-GB"/>
              </w:rPr>
              <w:t> </w:t>
            </w:r>
          </w:p>
        </w:tc>
        <w:tc>
          <w:tcPr>
            <w:tcW w:w="413" w:type="pct"/>
            <w:tcBorders>
              <w:top w:val="nil"/>
              <w:left w:val="nil"/>
              <w:bottom w:val="single" w:sz="8" w:space="0" w:color="auto"/>
              <w:right w:val="single" w:sz="8" w:space="0" w:color="auto"/>
            </w:tcBorders>
            <w:shd w:val="clear" w:color="auto" w:fill="auto"/>
            <w:vAlign w:val="center"/>
            <w:hideMark/>
          </w:tcPr>
          <w:p w14:paraId="1E4C59D8" w14:textId="77777777" w:rsidR="00B643DB" w:rsidRPr="00A66F03" w:rsidRDefault="00976636" w:rsidP="00305B56">
            <w:pPr>
              <w:spacing w:after="0" w:line="240" w:lineRule="auto"/>
              <w:rPr>
                <w:rFonts w:eastAsia="Times New Roman" w:cstheme="minorHAnsi"/>
                <w:color w:val="000000"/>
                <w:sz w:val="12"/>
                <w:szCs w:val="12"/>
                <w:lang w:val="en-GB"/>
              </w:rPr>
            </w:pPr>
            <w:r w:rsidRPr="00A66F03">
              <w:rPr>
                <w:rFonts w:eastAsia="Times New Roman" w:cstheme="minorHAnsi"/>
                <w:color w:val="000000"/>
                <w:sz w:val="12"/>
                <w:szCs w:val="12"/>
                <w:lang w:val="en-GB"/>
              </w:rPr>
              <w:t> </w:t>
            </w:r>
          </w:p>
        </w:tc>
        <w:tc>
          <w:tcPr>
            <w:tcW w:w="413" w:type="pct"/>
            <w:tcBorders>
              <w:top w:val="nil"/>
              <w:left w:val="nil"/>
              <w:bottom w:val="single" w:sz="8" w:space="0" w:color="auto"/>
              <w:right w:val="single" w:sz="8" w:space="0" w:color="auto"/>
            </w:tcBorders>
            <w:shd w:val="clear" w:color="auto" w:fill="auto"/>
            <w:vAlign w:val="center"/>
            <w:hideMark/>
          </w:tcPr>
          <w:p w14:paraId="721F70FB" w14:textId="77777777" w:rsidR="00B643DB" w:rsidRPr="00A66F03" w:rsidRDefault="00976636" w:rsidP="00305B56">
            <w:pPr>
              <w:spacing w:after="0" w:line="240" w:lineRule="auto"/>
              <w:rPr>
                <w:rFonts w:eastAsia="Times New Roman" w:cstheme="minorHAnsi"/>
                <w:color w:val="000000"/>
                <w:sz w:val="12"/>
                <w:szCs w:val="12"/>
                <w:lang w:val="en-GB"/>
              </w:rPr>
            </w:pPr>
            <w:r w:rsidRPr="00A66F03">
              <w:rPr>
                <w:rFonts w:eastAsia="Times New Roman" w:cstheme="minorHAnsi"/>
                <w:color w:val="000000"/>
                <w:sz w:val="12"/>
                <w:szCs w:val="12"/>
                <w:lang w:val="en-GB"/>
              </w:rPr>
              <w:t> </w:t>
            </w:r>
          </w:p>
        </w:tc>
        <w:tc>
          <w:tcPr>
            <w:tcW w:w="413" w:type="pct"/>
            <w:tcBorders>
              <w:top w:val="nil"/>
              <w:left w:val="nil"/>
              <w:bottom w:val="single" w:sz="8" w:space="0" w:color="auto"/>
              <w:right w:val="single" w:sz="8" w:space="0" w:color="auto"/>
            </w:tcBorders>
            <w:shd w:val="clear" w:color="auto" w:fill="auto"/>
            <w:vAlign w:val="center"/>
            <w:hideMark/>
          </w:tcPr>
          <w:p w14:paraId="3B3E5242" w14:textId="77777777" w:rsidR="00B643DB" w:rsidRPr="00A66F03" w:rsidRDefault="00976636" w:rsidP="00305B56">
            <w:pPr>
              <w:spacing w:after="0" w:line="240" w:lineRule="auto"/>
              <w:rPr>
                <w:rFonts w:eastAsia="Times New Roman" w:cstheme="minorHAnsi"/>
                <w:color w:val="000000"/>
                <w:sz w:val="12"/>
                <w:szCs w:val="12"/>
                <w:lang w:val="en-GB"/>
              </w:rPr>
            </w:pPr>
            <w:r w:rsidRPr="00A66F03">
              <w:rPr>
                <w:rFonts w:eastAsia="Times New Roman" w:cstheme="minorHAnsi"/>
                <w:color w:val="000000"/>
                <w:sz w:val="12"/>
                <w:szCs w:val="12"/>
                <w:lang w:val="en-GB"/>
              </w:rPr>
              <w:t> </w:t>
            </w:r>
          </w:p>
        </w:tc>
        <w:tc>
          <w:tcPr>
            <w:tcW w:w="413" w:type="pct"/>
            <w:tcBorders>
              <w:top w:val="nil"/>
              <w:left w:val="nil"/>
              <w:bottom w:val="single" w:sz="8" w:space="0" w:color="auto"/>
              <w:right w:val="single" w:sz="8" w:space="0" w:color="auto"/>
            </w:tcBorders>
            <w:shd w:val="clear" w:color="auto" w:fill="auto"/>
            <w:vAlign w:val="center"/>
            <w:hideMark/>
          </w:tcPr>
          <w:p w14:paraId="60E6783B" w14:textId="77777777" w:rsidR="00B643DB" w:rsidRPr="00A66F03" w:rsidRDefault="00976636" w:rsidP="00305B56">
            <w:pPr>
              <w:spacing w:after="0" w:line="240" w:lineRule="auto"/>
              <w:rPr>
                <w:rFonts w:eastAsia="Times New Roman" w:cstheme="minorHAnsi"/>
                <w:color w:val="000000"/>
                <w:sz w:val="12"/>
                <w:szCs w:val="12"/>
                <w:lang w:val="en-GB"/>
              </w:rPr>
            </w:pPr>
            <w:r w:rsidRPr="00A66F03">
              <w:rPr>
                <w:rFonts w:eastAsia="Times New Roman" w:cstheme="minorHAnsi"/>
                <w:color w:val="000000"/>
                <w:sz w:val="12"/>
                <w:szCs w:val="12"/>
                <w:lang w:val="en-GB"/>
              </w:rPr>
              <w:t> </w:t>
            </w:r>
          </w:p>
        </w:tc>
        <w:tc>
          <w:tcPr>
            <w:tcW w:w="413" w:type="pct"/>
            <w:tcBorders>
              <w:top w:val="nil"/>
              <w:left w:val="nil"/>
              <w:bottom w:val="single" w:sz="8" w:space="0" w:color="auto"/>
              <w:right w:val="single" w:sz="8" w:space="0" w:color="auto"/>
            </w:tcBorders>
            <w:shd w:val="clear" w:color="auto" w:fill="auto"/>
            <w:vAlign w:val="center"/>
            <w:hideMark/>
          </w:tcPr>
          <w:p w14:paraId="049F4980" w14:textId="77777777" w:rsidR="00B643DB" w:rsidRPr="00A66F03" w:rsidRDefault="00976636" w:rsidP="00305B56">
            <w:pPr>
              <w:spacing w:after="0" w:line="240" w:lineRule="auto"/>
              <w:rPr>
                <w:rFonts w:eastAsia="Times New Roman" w:cstheme="minorHAnsi"/>
                <w:color w:val="000000"/>
                <w:sz w:val="12"/>
                <w:szCs w:val="12"/>
                <w:lang w:val="en-GB"/>
              </w:rPr>
            </w:pPr>
            <w:r w:rsidRPr="00A66F03">
              <w:rPr>
                <w:rFonts w:eastAsia="Times New Roman" w:cstheme="minorHAnsi"/>
                <w:color w:val="000000"/>
                <w:sz w:val="12"/>
                <w:szCs w:val="12"/>
                <w:lang w:val="en-GB"/>
              </w:rPr>
              <w:t> </w:t>
            </w:r>
          </w:p>
        </w:tc>
        <w:tc>
          <w:tcPr>
            <w:tcW w:w="413" w:type="pct"/>
            <w:tcBorders>
              <w:top w:val="nil"/>
              <w:left w:val="nil"/>
              <w:bottom w:val="single" w:sz="8" w:space="0" w:color="auto"/>
              <w:right w:val="single" w:sz="8" w:space="0" w:color="auto"/>
            </w:tcBorders>
            <w:shd w:val="clear" w:color="auto" w:fill="auto"/>
            <w:vAlign w:val="center"/>
            <w:hideMark/>
          </w:tcPr>
          <w:p w14:paraId="6DD373B6" w14:textId="77777777" w:rsidR="00B643DB" w:rsidRPr="00A66F03" w:rsidRDefault="00976636" w:rsidP="00305B56">
            <w:pPr>
              <w:spacing w:after="0" w:line="240" w:lineRule="auto"/>
              <w:rPr>
                <w:rFonts w:eastAsia="Times New Roman" w:cstheme="minorHAnsi"/>
                <w:color w:val="000000"/>
                <w:sz w:val="12"/>
                <w:szCs w:val="12"/>
                <w:lang w:val="en-GB"/>
              </w:rPr>
            </w:pPr>
            <w:r w:rsidRPr="00A66F03">
              <w:rPr>
                <w:rFonts w:eastAsia="Times New Roman" w:cstheme="minorHAnsi"/>
                <w:color w:val="000000"/>
                <w:sz w:val="12"/>
                <w:szCs w:val="12"/>
                <w:lang w:val="en-GB"/>
              </w:rPr>
              <w:t> </w:t>
            </w:r>
          </w:p>
        </w:tc>
        <w:tc>
          <w:tcPr>
            <w:tcW w:w="413" w:type="pct"/>
            <w:tcBorders>
              <w:top w:val="nil"/>
              <w:left w:val="nil"/>
              <w:bottom w:val="single" w:sz="8" w:space="0" w:color="auto"/>
              <w:right w:val="single" w:sz="8" w:space="0" w:color="auto"/>
            </w:tcBorders>
            <w:shd w:val="clear" w:color="auto" w:fill="auto"/>
            <w:vAlign w:val="center"/>
            <w:hideMark/>
          </w:tcPr>
          <w:p w14:paraId="640B0081" w14:textId="77777777" w:rsidR="00B643DB" w:rsidRPr="00A66F03" w:rsidRDefault="00976636" w:rsidP="00305B56">
            <w:pPr>
              <w:spacing w:after="0" w:line="240" w:lineRule="auto"/>
              <w:rPr>
                <w:rFonts w:eastAsia="Times New Roman" w:cstheme="minorHAnsi"/>
                <w:color w:val="000000"/>
                <w:sz w:val="12"/>
                <w:szCs w:val="12"/>
                <w:lang w:val="en-GB"/>
              </w:rPr>
            </w:pPr>
            <w:r w:rsidRPr="00A66F03">
              <w:rPr>
                <w:rFonts w:eastAsia="Times New Roman" w:cstheme="minorHAnsi"/>
                <w:color w:val="000000"/>
                <w:sz w:val="12"/>
                <w:szCs w:val="12"/>
                <w:lang w:val="en-GB"/>
              </w:rPr>
              <w:t xml:space="preserve">                           -     </w:t>
            </w:r>
          </w:p>
        </w:tc>
      </w:tr>
      <w:tr w:rsidR="00143DBE" w:rsidRPr="00A66F03" w14:paraId="476DC393" w14:textId="77777777" w:rsidTr="00305B56">
        <w:trPr>
          <w:trHeight w:val="405"/>
        </w:trPr>
        <w:tc>
          <w:tcPr>
            <w:tcW w:w="397" w:type="pct"/>
            <w:vMerge/>
            <w:tcBorders>
              <w:top w:val="nil"/>
              <w:left w:val="single" w:sz="8" w:space="0" w:color="auto"/>
              <w:bottom w:val="single" w:sz="8" w:space="0" w:color="000000"/>
              <w:right w:val="single" w:sz="8" w:space="0" w:color="auto"/>
            </w:tcBorders>
            <w:vAlign w:val="center"/>
            <w:hideMark/>
          </w:tcPr>
          <w:p w14:paraId="6C7CD0F3" w14:textId="77777777" w:rsidR="00B643DB" w:rsidRPr="00A66F03" w:rsidRDefault="00B643DB" w:rsidP="00305B56">
            <w:pPr>
              <w:spacing w:after="0" w:line="240" w:lineRule="auto"/>
              <w:rPr>
                <w:rFonts w:eastAsia="Times New Roman" w:cstheme="minorHAnsi"/>
                <w:color w:val="000000"/>
                <w:sz w:val="12"/>
                <w:szCs w:val="12"/>
                <w:lang w:val="en-GB"/>
              </w:rPr>
            </w:pPr>
          </w:p>
        </w:tc>
        <w:tc>
          <w:tcPr>
            <w:tcW w:w="475" w:type="pct"/>
            <w:tcBorders>
              <w:top w:val="nil"/>
              <w:left w:val="nil"/>
              <w:bottom w:val="single" w:sz="8" w:space="0" w:color="auto"/>
              <w:right w:val="single" w:sz="8" w:space="0" w:color="auto"/>
            </w:tcBorders>
            <w:shd w:val="clear" w:color="auto" w:fill="auto"/>
            <w:vAlign w:val="center"/>
            <w:hideMark/>
          </w:tcPr>
          <w:p w14:paraId="0B68FB88" w14:textId="77777777" w:rsidR="00B643DB" w:rsidRPr="00A66F03" w:rsidRDefault="00976636" w:rsidP="00305B56">
            <w:pPr>
              <w:spacing w:after="0" w:line="240" w:lineRule="auto"/>
              <w:rPr>
                <w:rFonts w:eastAsia="Times New Roman" w:cstheme="minorHAnsi"/>
                <w:color w:val="000000"/>
                <w:sz w:val="12"/>
                <w:szCs w:val="12"/>
                <w:lang w:val="en-GB"/>
              </w:rPr>
            </w:pPr>
            <w:r w:rsidRPr="00A66F03">
              <w:rPr>
                <w:rFonts w:eastAsia="Times New Roman" w:cstheme="minorHAnsi"/>
                <w:color w:val="000000"/>
                <w:sz w:val="12"/>
                <w:szCs w:val="12"/>
                <w:lang w:val="en-GB"/>
              </w:rPr>
              <w:t>Less developed</w:t>
            </w:r>
          </w:p>
        </w:tc>
        <w:tc>
          <w:tcPr>
            <w:tcW w:w="413" w:type="pct"/>
            <w:vMerge/>
            <w:tcBorders>
              <w:top w:val="nil"/>
              <w:left w:val="single" w:sz="8" w:space="0" w:color="auto"/>
              <w:bottom w:val="nil"/>
              <w:right w:val="single" w:sz="8" w:space="0" w:color="auto"/>
            </w:tcBorders>
            <w:vAlign w:val="center"/>
            <w:hideMark/>
          </w:tcPr>
          <w:p w14:paraId="5586509E" w14:textId="77777777" w:rsidR="00B643DB" w:rsidRPr="00A66F03" w:rsidRDefault="00B643DB" w:rsidP="00305B56">
            <w:pPr>
              <w:spacing w:after="0" w:line="240" w:lineRule="auto"/>
              <w:rPr>
                <w:rFonts w:eastAsia="Times New Roman" w:cstheme="minorHAnsi"/>
                <w:color w:val="000000"/>
                <w:sz w:val="12"/>
                <w:szCs w:val="12"/>
                <w:lang w:val="en-GB"/>
              </w:rPr>
            </w:pPr>
          </w:p>
        </w:tc>
        <w:tc>
          <w:tcPr>
            <w:tcW w:w="413" w:type="pct"/>
            <w:tcBorders>
              <w:top w:val="nil"/>
              <w:left w:val="nil"/>
              <w:bottom w:val="single" w:sz="8" w:space="0" w:color="auto"/>
              <w:right w:val="single" w:sz="8" w:space="0" w:color="auto"/>
            </w:tcBorders>
            <w:shd w:val="clear" w:color="auto" w:fill="auto"/>
            <w:vAlign w:val="center"/>
            <w:hideMark/>
          </w:tcPr>
          <w:p w14:paraId="1CCFB0CA" w14:textId="77777777" w:rsidR="00B643DB" w:rsidRPr="00A66F03" w:rsidRDefault="00976636" w:rsidP="00305B56">
            <w:pPr>
              <w:spacing w:after="0" w:line="240" w:lineRule="auto"/>
              <w:rPr>
                <w:rFonts w:eastAsia="Times New Roman" w:cstheme="minorHAnsi"/>
                <w:color w:val="000000"/>
                <w:sz w:val="12"/>
                <w:szCs w:val="12"/>
                <w:lang w:val="en-GB"/>
              </w:rPr>
            </w:pPr>
            <w:r w:rsidRPr="00A66F03">
              <w:rPr>
                <w:rFonts w:eastAsia="Times New Roman" w:cstheme="minorHAnsi"/>
                <w:color w:val="000000"/>
                <w:sz w:val="12"/>
                <w:szCs w:val="12"/>
                <w:lang w:val="en-GB"/>
              </w:rPr>
              <w:t> </w:t>
            </w:r>
          </w:p>
        </w:tc>
        <w:tc>
          <w:tcPr>
            <w:tcW w:w="413" w:type="pct"/>
            <w:tcBorders>
              <w:top w:val="nil"/>
              <w:left w:val="nil"/>
              <w:bottom w:val="single" w:sz="8" w:space="0" w:color="auto"/>
              <w:right w:val="single" w:sz="8" w:space="0" w:color="auto"/>
            </w:tcBorders>
            <w:shd w:val="clear" w:color="auto" w:fill="auto"/>
            <w:vAlign w:val="center"/>
            <w:hideMark/>
          </w:tcPr>
          <w:p w14:paraId="66BE04BB" w14:textId="77777777" w:rsidR="00B643DB" w:rsidRPr="00A66F03" w:rsidRDefault="00976636" w:rsidP="00305B56">
            <w:pPr>
              <w:spacing w:after="0" w:line="240" w:lineRule="auto"/>
              <w:rPr>
                <w:rFonts w:eastAsia="Times New Roman" w:cstheme="minorHAnsi"/>
                <w:color w:val="000000"/>
                <w:sz w:val="12"/>
                <w:szCs w:val="12"/>
                <w:lang w:val="en-GB"/>
              </w:rPr>
            </w:pPr>
            <w:r w:rsidRPr="00A66F03">
              <w:rPr>
                <w:rFonts w:eastAsia="Times New Roman" w:cstheme="minorHAnsi"/>
                <w:color w:val="000000"/>
                <w:sz w:val="12"/>
                <w:szCs w:val="12"/>
                <w:lang w:val="en-GB"/>
              </w:rPr>
              <w:t> </w:t>
            </w:r>
          </w:p>
        </w:tc>
        <w:tc>
          <w:tcPr>
            <w:tcW w:w="413" w:type="pct"/>
            <w:tcBorders>
              <w:top w:val="nil"/>
              <w:left w:val="nil"/>
              <w:bottom w:val="single" w:sz="8" w:space="0" w:color="auto"/>
              <w:right w:val="single" w:sz="8" w:space="0" w:color="auto"/>
            </w:tcBorders>
            <w:shd w:val="clear" w:color="auto" w:fill="auto"/>
            <w:vAlign w:val="center"/>
            <w:hideMark/>
          </w:tcPr>
          <w:p w14:paraId="22C8617D" w14:textId="77777777" w:rsidR="00B643DB" w:rsidRPr="00A66F03" w:rsidRDefault="00976636" w:rsidP="00305B56">
            <w:pPr>
              <w:spacing w:after="0" w:line="240" w:lineRule="auto"/>
              <w:rPr>
                <w:rFonts w:eastAsia="Times New Roman" w:cstheme="minorHAnsi"/>
                <w:color w:val="000000"/>
                <w:sz w:val="12"/>
                <w:szCs w:val="12"/>
                <w:lang w:val="en-GB"/>
              </w:rPr>
            </w:pPr>
            <w:r w:rsidRPr="00A66F03">
              <w:rPr>
                <w:rFonts w:eastAsia="Times New Roman" w:cstheme="minorHAnsi"/>
                <w:color w:val="000000"/>
                <w:sz w:val="12"/>
                <w:szCs w:val="12"/>
                <w:lang w:val="en-GB"/>
              </w:rPr>
              <w:t> </w:t>
            </w:r>
          </w:p>
        </w:tc>
        <w:tc>
          <w:tcPr>
            <w:tcW w:w="413" w:type="pct"/>
            <w:tcBorders>
              <w:top w:val="nil"/>
              <w:left w:val="nil"/>
              <w:bottom w:val="single" w:sz="8" w:space="0" w:color="auto"/>
              <w:right w:val="single" w:sz="8" w:space="0" w:color="auto"/>
            </w:tcBorders>
            <w:shd w:val="clear" w:color="auto" w:fill="auto"/>
            <w:vAlign w:val="center"/>
            <w:hideMark/>
          </w:tcPr>
          <w:p w14:paraId="7C50ACEE" w14:textId="77777777" w:rsidR="00B643DB" w:rsidRPr="00A66F03" w:rsidRDefault="00976636" w:rsidP="00305B56">
            <w:pPr>
              <w:spacing w:after="0" w:line="240" w:lineRule="auto"/>
              <w:rPr>
                <w:rFonts w:eastAsia="Times New Roman" w:cstheme="minorHAnsi"/>
                <w:color w:val="000000"/>
                <w:sz w:val="12"/>
                <w:szCs w:val="12"/>
                <w:lang w:val="en-GB"/>
              </w:rPr>
            </w:pPr>
            <w:r w:rsidRPr="00A66F03">
              <w:rPr>
                <w:rFonts w:eastAsia="Times New Roman" w:cstheme="minorHAnsi"/>
                <w:color w:val="000000"/>
                <w:sz w:val="12"/>
                <w:szCs w:val="12"/>
                <w:lang w:val="en-GB"/>
              </w:rPr>
              <w:t> </w:t>
            </w:r>
          </w:p>
        </w:tc>
        <w:tc>
          <w:tcPr>
            <w:tcW w:w="413" w:type="pct"/>
            <w:tcBorders>
              <w:top w:val="nil"/>
              <w:left w:val="nil"/>
              <w:bottom w:val="single" w:sz="8" w:space="0" w:color="auto"/>
              <w:right w:val="single" w:sz="8" w:space="0" w:color="auto"/>
            </w:tcBorders>
            <w:shd w:val="clear" w:color="auto" w:fill="auto"/>
            <w:vAlign w:val="center"/>
            <w:hideMark/>
          </w:tcPr>
          <w:p w14:paraId="3E073354" w14:textId="77777777" w:rsidR="00B643DB" w:rsidRPr="00A66F03" w:rsidRDefault="00976636" w:rsidP="00305B56">
            <w:pPr>
              <w:spacing w:after="0" w:line="240" w:lineRule="auto"/>
              <w:rPr>
                <w:rFonts w:eastAsia="Times New Roman" w:cstheme="minorHAnsi"/>
                <w:color w:val="000000"/>
                <w:sz w:val="12"/>
                <w:szCs w:val="12"/>
                <w:lang w:val="en-GB"/>
              </w:rPr>
            </w:pPr>
            <w:r w:rsidRPr="00A66F03">
              <w:rPr>
                <w:rFonts w:eastAsia="Times New Roman" w:cstheme="minorHAnsi"/>
                <w:color w:val="000000"/>
                <w:sz w:val="12"/>
                <w:szCs w:val="12"/>
                <w:lang w:val="en-GB"/>
              </w:rPr>
              <w:t> </w:t>
            </w:r>
          </w:p>
        </w:tc>
        <w:tc>
          <w:tcPr>
            <w:tcW w:w="413" w:type="pct"/>
            <w:tcBorders>
              <w:top w:val="nil"/>
              <w:left w:val="nil"/>
              <w:bottom w:val="single" w:sz="8" w:space="0" w:color="auto"/>
              <w:right w:val="single" w:sz="8" w:space="0" w:color="auto"/>
            </w:tcBorders>
            <w:shd w:val="clear" w:color="auto" w:fill="auto"/>
            <w:vAlign w:val="center"/>
            <w:hideMark/>
          </w:tcPr>
          <w:p w14:paraId="3548E393" w14:textId="77777777" w:rsidR="00B643DB" w:rsidRPr="00A66F03" w:rsidRDefault="00976636" w:rsidP="00305B56">
            <w:pPr>
              <w:spacing w:after="0" w:line="240" w:lineRule="auto"/>
              <w:rPr>
                <w:rFonts w:eastAsia="Times New Roman" w:cstheme="minorHAnsi"/>
                <w:color w:val="000000"/>
                <w:sz w:val="12"/>
                <w:szCs w:val="12"/>
                <w:lang w:val="en-GB"/>
              </w:rPr>
            </w:pPr>
            <w:r w:rsidRPr="00A66F03">
              <w:rPr>
                <w:rFonts w:eastAsia="Times New Roman" w:cstheme="minorHAnsi"/>
                <w:color w:val="000000"/>
                <w:sz w:val="12"/>
                <w:szCs w:val="12"/>
                <w:lang w:val="en-GB"/>
              </w:rPr>
              <w:t> </w:t>
            </w:r>
          </w:p>
        </w:tc>
        <w:tc>
          <w:tcPr>
            <w:tcW w:w="413" w:type="pct"/>
            <w:tcBorders>
              <w:top w:val="nil"/>
              <w:left w:val="nil"/>
              <w:bottom w:val="single" w:sz="8" w:space="0" w:color="auto"/>
              <w:right w:val="single" w:sz="8" w:space="0" w:color="auto"/>
            </w:tcBorders>
            <w:shd w:val="clear" w:color="auto" w:fill="auto"/>
            <w:vAlign w:val="center"/>
            <w:hideMark/>
          </w:tcPr>
          <w:p w14:paraId="484F51DF" w14:textId="77777777" w:rsidR="00B643DB" w:rsidRPr="00A66F03" w:rsidRDefault="00976636" w:rsidP="00305B56">
            <w:pPr>
              <w:spacing w:after="0" w:line="240" w:lineRule="auto"/>
              <w:rPr>
                <w:rFonts w:eastAsia="Times New Roman" w:cstheme="minorHAnsi"/>
                <w:color w:val="000000"/>
                <w:sz w:val="12"/>
                <w:szCs w:val="12"/>
                <w:lang w:val="en-GB"/>
              </w:rPr>
            </w:pPr>
            <w:r w:rsidRPr="00A66F03">
              <w:rPr>
                <w:rFonts w:eastAsia="Times New Roman" w:cstheme="minorHAnsi"/>
                <w:color w:val="000000"/>
                <w:sz w:val="12"/>
                <w:szCs w:val="12"/>
                <w:lang w:val="en-GB"/>
              </w:rPr>
              <w:t> </w:t>
            </w:r>
          </w:p>
        </w:tc>
        <w:tc>
          <w:tcPr>
            <w:tcW w:w="413" w:type="pct"/>
            <w:tcBorders>
              <w:top w:val="nil"/>
              <w:left w:val="nil"/>
              <w:bottom w:val="single" w:sz="8" w:space="0" w:color="auto"/>
              <w:right w:val="single" w:sz="8" w:space="0" w:color="auto"/>
            </w:tcBorders>
            <w:shd w:val="clear" w:color="auto" w:fill="auto"/>
            <w:vAlign w:val="center"/>
            <w:hideMark/>
          </w:tcPr>
          <w:p w14:paraId="2604BF31" w14:textId="77777777" w:rsidR="00B643DB" w:rsidRPr="00A66F03" w:rsidRDefault="00976636" w:rsidP="00305B56">
            <w:pPr>
              <w:spacing w:after="0" w:line="240" w:lineRule="auto"/>
              <w:rPr>
                <w:rFonts w:eastAsia="Times New Roman" w:cstheme="minorHAnsi"/>
                <w:color w:val="000000"/>
                <w:sz w:val="12"/>
                <w:szCs w:val="12"/>
                <w:lang w:val="en-GB"/>
              </w:rPr>
            </w:pPr>
            <w:r w:rsidRPr="00A66F03">
              <w:rPr>
                <w:rFonts w:eastAsia="Times New Roman" w:cstheme="minorHAnsi"/>
                <w:color w:val="000000"/>
                <w:sz w:val="12"/>
                <w:szCs w:val="12"/>
                <w:lang w:val="en-GB"/>
              </w:rPr>
              <w:t> </w:t>
            </w:r>
          </w:p>
        </w:tc>
        <w:tc>
          <w:tcPr>
            <w:tcW w:w="413" w:type="pct"/>
            <w:tcBorders>
              <w:top w:val="nil"/>
              <w:left w:val="nil"/>
              <w:bottom w:val="single" w:sz="8" w:space="0" w:color="auto"/>
              <w:right w:val="single" w:sz="8" w:space="0" w:color="auto"/>
            </w:tcBorders>
            <w:shd w:val="clear" w:color="auto" w:fill="auto"/>
            <w:vAlign w:val="center"/>
            <w:hideMark/>
          </w:tcPr>
          <w:p w14:paraId="1F2772D9" w14:textId="77777777" w:rsidR="00B643DB" w:rsidRPr="00A66F03" w:rsidRDefault="00976636" w:rsidP="00305B56">
            <w:pPr>
              <w:spacing w:after="0" w:line="240" w:lineRule="auto"/>
              <w:rPr>
                <w:rFonts w:eastAsia="Times New Roman" w:cstheme="minorHAnsi"/>
                <w:color w:val="000000"/>
                <w:sz w:val="12"/>
                <w:szCs w:val="12"/>
                <w:lang w:val="en-GB"/>
              </w:rPr>
            </w:pPr>
            <w:r w:rsidRPr="00A66F03">
              <w:rPr>
                <w:rFonts w:eastAsia="Times New Roman" w:cstheme="minorHAnsi"/>
                <w:color w:val="000000"/>
                <w:sz w:val="12"/>
                <w:szCs w:val="12"/>
                <w:lang w:val="en-GB"/>
              </w:rPr>
              <w:t xml:space="preserve">                           -     </w:t>
            </w:r>
          </w:p>
        </w:tc>
      </w:tr>
      <w:tr w:rsidR="00143DBE" w:rsidRPr="00A66F03" w14:paraId="3A2C84B7" w14:textId="77777777" w:rsidTr="00305B56">
        <w:trPr>
          <w:trHeight w:val="405"/>
        </w:trPr>
        <w:tc>
          <w:tcPr>
            <w:tcW w:w="397" w:type="pct"/>
            <w:vMerge w:val="restart"/>
            <w:tcBorders>
              <w:top w:val="nil"/>
              <w:left w:val="single" w:sz="8" w:space="0" w:color="auto"/>
              <w:bottom w:val="single" w:sz="8" w:space="0" w:color="000000"/>
              <w:right w:val="single" w:sz="8" w:space="0" w:color="auto"/>
            </w:tcBorders>
            <w:shd w:val="clear" w:color="auto" w:fill="auto"/>
            <w:vAlign w:val="center"/>
            <w:hideMark/>
          </w:tcPr>
          <w:p w14:paraId="58F4C8F3" w14:textId="77777777" w:rsidR="00B643DB" w:rsidRPr="00A66F03" w:rsidRDefault="00976636" w:rsidP="00305B56">
            <w:pPr>
              <w:spacing w:after="0" w:line="240" w:lineRule="auto"/>
              <w:jc w:val="center"/>
              <w:rPr>
                <w:rFonts w:eastAsia="Times New Roman" w:cstheme="minorHAnsi"/>
                <w:color w:val="000000"/>
                <w:sz w:val="12"/>
                <w:szCs w:val="12"/>
                <w:lang w:val="en-GB"/>
              </w:rPr>
            </w:pPr>
            <w:r w:rsidRPr="00A66F03">
              <w:rPr>
                <w:rFonts w:eastAsia="Times New Roman" w:cstheme="minorHAnsi"/>
                <w:color w:val="000000"/>
                <w:sz w:val="12"/>
                <w:szCs w:val="12"/>
                <w:lang w:val="en-GB"/>
              </w:rPr>
              <w:t>ESF+</w:t>
            </w:r>
          </w:p>
        </w:tc>
        <w:tc>
          <w:tcPr>
            <w:tcW w:w="475" w:type="pct"/>
            <w:tcBorders>
              <w:top w:val="nil"/>
              <w:left w:val="nil"/>
              <w:bottom w:val="single" w:sz="8" w:space="0" w:color="auto"/>
              <w:right w:val="single" w:sz="8" w:space="0" w:color="auto"/>
            </w:tcBorders>
            <w:shd w:val="clear" w:color="auto" w:fill="auto"/>
            <w:vAlign w:val="center"/>
            <w:hideMark/>
          </w:tcPr>
          <w:p w14:paraId="41CDF75B" w14:textId="77777777" w:rsidR="00B643DB" w:rsidRPr="00A66F03" w:rsidRDefault="00976636" w:rsidP="00305B56">
            <w:pPr>
              <w:spacing w:after="0" w:line="240" w:lineRule="auto"/>
              <w:rPr>
                <w:rFonts w:eastAsia="Times New Roman" w:cstheme="minorHAnsi"/>
                <w:color w:val="000000"/>
                <w:sz w:val="12"/>
                <w:szCs w:val="12"/>
                <w:lang w:val="en-GB"/>
              </w:rPr>
            </w:pPr>
            <w:r w:rsidRPr="00A66F03">
              <w:rPr>
                <w:rFonts w:eastAsia="Times New Roman" w:cstheme="minorHAnsi"/>
                <w:color w:val="000000"/>
                <w:sz w:val="12"/>
                <w:szCs w:val="12"/>
                <w:lang w:val="en-GB"/>
              </w:rPr>
              <w:t>More developed</w:t>
            </w:r>
          </w:p>
        </w:tc>
        <w:tc>
          <w:tcPr>
            <w:tcW w:w="413" w:type="pct"/>
            <w:vMerge w:val="restart"/>
            <w:tcBorders>
              <w:top w:val="single" w:sz="8" w:space="0" w:color="auto"/>
              <w:left w:val="single" w:sz="8" w:space="0" w:color="auto"/>
              <w:bottom w:val="nil"/>
              <w:right w:val="single" w:sz="8" w:space="0" w:color="auto"/>
            </w:tcBorders>
            <w:shd w:val="clear" w:color="auto" w:fill="auto"/>
            <w:vAlign w:val="center"/>
            <w:hideMark/>
          </w:tcPr>
          <w:p w14:paraId="1597392D" w14:textId="77777777" w:rsidR="00B643DB" w:rsidRPr="00A66F03" w:rsidRDefault="00976636" w:rsidP="00305B56">
            <w:pPr>
              <w:spacing w:after="0" w:line="240" w:lineRule="auto"/>
              <w:jc w:val="center"/>
              <w:rPr>
                <w:rFonts w:eastAsia="Times New Roman" w:cstheme="minorHAnsi"/>
                <w:color w:val="000000"/>
                <w:sz w:val="12"/>
                <w:szCs w:val="12"/>
                <w:lang w:val="en-GB"/>
              </w:rPr>
            </w:pPr>
            <w:r w:rsidRPr="00A66F03">
              <w:rPr>
                <w:rFonts w:eastAsia="Times New Roman" w:cstheme="minorHAnsi"/>
                <w:color w:val="000000"/>
                <w:sz w:val="12"/>
                <w:szCs w:val="12"/>
                <w:lang w:val="en-GB"/>
              </w:rPr>
              <w:t>ERDF</w:t>
            </w:r>
          </w:p>
        </w:tc>
        <w:tc>
          <w:tcPr>
            <w:tcW w:w="413" w:type="pct"/>
            <w:tcBorders>
              <w:top w:val="nil"/>
              <w:left w:val="nil"/>
              <w:bottom w:val="single" w:sz="8" w:space="0" w:color="auto"/>
              <w:right w:val="single" w:sz="8" w:space="0" w:color="auto"/>
            </w:tcBorders>
            <w:shd w:val="clear" w:color="auto" w:fill="auto"/>
            <w:vAlign w:val="center"/>
            <w:hideMark/>
          </w:tcPr>
          <w:p w14:paraId="65792207" w14:textId="77777777" w:rsidR="00B643DB" w:rsidRPr="00A66F03" w:rsidRDefault="00976636" w:rsidP="00305B56">
            <w:pPr>
              <w:spacing w:after="0" w:line="240" w:lineRule="auto"/>
              <w:rPr>
                <w:rFonts w:eastAsia="Times New Roman" w:cstheme="minorHAnsi"/>
                <w:color w:val="000000"/>
                <w:sz w:val="12"/>
                <w:szCs w:val="12"/>
                <w:lang w:val="en-GB"/>
              </w:rPr>
            </w:pPr>
            <w:r w:rsidRPr="00A66F03">
              <w:rPr>
                <w:rFonts w:eastAsia="Times New Roman" w:cstheme="minorHAnsi"/>
                <w:color w:val="000000"/>
                <w:sz w:val="12"/>
                <w:szCs w:val="12"/>
                <w:lang w:val="en-GB"/>
              </w:rPr>
              <w:t>More developed</w:t>
            </w:r>
          </w:p>
        </w:tc>
        <w:tc>
          <w:tcPr>
            <w:tcW w:w="413" w:type="pct"/>
            <w:tcBorders>
              <w:top w:val="nil"/>
              <w:left w:val="nil"/>
              <w:bottom w:val="single" w:sz="8" w:space="0" w:color="auto"/>
              <w:right w:val="single" w:sz="8" w:space="0" w:color="auto"/>
            </w:tcBorders>
            <w:shd w:val="clear" w:color="auto" w:fill="auto"/>
            <w:vAlign w:val="center"/>
            <w:hideMark/>
          </w:tcPr>
          <w:p w14:paraId="731B4699" w14:textId="77777777" w:rsidR="00B643DB" w:rsidRPr="00A66F03" w:rsidRDefault="00976636" w:rsidP="00305B56">
            <w:pPr>
              <w:spacing w:after="0" w:line="240" w:lineRule="auto"/>
              <w:rPr>
                <w:rFonts w:eastAsia="Times New Roman" w:cstheme="minorHAnsi"/>
                <w:color w:val="000000"/>
                <w:sz w:val="12"/>
                <w:szCs w:val="12"/>
                <w:lang w:val="en-GB"/>
              </w:rPr>
            </w:pPr>
            <w:r w:rsidRPr="00A66F03">
              <w:rPr>
                <w:rFonts w:eastAsia="Times New Roman" w:cstheme="minorHAnsi"/>
                <w:color w:val="000000"/>
                <w:sz w:val="12"/>
                <w:szCs w:val="12"/>
                <w:lang w:val="en-GB"/>
              </w:rPr>
              <w:t> </w:t>
            </w:r>
          </w:p>
        </w:tc>
        <w:tc>
          <w:tcPr>
            <w:tcW w:w="413" w:type="pct"/>
            <w:tcBorders>
              <w:top w:val="nil"/>
              <w:left w:val="nil"/>
              <w:bottom w:val="single" w:sz="8" w:space="0" w:color="auto"/>
              <w:right w:val="single" w:sz="8" w:space="0" w:color="auto"/>
            </w:tcBorders>
            <w:shd w:val="clear" w:color="auto" w:fill="auto"/>
            <w:vAlign w:val="center"/>
            <w:hideMark/>
          </w:tcPr>
          <w:p w14:paraId="78705689" w14:textId="77777777" w:rsidR="00B643DB" w:rsidRPr="00A66F03" w:rsidRDefault="00976636" w:rsidP="00305B56">
            <w:pPr>
              <w:spacing w:after="0" w:line="240" w:lineRule="auto"/>
              <w:jc w:val="right"/>
              <w:rPr>
                <w:rFonts w:eastAsia="Times New Roman" w:cstheme="minorHAnsi"/>
                <w:color w:val="000000"/>
                <w:sz w:val="12"/>
                <w:szCs w:val="12"/>
                <w:lang w:val="en-GB"/>
              </w:rPr>
            </w:pPr>
            <w:r w:rsidRPr="00A66F03">
              <w:rPr>
                <w:rFonts w:eastAsia="Times New Roman" w:cstheme="minorHAnsi"/>
                <w:color w:val="000000"/>
                <w:sz w:val="12"/>
                <w:szCs w:val="12"/>
                <w:lang w:val="en-GB"/>
              </w:rPr>
              <w:t xml:space="preserve">7,410,866 </w:t>
            </w:r>
          </w:p>
        </w:tc>
        <w:tc>
          <w:tcPr>
            <w:tcW w:w="413" w:type="pct"/>
            <w:tcBorders>
              <w:top w:val="nil"/>
              <w:left w:val="nil"/>
              <w:bottom w:val="single" w:sz="8" w:space="0" w:color="auto"/>
              <w:right w:val="single" w:sz="8" w:space="0" w:color="auto"/>
            </w:tcBorders>
            <w:shd w:val="clear" w:color="auto" w:fill="auto"/>
            <w:vAlign w:val="center"/>
            <w:hideMark/>
          </w:tcPr>
          <w:p w14:paraId="08B4C8D3" w14:textId="77777777" w:rsidR="00B643DB" w:rsidRPr="00A66F03" w:rsidRDefault="00976636" w:rsidP="00305B56">
            <w:pPr>
              <w:spacing w:after="0" w:line="240" w:lineRule="auto"/>
              <w:jc w:val="right"/>
              <w:rPr>
                <w:rFonts w:eastAsia="Times New Roman" w:cstheme="minorHAnsi"/>
                <w:color w:val="000000"/>
                <w:sz w:val="12"/>
                <w:szCs w:val="12"/>
                <w:lang w:val="en-GB"/>
              </w:rPr>
            </w:pPr>
            <w:r w:rsidRPr="00A66F03">
              <w:rPr>
                <w:rFonts w:eastAsia="Times New Roman" w:cstheme="minorHAnsi"/>
                <w:color w:val="000000"/>
                <w:sz w:val="12"/>
                <w:szCs w:val="12"/>
                <w:lang w:val="en-GB"/>
              </w:rPr>
              <w:t xml:space="preserve">7,410,866 </w:t>
            </w:r>
          </w:p>
        </w:tc>
        <w:tc>
          <w:tcPr>
            <w:tcW w:w="413" w:type="pct"/>
            <w:tcBorders>
              <w:top w:val="nil"/>
              <w:left w:val="nil"/>
              <w:bottom w:val="single" w:sz="8" w:space="0" w:color="auto"/>
              <w:right w:val="single" w:sz="8" w:space="0" w:color="auto"/>
            </w:tcBorders>
            <w:shd w:val="clear" w:color="auto" w:fill="auto"/>
            <w:vAlign w:val="center"/>
            <w:hideMark/>
          </w:tcPr>
          <w:p w14:paraId="1A88EE4B" w14:textId="77777777" w:rsidR="00B643DB" w:rsidRPr="00A66F03" w:rsidRDefault="00976636" w:rsidP="00305B56">
            <w:pPr>
              <w:spacing w:after="0" w:line="240" w:lineRule="auto"/>
              <w:rPr>
                <w:rFonts w:eastAsia="Times New Roman" w:cstheme="minorHAnsi"/>
                <w:color w:val="000000"/>
                <w:sz w:val="12"/>
                <w:szCs w:val="12"/>
                <w:lang w:val="en-GB"/>
              </w:rPr>
            </w:pPr>
            <w:r w:rsidRPr="00A66F03">
              <w:rPr>
                <w:rFonts w:eastAsia="Times New Roman" w:cstheme="minorHAnsi"/>
                <w:color w:val="000000"/>
                <w:sz w:val="12"/>
                <w:szCs w:val="12"/>
                <w:lang w:val="en-GB"/>
              </w:rPr>
              <w:t> </w:t>
            </w:r>
          </w:p>
        </w:tc>
        <w:tc>
          <w:tcPr>
            <w:tcW w:w="413" w:type="pct"/>
            <w:tcBorders>
              <w:top w:val="nil"/>
              <w:left w:val="nil"/>
              <w:bottom w:val="single" w:sz="8" w:space="0" w:color="auto"/>
              <w:right w:val="single" w:sz="8" w:space="0" w:color="auto"/>
            </w:tcBorders>
            <w:shd w:val="clear" w:color="auto" w:fill="auto"/>
            <w:vAlign w:val="center"/>
            <w:hideMark/>
          </w:tcPr>
          <w:p w14:paraId="122A6A19" w14:textId="77777777" w:rsidR="00B643DB" w:rsidRPr="00A66F03" w:rsidRDefault="00976636" w:rsidP="00305B56">
            <w:pPr>
              <w:spacing w:after="0" w:line="240" w:lineRule="auto"/>
              <w:rPr>
                <w:rFonts w:eastAsia="Times New Roman" w:cstheme="minorHAnsi"/>
                <w:color w:val="000000"/>
                <w:sz w:val="12"/>
                <w:szCs w:val="12"/>
                <w:lang w:val="en-GB"/>
              </w:rPr>
            </w:pPr>
            <w:r w:rsidRPr="00A66F03">
              <w:rPr>
                <w:rFonts w:eastAsia="Times New Roman" w:cstheme="minorHAnsi"/>
                <w:color w:val="000000"/>
                <w:sz w:val="12"/>
                <w:szCs w:val="12"/>
                <w:lang w:val="en-GB"/>
              </w:rPr>
              <w:t> </w:t>
            </w:r>
          </w:p>
        </w:tc>
        <w:tc>
          <w:tcPr>
            <w:tcW w:w="413" w:type="pct"/>
            <w:tcBorders>
              <w:top w:val="nil"/>
              <w:left w:val="nil"/>
              <w:bottom w:val="single" w:sz="8" w:space="0" w:color="auto"/>
              <w:right w:val="single" w:sz="8" w:space="0" w:color="auto"/>
            </w:tcBorders>
            <w:shd w:val="clear" w:color="auto" w:fill="auto"/>
            <w:vAlign w:val="center"/>
            <w:hideMark/>
          </w:tcPr>
          <w:p w14:paraId="0034F310" w14:textId="77777777" w:rsidR="00B643DB" w:rsidRPr="00A66F03" w:rsidRDefault="00976636" w:rsidP="00305B56">
            <w:pPr>
              <w:spacing w:after="0" w:line="240" w:lineRule="auto"/>
              <w:rPr>
                <w:rFonts w:eastAsia="Times New Roman" w:cstheme="minorHAnsi"/>
                <w:color w:val="000000"/>
                <w:sz w:val="12"/>
                <w:szCs w:val="12"/>
                <w:lang w:val="en-GB"/>
              </w:rPr>
            </w:pPr>
            <w:r w:rsidRPr="00A66F03">
              <w:rPr>
                <w:rFonts w:eastAsia="Times New Roman" w:cstheme="minorHAnsi"/>
                <w:color w:val="000000"/>
                <w:sz w:val="12"/>
                <w:szCs w:val="12"/>
                <w:lang w:val="en-GB"/>
              </w:rPr>
              <w:t> </w:t>
            </w:r>
          </w:p>
        </w:tc>
        <w:tc>
          <w:tcPr>
            <w:tcW w:w="413" w:type="pct"/>
            <w:tcBorders>
              <w:top w:val="nil"/>
              <w:left w:val="nil"/>
              <w:bottom w:val="single" w:sz="8" w:space="0" w:color="auto"/>
              <w:right w:val="single" w:sz="8" w:space="0" w:color="auto"/>
            </w:tcBorders>
            <w:shd w:val="clear" w:color="auto" w:fill="auto"/>
            <w:vAlign w:val="center"/>
            <w:hideMark/>
          </w:tcPr>
          <w:p w14:paraId="0A5D6636" w14:textId="77777777" w:rsidR="00B643DB" w:rsidRPr="00A66F03" w:rsidRDefault="00976636" w:rsidP="00305B56">
            <w:pPr>
              <w:spacing w:after="0" w:line="240" w:lineRule="auto"/>
              <w:rPr>
                <w:rFonts w:eastAsia="Times New Roman" w:cstheme="minorHAnsi"/>
                <w:color w:val="000000"/>
                <w:sz w:val="12"/>
                <w:szCs w:val="12"/>
                <w:lang w:val="en-GB"/>
              </w:rPr>
            </w:pPr>
            <w:r w:rsidRPr="00A66F03">
              <w:rPr>
                <w:rFonts w:eastAsia="Times New Roman" w:cstheme="minorHAnsi"/>
                <w:color w:val="000000"/>
                <w:sz w:val="12"/>
                <w:szCs w:val="12"/>
                <w:lang w:val="en-GB"/>
              </w:rPr>
              <w:t> </w:t>
            </w:r>
          </w:p>
        </w:tc>
        <w:tc>
          <w:tcPr>
            <w:tcW w:w="413" w:type="pct"/>
            <w:tcBorders>
              <w:top w:val="nil"/>
              <w:left w:val="nil"/>
              <w:bottom w:val="single" w:sz="8" w:space="0" w:color="auto"/>
              <w:right w:val="single" w:sz="8" w:space="0" w:color="auto"/>
            </w:tcBorders>
            <w:shd w:val="clear" w:color="auto" w:fill="auto"/>
            <w:vAlign w:val="center"/>
            <w:hideMark/>
          </w:tcPr>
          <w:p w14:paraId="3C26DE57" w14:textId="77777777" w:rsidR="00B643DB" w:rsidRPr="00A66F03" w:rsidRDefault="00976636" w:rsidP="00305B56">
            <w:pPr>
              <w:spacing w:after="0" w:line="240" w:lineRule="auto"/>
              <w:jc w:val="right"/>
              <w:rPr>
                <w:rFonts w:eastAsia="Times New Roman" w:cstheme="minorHAnsi"/>
                <w:color w:val="000000"/>
                <w:sz w:val="12"/>
                <w:szCs w:val="12"/>
                <w:lang w:val="en-GB"/>
              </w:rPr>
            </w:pPr>
            <w:r w:rsidRPr="00A66F03">
              <w:rPr>
                <w:rFonts w:eastAsia="Times New Roman" w:cstheme="minorHAnsi"/>
                <w:color w:val="000000"/>
                <w:sz w:val="12"/>
                <w:szCs w:val="12"/>
                <w:lang w:val="en-GB"/>
              </w:rPr>
              <w:t xml:space="preserve">14,821,732 </w:t>
            </w:r>
          </w:p>
        </w:tc>
      </w:tr>
      <w:tr w:rsidR="00143DBE" w:rsidRPr="00A66F03" w14:paraId="30E061C2" w14:textId="77777777" w:rsidTr="00305B56">
        <w:trPr>
          <w:trHeight w:val="405"/>
        </w:trPr>
        <w:tc>
          <w:tcPr>
            <w:tcW w:w="397" w:type="pct"/>
            <w:vMerge/>
            <w:tcBorders>
              <w:top w:val="nil"/>
              <w:left w:val="single" w:sz="8" w:space="0" w:color="auto"/>
              <w:bottom w:val="single" w:sz="8" w:space="0" w:color="000000"/>
              <w:right w:val="single" w:sz="8" w:space="0" w:color="auto"/>
            </w:tcBorders>
            <w:vAlign w:val="center"/>
            <w:hideMark/>
          </w:tcPr>
          <w:p w14:paraId="58EC3838" w14:textId="77777777" w:rsidR="00B643DB" w:rsidRPr="00A66F03" w:rsidRDefault="00B643DB" w:rsidP="00305B56">
            <w:pPr>
              <w:spacing w:after="0" w:line="240" w:lineRule="auto"/>
              <w:rPr>
                <w:rFonts w:eastAsia="Times New Roman" w:cstheme="minorHAnsi"/>
                <w:color w:val="000000"/>
                <w:sz w:val="12"/>
                <w:szCs w:val="12"/>
                <w:lang w:val="en-GB"/>
              </w:rPr>
            </w:pPr>
          </w:p>
        </w:tc>
        <w:tc>
          <w:tcPr>
            <w:tcW w:w="475" w:type="pct"/>
            <w:tcBorders>
              <w:top w:val="nil"/>
              <w:left w:val="nil"/>
              <w:bottom w:val="single" w:sz="8" w:space="0" w:color="auto"/>
              <w:right w:val="single" w:sz="8" w:space="0" w:color="auto"/>
            </w:tcBorders>
            <w:shd w:val="clear" w:color="auto" w:fill="auto"/>
            <w:vAlign w:val="center"/>
            <w:hideMark/>
          </w:tcPr>
          <w:p w14:paraId="7935B114" w14:textId="77777777" w:rsidR="00B643DB" w:rsidRPr="00A66F03" w:rsidRDefault="00976636" w:rsidP="00305B56">
            <w:pPr>
              <w:spacing w:after="0" w:line="240" w:lineRule="auto"/>
              <w:rPr>
                <w:rFonts w:eastAsia="Times New Roman" w:cstheme="minorHAnsi"/>
                <w:color w:val="000000"/>
                <w:sz w:val="12"/>
                <w:szCs w:val="12"/>
                <w:lang w:val="en-GB"/>
              </w:rPr>
            </w:pPr>
            <w:r w:rsidRPr="00A66F03">
              <w:rPr>
                <w:rFonts w:eastAsia="Times New Roman" w:cstheme="minorHAnsi"/>
                <w:color w:val="000000"/>
                <w:sz w:val="12"/>
                <w:szCs w:val="12"/>
                <w:lang w:val="en-GB"/>
              </w:rPr>
              <w:t>Transition</w:t>
            </w:r>
          </w:p>
        </w:tc>
        <w:tc>
          <w:tcPr>
            <w:tcW w:w="413" w:type="pct"/>
            <w:vMerge/>
            <w:tcBorders>
              <w:top w:val="single" w:sz="8" w:space="0" w:color="auto"/>
              <w:left w:val="single" w:sz="8" w:space="0" w:color="auto"/>
              <w:bottom w:val="nil"/>
              <w:right w:val="single" w:sz="8" w:space="0" w:color="auto"/>
            </w:tcBorders>
            <w:vAlign w:val="center"/>
            <w:hideMark/>
          </w:tcPr>
          <w:p w14:paraId="1BD74C52" w14:textId="77777777" w:rsidR="00B643DB" w:rsidRPr="00A66F03" w:rsidRDefault="00B643DB" w:rsidP="00305B56">
            <w:pPr>
              <w:spacing w:after="0" w:line="240" w:lineRule="auto"/>
              <w:rPr>
                <w:rFonts w:eastAsia="Times New Roman" w:cstheme="minorHAnsi"/>
                <w:color w:val="000000"/>
                <w:sz w:val="12"/>
                <w:szCs w:val="12"/>
                <w:lang w:val="en-GB"/>
              </w:rPr>
            </w:pPr>
          </w:p>
        </w:tc>
        <w:tc>
          <w:tcPr>
            <w:tcW w:w="413" w:type="pct"/>
            <w:tcBorders>
              <w:top w:val="nil"/>
              <w:left w:val="nil"/>
              <w:bottom w:val="single" w:sz="8" w:space="0" w:color="auto"/>
              <w:right w:val="single" w:sz="8" w:space="0" w:color="auto"/>
            </w:tcBorders>
            <w:shd w:val="clear" w:color="auto" w:fill="auto"/>
            <w:vAlign w:val="center"/>
            <w:hideMark/>
          </w:tcPr>
          <w:p w14:paraId="2D97A99A" w14:textId="77777777" w:rsidR="00B643DB" w:rsidRPr="00A66F03" w:rsidRDefault="00976636" w:rsidP="00305B56">
            <w:pPr>
              <w:spacing w:after="0" w:line="240" w:lineRule="auto"/>
              <w:rPr>
                <w:rFonts w:eastAsia="Times New Roman" w:cstheme="minorHAnsi"/>
                <w:color w:val="000000"/>
                <w:sz w:val="12"/>
                <w:szCs w:val="12"/>
                <w:lang w:val="en-GB"/>
              </w:rPr>
            </w:pPr>
            <w:r w:rsidRPr="00A66F03">
              <w:rPr>
                <w:rFonts w:eastAsia="Times New Roman" w:cstheme="minorHAnsi"/>
                <w:color w:val="000000"/>
                <w:sz w:val="12"/>
                <w:szCs w:val="12"/>
                <w:lang w:val="en-GB"/>
              </w:rPr>
              <w:t> </w:t>
            </w:r>
          </w:p>
        </w:tc>
        <w:tc>
          <w:tcPr>
            <w:tcW w:w="413" w:type="pct"/>
            <w:tcBorders>
              <w:top w:val="nil"/>
              <w:left w:val="nil"/>
              <w:bottom w:val="single" w:sz="8" w:space="0" w:color="auto"/>
              <w:right w:val="single" w:sz="8" w:space="0" w:color="auto"/>
            </w:tcBorders>
            <w:shd w:val="clear" w:color="auto" w:fill="auto"/>
            <w:vAlign w:val="center"/>
            <w:hideMark/>
          </w:tcPr>
          <w:p w14:paraId="2E523B2F" w14:textId="77777777" w:rsidR="00B643DB" w:rsidRPr="00A66F03" w:rsidRDefault="00976636" w:rsidP="00305B56">
            <w:pPr>
              <w:spacing w:after="0" w:line="240" w:lineRule="auto"/>
              <w:rPr>
                <w:rFonts w:eastAsia="Times New Roman" w:cstheme="minorHAnsi"/>
                <w:color w:val="000000"/>
                <w:sz w:val="12"/>
                <w:szCs w:val="12"/>
                <w:lang w:val="en-GB"/>
              </w:rPr>
            </w:pPr>
            <w:r w:rsidRPr="00A66F03">
              <w:rPr>
                <w:rFonts w:eastAsia="Times New Roman" w:cstheme="minorHAnsi"/>
                <w:color w:val="000000"/>
                <w:sz w:val="12"/>
                <w:szCs w:val="12"/>
                <w:lang w:val="en-GB"/>
              </w:rPr>
              <w:t> </w:t>
            </w:r>
          </w:p>
        </w:tc>
        <w:tc>
          <w:tcPr>
            <w:tcW w:w="413" w:type="pct"/>
            <w:tcBorders>
              <w:top w:val="nil"/>
              <w:left w:val="nil"/>
              <w:bottom w:val="single" w:sz="8" w:space="0" w:color="auto"/>
              <w:right w:val="single" w:sz="8" w:space="0" w:color="auto"/>
            </w:tcBorders>
            <w:shd w:val="clear" w:color="auto" w:fill="auto"/>
            <w:vAlign w:val="center"/>
            <w:hideMark/>
          </w:tcPr>
          <w:p w14:paraId="23B5436E" w14:textId="77777777" w:rsidR="00B643DB" w:rsidRPr="00A66F03" w:rsidRDefault="00976636" w:rsidP="00305B56">
            <w:pPr>
              <w:spacing w:after="0" w:line="240" w:lineRule="auto"/>
              <w:rPr>
                <w:rFonts w:eastAsia="Times New Roman" w:cstheme="minorHAnsi"/>
                <w:color w:val="000000"/>
                <w:sz w:val="12"/>
                <w:szCs w:val="12"/>
                <w:lang w:val="en-GB"/>
              </w:rPr>
            </w:pPr>
            <w:r w:rsidRPr="00A66F03">
              <w:rPr>
                <w:rFonts w:eastAsia="Times New Roman" w:cstheme="minorHAnsi"/>
                <w:color w:val="000000"/>
                <w:sz w:val="12"/>
                <w:szCs w:val="12"/>
                <w:lang w:val="en-GB"/>
              </w:rPr>
              <w:t> </w:t>
            </w:r>
          </w:p>
        </w:tc>
        <w:tc>
          <w:tcPr>
            <w:tcW w:w="413" w:type="pct"/>
            <w:tcBorders>
              <w:top w:val="nil"/>
              <w:left w:val="nil"/>
              <w:bottom w:val="single" w:sz="8" w:space="0" w:color="auto"/>
              <w:right w:val="single" w:sz="8" w:space="0" w:color="auto"/>
            </w:tcBorders>
            <w:shd w:val="clear" w:color="auto" w:fill="auto"/>
            <w:vAlign w:val="center"/>
            <w:hideMark/>
          </w:tcPr>
          <w:p w14:paraId="7BE8A621" w14:textId="77777777" w:rsidR="00B643DB" w:rsidRPr="00A66F03" w:rsidRDefault="00976636" w:rsidP="00305B56">
            <w:pPr>
              <w:spacing w:after="0" w:line="240" w:lineRule="auto"/>
              <w:rPr>
                <w:rFonts w:eastAsia="Times New Roman" w:cstheme="minorHAnsi"/>
                <w:color w:val="000000"/>
                <w:sz w:val="12"/>
                <w:szCs w:val="12"/>
                <w:lang w:val="en-GB"/>
              </w:rPr>
            </w:pPr>
            <w:r w:rsidRPr="00A66F03">
              <w:rPr>
                <w:rFonts w:eastAsia="Times New Roman" w:cstheme="minorHAnsi"/>
                <w:color w:val="000000"/>
                <w:sz w:val="12"/>
                <w:szCs w:val="12"/>
                <w:lang w:val="en-GB"/>
              </w:rPr>
              <w:t> </w:t>
            </w:r>
          </w:p>
        </w:tc>
        <w:tc>
          <w:tcPr>
            <w:tcW w:w="413" w:type="pct"/>
            <w:tcBorders>
              <w:top w:val="nil"/>
              <w:left w:val="nil"/>
              <w:bottom w:val="single" w:sz="8" w:space="0" w:color="auto"/>
              <w:right w:val="single" w:sz="8" w:space="0" w:color="auto"/>
            </w:tcBorders>
            <w:shd w:val="clear" w:color="auto" w:fill="auto"/>
            <w:vAlign w:val="center"/>
            <w:hideMark/>
          </w:tcPr>
          <w:p w14:paraId="273A31A8" w14:textId="77777777" w:rsidR="00B643DB" w:rsidRPr="00A66F03" w:rsidRDefault="00976636" w:rsidP="00305B56">
            <w:pPr>
              <w:spacing w:after="0" w:line="240" w:lineRule="auto"/>
              <w:rPr>
                <w:rFonts w:eastAsia="Times New Roman" w:cstheme="minorHAnsi"/>
                <w:color w:val="000000"/>
                <w:sz w:val="12"/>
                <w:szCs w:val="12"/>
                <w:lang w:val="en-GB"/>
              </w:rPr>
            </w:pPr>
            <w:r w:rsidRPr="00A66F03">
              <w:rPr>
                <w:rFonts w:eastAsia="Times New Roman" w:cstheme="minorHAnsi"/>
                <w:color w:val="000000"/>
                <w:sz w:val="12"/>
                <w:szCs w:val="12"/>
                <w:lang w:val="en-GB"/>
              </w:rPr>
              <w:t> </w:t>
            </w:r>
          </w:p>
        </w:tc>
        <w:tc>
          <w:tcPr>
            <w:tcW w:w="413" w:type="pct"/>
            <w:tcBorders>
              <w:top w:val="nil"/>
              <w:left w:val="nil"/>
              <w:bottom w:val="single" w:sz="8" w:space="0" w:color="auto"/>
              <w:right w:val="single" w:sz="8" w:space="0" w:color="auto"/>
            </w:tcBorders>
            <w:shd w:val="clear" w:color="auto" w:fill="auto"/>
            <w:vAlign w:val="center"/>
            <w:hideMark/>
          </w:tcPr>
          <w:p w14:paraId="7E8FC2A2" w14:textId="77777777" w:rsidR="00B643DB" w:rsidRPr="00A66F03" w:rsidRDefault="00976636" w:rsidP="00305B56">
            <w:pPr>
              <w:spacing w:after="0" w:line="240" w:lineRule="auto"/>
              <w:rPr>
                <w:rFonts w:eastAsia="Times New Roman" w:cstheme="minorHAnsi"/>
                <w:color w:val="000000"/>
                <w:sz w:val="12"/>
                <w:szCs w:val="12"/>
                <w:lang w:val="en-GB"/>
              </w:rPr>
            </w:pPr>
            <w:r w:rsidRPr="00A66F03">
              <w:rPr>
                <w:rFonts w:eastAsia="Times New Roman" w:cstheme="minorHAnsi"/>
                <w:color w:val="000000"/>
                <w:sz w:val="12"/>
                <w:szCs w:val="12"/>
                <w:lang w:val="en-GB"/>
              </w:rPr>
              <w:t> </w:t>
            </w:r>
          </w:p>
        </w:tc>
        <w:tc>
          <w:tcPr>
            <w:tcW w:w="413" w:type="pct"/>
            <w:tcBorders>
              <w:top w:val="nil"/>
              <w:left w:val="nil"/>
              <w:bottom w:val="single" w:sz="8" w:space="0" w:color="auto"/>
              <w:right w:val="single" w:sz="8" w:space="0" w:color="auto"/>
            </w:tcBorders>
            <w:shd w:val="clear" w:color="auto" w:fill="auto"/>
            <w:vAlign w:val="center"/>
            <w:hideMark/>
          </w:tcPr>
          <w:p w14:paraId="6C2AC16D" w14:textId="77777777" w:rsidR="00B643DB" w:rsidRPr="00A66F03" w:rsidRDefault="00976636" w:rsidP="00305B56">
            <w:pPr>
              <w:spacing w:after="0" w:line="240" w:lineRule="auto"/>
              <w:rPr>
                <w:rFonts w:eastAsia="Times New Roman" w:cstheme="minorHAnsi"/>
                <w:color w:val="000000"/>
                <w:sz w:val="12"/>
                <w:szCs w:val="12"/>
                <w:lang w:val="en-GB"/>
              </w:rPr>
            </w:pPr>
            <w:r w:rsidRPr="00A66F03">
              <w:rPr>
                <w:rFonts w:eastAsia="Times New Roman" w:cstheme="minorHAnsi"/>
                <w:color w:val="000000"/>
                <w:sz w:val="12"/>
                <w:szCs w:val="12"/>
                <w:lang w:val="en-GB"/>
              </w:rPr>
              <w:t> </w:t>
            </w:r>
          </w:p>
        </w:tc>
        <w:tc>
          <w:tcPr>
            <w:tcW w:w="413" w:type="pct"/>
            <w:tcBorders>
              <w:top w:val="nil"/>
              <w:left w:val="nil"/>
              <w:bottom w:val="single" w:sz="8" w:space="0" w:color="auto"/>
              <w:right w:val="single" w:sz="8" w:space="0" w:color="auto"/>
            </w:tcBorders>
            <w:shd w:val="clear" w:color="auto" w:fill="auto"/>
            <w:vAlign w:val="center"/>
            <w:hideMark/>
          </w:tcPr>
          <w:p w14:paraId="3F4B671D" w14:textId="77777777" w:rsidR="00B643DB" w:rsidRPr="00A66F03" w:rsidRDefault="00976636" w:rsidP="00305B56">
            <w:pPr>
              <w:spacing w:after="0" w:line="240" w:lineRule="auto"/>
              <w:rPr>
                <w:rFonts w:eastAsia="Times New Roman" w:cstheme="minorHAnsi"/>
                <w:color w:val="000000"/>
                <w:sz w:val="12"/>
                <w:szCs w:val="12"/>
                <w:lang w:val="en-GB"/>
              </w:rPr>
            </w:pPr>
            <w:r w:rsidRPr="00A66F03">
              <w:rPr>
                <w:rFonts w:eastAsia="Times New Roman" w:cstheme="minorHAnsi"/>
                <w:color w:val="000000"/>
                <w:sz w:val="12"/>
                <w:szCs w:val="12"/>
                <w:lang w:val="en-GB"/>
              </w:rPr>
              <w:t> </w:t>
            </w:r>
          </w:p>
        </w:tc>
        <w:tc>
          <w:tcPr>
            <w:tcW w:w="413" w:type="pct"/>
            <w:tcBorders>
              <w:top w:val="nil"/>
              <w:left w:val="nil"/>
              <w:bottom w:val="single" w:sz="8" w:space="0" w:color="auto"/>
              <w:right w:val="single" w:sz="8" w:space="0" w:color="auto"/>
            </w:tcBorders>
            <w:shd w:val="clear" w:color="auto" w:fill="auto"/>
            <w:vAlign w:val="center"/>
            <w:hideMark/>
          </w:tcPr>
          <w:p w14:paraId="4ABF8865" w14:textId="77777777" w:rsidR="00B643DB" w:rsidRPr="00A66F03" w:rsidRDefault="00976636" w:rsidP="00305B56">
            <w:pPr>
              <w:spacing w:after="0" w:line="240" w:lineRule="auto"/>
              <w:rPr>
                <w:rFonts w:eastAsia="Times New Roman" w:cstheme="minorHAnsi"/>
                <w:color w:val="000000"/>
                <w:sz w:val="12"/>
                <w:szCs w:val="12"/>
                <w:lang w:val="en-GB"/>
              </w:rPr>
            </w:pPr>
            <w:r w:rsidRPr="00A66F03">
              <w:rPr>
                <w:rFonts w:eastAsia="Times New Roman" w:cstheme="minorHAnsi"/>
                <w:color w:val="000000"/>
                <w:sz w:val="12"/>
                <w:szCs w:val="12"/>
                <w:lang w:val="en-GB"/>
              </w:rPr>
              <w:t xml:space="preserve">                           -     </w:t>
            </w:r>
          </w:p>
        </w:tc>
      </w:tr>
      <w:tr w:rsidR="00143DBE" w:rsidRPr="00A66F03" w14:paraId="7E91EEDE" w14:textId="77777777" w:rsidTr="00305B56">
        <w:trPr>
          <w:trHeight w:val="405"/>
        </w:trPr>
        <w:tc>
          <w:tcPr>
            <w:tcW w:w="397" w:type="pct"/>
            <w:vMerge/>
            <w:tcBorders>
              <w:top w:val="nil"/>
              <w:left w:val="single" w:sz="8" w:space="0" w:color="auto"/>
              <w:bottom w:val="single" w:sz="8" w:space="0" w:color="000000"/>
              <w:right w:val="single" w:sz="8" w:space="0" w:color="auto"/>
            </w:tcBorders>
            <w:vAlign w:val="center"/>
            <w:hideMark/>
          </w:tcPr>
          <w:p w14:paraId="2B132BDD" w14:textId="77777777" w:rsidR="00B643DB" w:rsidRPr="00A66F03" w:rsidRDefault="00B643DB" w:rsidP="00305B56">
            <w:pPr>
              <w:spacing w:after="0" w:line="240" w:lineRule="auto"/>
              <w:rPr>
                <w:rFonts w:eastAsia="Times New Roman" w:cstheme="minorHAnsi"/>
                <w:color w:val="000000"/>
                <w:sz w:val="12"/>
                <w:szCs w:val="12"/>
                <w:lang w:val="en-GB"/>
              </w:rPr>
            </w:pPr>
          </w:p>
        </w:tc>
        <w:tc>
          <w:tcPr>
            <w:tcW w:w="475" w:type="pct"/>
            <w:tcBorders>
              <w:top w:val="nil"/>
              <w:left w:val="nil"/>
              <w:bottom w:val="single" w:sz="8" w:space="0" w:color="auto"/>
              <w:right w:val="single" w:sz="8" w:space="0" w:color="auto"/>
            </w:tcBorders>
            <w:shd w:val="clear" w:color="auto" w:fill="auto"/>
            <w:vAlign w:val="center"/>
            <w:hideMark/>
          </w:tcPr>
          <w:p w14:paraId="198695B4" w14:textId="77777777" w:rsidR="00B643DB" w:rsidRPr="00A66F03" w:rsidRDefault="00976636" w:rsidP="00305B56">
            <w:pPr>
              <w:spacing w:after="0" w:line="240" w:lineRule="auto"/>
              <w:rPr>
                <w:rFonts w:eastAsia="Times New Roman" w:cstheme="minorHAnsi"/>
                <w:color w:val="000000"/>
                <w:sz w:val="12"/>
                <w:szCs w:val="12"/>
                <w:lang w:val="en-GB"/>
              </w:rPr>
            </w:pPr>
            <w:r w:rsidRPr="00A66F03">
              <w:rPr>
                <w:rFonts w:eastAsia="Times New Roman" w:cstheme="minorHAnsi"/>
                <w:color w:val="000000"/>
                <w:sz w:val="12"/>
                <w:szCs w:val="12"/>
                <w:lang w:val="en-GB"/>
              </w:rPr>
              <w:t>Less developed</w:t>
            </w:r>
          </w:p>
        </w:tc>
        <w:tc>
          <w:tcPr>
            <w:tcW w:w="413" w:type="pct"/>
            <w:vMerge/>
            <w:tcBorders>
              <w:top w:val="single" w:sz="8" w:space="0" w:color="auto"/>
              <w:left w:val="single" w:sz="8" w:space="0" w:color="auto"/>
              <w:bottom w:val="nil"/>
              <w:right w:val="single" w:sz="8" w:space="0" w:color="auto"/>
            </w:tcBorders>
            <w:vAlign w:val="center"/>
            <w:hideMark/>
          </w:tcPr>
          <w:p w14:paraId="5B29DAC1" w14:textId="77777777" w:rsidR="00B643DB" w:rsidRPr="00A66F03" w:rsidRDefault="00B643DB" w:rsidP="00305B56">
            <w:pPr>
              <w:spacing w:after="0" w:line="240" w:lineRule="auto"/>
              <w:rPr>
                <w:rFonts w:eastAsia="Times New Roman" w:cstheme="minorHAnsi"/>
                <w:color w:val="000000"/>
                <w:sz w:val="12"/>
                <w:szCs w:val="12"/>
                <w:lang w:val="en-GB"/>
              </w:rPr>
            </w:pPr>
          </w:p>
        </w:tc>
        <w:tc>
          <w:tcPr>
            <w:tcW w:w="413" w:type="pct"/>
            <w:tcBorders>
              <w:top w:val="nil"/>
              <w:left w:val="nil"/>
              <w:bottom w:val="single" w:sz="8" w:space="0" w:color="auto"/>
              <w:right w:val="single" w:sz="8" w:space="0" w:color="auto"/>
            </w:tcBorders>
            <w:shd w:val="clear" w:color="auto" w:fill="auto"/>
            <w:vAlign w:val="center"/>
            <w:hideMark/>
          </w:tcPr>
          <w:p w14:paraId="6FB9F913" w14:textId="77777777" w:rsidR="00B643DB" w:rsidRPr="00A66F03" w:rsidRDefault="00976636" w:rsidP="00305B56">
            <w:pPr>
              <w:spacing w:after="0" w:line="240" w:lineRule="auto"/>
              <w:rPr>
                <w:rFonts w:eastAsia="Times New Roman" w:cstheme="minorHAnsi"/>
                <w:color w:val="000000"/>
                <w:sz w:val="12"/>
                <w:szCs w:val="12"/>
                <w:lang w:val="en-GB"/>
              </w:rPr>
            </w:pPr>
            <w:r w:rsidRPr="00A66F03">
              <w:rPr>
                <w:rFonts w:eastAsia="Times New Roman" w:cstheme="minorHAnsi"/>
                <w:color w:val="000000"/>
                <w:sz w:val="12"/>
                <w:szCs w:val="12"/>
                <w:lang w:val="en-GB"/>
              </w:rPr>
              <w:t>Less developed</w:t>
            </w:r>
          </w:p>
        </w:tc>
        <w:tc>
          <w:tcPr>
            <w:tcW w:w="413" w:type="pct"/>
            <w:tcBorders>
              <w:top w:val="nil"/>
              <w:left w:val="nil"/>
              <w:bottom w:val="single" w:sz="8" w:space="0" w:color="auto"/>
              <w:right w:val="single" w:sz="8" w:space="0" w:color="auto"/>
            </w:tcBorders>
            <w:shd w:val="clear" w:color="auto" w:fill="auto"/>
            <w:vAlign w:val="center"/>
            <w:hideMark/>
          </w:tcPr>
          <w:p w14:paraId="4C953B5F" w14:textId="77777777" w:rsidR="00B643DB" w:rsidRPr="00A66F03" w:rsidRDefault="00976636" w:rsidP="00305B56">
            <w:pPr>
              <w:spacing w:after="0" w:line="240" w:lineRule="auto"/>
              <w:rPr>
                <w:rFonts w:eastAsia="Times New Roman" w:cstheme="minorHAnsi"/>
                <w:color w:val="000000"/>
                <w:sz w:val="12"/>
                <w:szCs w:val="12"/>
                <w:lang w:val="en-GB"/>
              </w:rPr>
            </w:pPr>
            <w:r w:rsidRPr="00A66F03">
              <w:rPr>
                <w:rFonts w:eastAsia="Times New Roman" w:cstheme="minorHAnsi"/>
                <w:color w:val="000000"/>
                <w:sz w:val="12"/>
                <w:szCs w:val="12"/>
                <w:lang w:val="en-GB"/>
              </w:rPr>
              <w:t> </w:t>
            </w:r>
          </w:p>
        </w:tc>
        <w:tc>
          <w:tcPr>
            <w:tcW w:w="413" w:type="pct"/>
            <w:tcBorders>
              <w:top w:val="nil"/>
              <w:left w:val="nil"/>
              <w:bottom w:val="single" w:sz="8" w:space="0" w:color="auto"/>
              <w:right w:val="single" w:sz="8" w:space="0" w:color="auto"/>
            </w:tcBorders>
            <w:shd w:val="clear" w:color="auto" w:fill="auto"/>
            <w:vAlign w:val="center"/>
            <w:hideMark/>
          </w:tcPr>
          <w:p w14:paraId="141393E4" w14:textId="77777777" w:rsidR="00B643DB" w:rsidRPr="00A66F03" w:rsidRDefault="00976636" w:rsidP="00305B56">
            <w:pPr>
              <w:spacing w:after="0" w:line="240" w:lineRule="auto"/>
              <w:jc w:val="right"/>
              <w:rPr>
                <w:rFonts w:eastAsia="Times New Roman" w:cstheme="minorHAnsi"/>
                <w:color w:val="000000"/>
                <w:sz w:val="12"/>
                <w:szCs w:val="12"/>
                <w:lang w:val="en-GB"/>
              </w:rPr>
            </w:pPr>
            <w:r w:rsidRPr="00A66F03">
              <w:rPr>
                <w:rFonts w:eastAsia="Times New Roman" w:cstheme="minorHAnsi"/>
                <w:color w:val="000000"/>
                <w:sz w:val="12"/>
                <w:szCs w:val="12"/>
                <w:lang w:val="en-GB"/>
              </w:rPr>
              <w:t xml:space="preserve">23,494,065 </w:t>
            </w:r>
          </w:p>
        </w:tc>
        <w:tc>
          <w:tcPr>
            <w:tcW w:w="413" w:type="pct"/>
            <w:tcBorders>
              <w:top w:val="nil"/>
              <w:left w:val="nil"/>
              <w:bottom w:val="single" w:sz="8" w:space="0" w:color="auto"/>
              <w:right w:val="single" w:sz="8" w:space="0" w:color="auto"/>
            </w:tcBorders>
            <w:shd w:val="clear" w:color="auto" w:fill="auto"/>
            <w:vAlign w:val="center"/>
            <w:hideMark/>
          </w:tcPr>
          <w:p w14:paraId="4E1D4647" w14:textId="77777777" w:rsidR="00B643DB" w:rsidRPr="00A66F03" w:rsidRDefault="00976636" w:rsidP="00305B56">
            <w:pPr>
              <w:spacing w:after="0" w:line="240" w:lineRule="auto"/>
              <w:jc w:val="right"/>
              <w:rPr>
                <w:rFonts w:eastAsia="Times New Roman" w:cstheme="minorHAnsi"/>
                <w:color w:val="000000"/>
                <w:sz w:val="12"/>
                <w:szCs w:val="12"/>
                <w:lang w:val="en-GB"/>
              </w:rPr>
            </w:pPr>
            <w:r w:rsidRPr="00A66F03">
              <w:rPr>
                <w:rFonts w:eastAsia="Times New Roman" w:cstheme="minorHAnsi"/>
                <w:color w:val="000000"/>
                <w:sz w:val="12"/>
                <w:szCs w:val="12"/>
                <w:lang w:val="en-GB"/>
              </w:rPr>
              <w:t xml:space="preserve">23,494,065 </w:t>
            </w:r>
          </w:p>
        </w:tc>
        <w:tc>
          <w:tcPr>
            <w:tcW w:w="413" w:type="pct"/>
            <w:tcBorders>
              <w:top w:val="nil"/>
              <w:left w:val="nil"/>
              <w:bottom w:val="single" w:sz="8" w:space="0" w:color="auto"/>
              <w:right w:val="single" w:sz="8" w:space="0" w:color="auto"/>
            </w:tcBorders>
            <w:shd w:val="clear" w:color="auto" w:fill="auto"/>
            <w:vAlign w:val="center"/>
            <w:hideMark/>
          </w:tcPr>
          <w:p w14:paraId="541DF153" w14:textId="77777777" w:rsidR="00B643DB" w:rsidRPr="00A66F03" w:rsidRDefault="00976636" w:rsidP="00305B56">
            <w:pPr>
              <w:spacing w:after="0" w:line="240" w:lineRule="auto"/>
              <w:rPr>
                <w:rFonts w:eastAsia="Times New Roman" w:cstheme="minorHAnsi"/>
                <w:color w:val="000000"/>
                <w:sz w:val="12"/>
                <w:szCs w:val="12"/>
                <w:lang w:val="en-GB"/>
              </w:rPr>
            </w:pPr>
            <w:r w:rsidRPr="00A66F03">
              <w:rPr>
                <w:rFonts w:eastAsia="Times New Roman" w:cstheme="minorHAnsi"/>
                <w:color w:val="000000"/>
                <w:sz w:val="12"/>
                <w:szCs w:val="12"/>
                <w:lang w:val="en-GB"/>
              </w:rPr>
              <w:t> </w:t>
            </w:r>
          </w:p>
        </w:tc>
        <w:tc>
          <w:tcPr>
            <w:tcW w:w="413" w:type="pct"/>
            <w:tcBorders>
              <w:top w:val="nil"/>
              <w:left w:val="nil"/>
              <w:bottom w:val="single" w:sz="8" w:space="0" w:color="auto"/>
              <w:right w:val="single" w:sz="8" w:space="0" w:color="auto"/>
            </w:tcBorders>
            <w:shd w:val="clear" w:color="auto" w:fill="auto"/>
            <w:vAlign w:val="center"/>
            <w:hideMark/>
          </w:tcPr>
          <w:p w14:paraId="1BBFEDB2" w14:textId="77777777" w:rsidR="00B643DB" w:rsidRPr="00A66F03" w:rsidRDefault="00976636" w:rsidP="00305B56">
            <w:pPr>
              <w:spacing w:after="0" w:line="240" w:lineRule="auto"/>
              <w:rPr>
                <w:rFonts w:eastAsia="Times New Roman" w:cstheme="minorHAnsi"/>
                <w:color w:val="000000"/>
                <w:sz w:val="12"/>
                <w:szCs w:val="12"/>
                <w:lang w:val="en-GB"/>
              </w:rPr>
            </w:pPr>
            <w:r w:rsidRPr="00A66F03">
              <w:rPr>
                <w:rFonts w:eastAsia="Times New Roman" w:cstheme="minorHAnsi"/>
                <w:color w:val="000000"/>
                <w:sz w:val="12"/>
                <w:szCs w:val="12"/>
                <w:lang w:val="en-GB"/>
              </w:rPr>
              <w:t> </w:t>
            </w:r>
          </w:p>
        </w:tc>
        <w:tc>
          <w:tcPr>
            <w:tcW w:w="413" w:type="pct"/>
            <w:tcBorders>
              <w:top w:val="nil"/>
              <w:left w:val="nil"/>
              <w:bottom w:val="single" w:sz="8" w:space="0" w:color="auto"/>
              <w:right w:val="single" w:sz="8" w:space="0" w:color="auto"/>
            </w:tcBorders>
            <w:shd w:val="clear" w:color="auto" w:fill="auto"/>
            <w:vAlign w:val="center"/>
            <w:hideMark/>
          </w:tcPr>
          <w:p w14:paraId="2D0E98C3" w14:textId="77777777" w:rsidR="00B643DB" w:rsidRPr="00A66F03" w:rsidRDefault="00976636" w:rsidP="00305B56">
            <w:pPr>
              <w:spacing w:after="0" w:line="240" w:lineRule="auto"/>
              <w:rPr>
                <w:rFonts w:eastAsia="Times New Roman" w:cstheme="minorHAnsi"/>
                <w:color w:val="000000"/>
                <w:sz w:val="12"/>
                <w:szCs w:val="12"/>
                <w:lang w:val="en-GB"/>
              </w:rPr>
            </w:pPr>
            <w:r w:rsidRPr="00A66F03">
              <w:rPr>
                <w:rFonts w:eastAsia="Times New Roman" w:cstheme="minorHAnsi"/>
                <w:color w:val="000000"/>
                <w:sz w:val="12"/>
                <w:szCs w:val="12"/>
                <w:lang w:val="en-GB"/>
              </w:rPr>
              <w:t> </w:t>
            </w:r>
          </w:p>
        </w:tc>
        <w:tc>
          <w:tcPr>
            <w:tcW w:w="413" w:type="pct"/>
            <w:tcBorders>
              <w:top w:val="nil"/>
              <w:left w:val="nil"/>
              <w:bottom w:val="single" w:sz="8" w:space="0" w:color="auto"/>
              <w:right w:val="single" w:sz="8" w:space="0" w:color="auto"/>
            </w:tcBorders>
            <w:shd w:val="clear" w:color="auto" w:fill="auto"/>
            <w:vAlign w:val="center"/>
            <w:hideMark/>
          </w:tcPr>
          <w:p w14:paraId="2407352D" w14:textId="77777777" w:rsidR="00B643DB" w:rsidRPr="00A66F03" w:rsidRDefault="00976636" w:rsidP="00305B56">
            <w:pPr>
              <w:spacing w:after="0" w:line="240" w:lineRule="auto"/>
              <w:rPr>
                <w:rFonts w:eastAsia="Times New Roman" w:cstheme="minorHAnsi"/>
                <w:color w:val="000000"/>
                <w:sz w:val="12"/>
                <w:szCs w:val="12"/>
                <w:lang w:val="en-GB"/>
              </w:rPr>
            </w:pPr>
            <w:r w:rsidRPr="00A66F03">
              <w:rPr>
                <w:rFonts w:eastAsia="Times New Roman" w:cstheme="minorHAnsi"/>
                <w:color w:val="000000"/>
                <w:sz w:val="12"/>
                <w:szCs w:val="12"/>
                <w:lang w:val="en-GB"/>
              </w:rPr>
              <w:t> </w:t>
            </w:r>
          </w:p>
        </w:tc>
        <w:tc>
          <w:tcPr>
            <w:tcW w:w="413" w:type="pct"/>
            <w:tcBorders>
              <w:top w:val="nil"/>
              <w:left w:val="nil"/>
              <w:bottom w:val="single" w:sz="8" w:space="0" w:color="auto"/>
              <w:right w:val="single" w:sz="8" w:space="0" w:color="auto"/>
            </w:tcBorders>
            <w:shd w:val="clear" w:color="auto" w:fill="auto"/>
            <w:vAlign w:val="center"/>
            <w:hideMark/>
          </w:tcPr>
          <w:p w14:paraId="438FCC00" w14:textId="77777777" w:rsidR="00B643DB" w:rsidRPr="00A66F03" w:rsidRDefault="00976636" w:rsidP="00305B56">
            <w:pPr>
              <w:spacing w:after="0" w:line="240" w:lineRule="auto"/>
              <w:jc w:val="right"/>
              <w:rPr>
                <w:rFonts w:eastAsia="Times New Roman" w:cstheme="minorHAnsi"/>
                <w:color w:val="000000"/>
                <w:sz w:val="12"/>
                <w:szCs w:val="12"/>
                <w:lang w:val="en-GB"/>
              </w:rPr>
            </w:pPr>
            <w:r w:rsidRPr="00A66F03">
              <w:rPr>
                <w:rFonts w:eastAsia="Times New Roman" w:cstheme="minorHAnsi"/>
                <w:color w:val="000000"/>
                <w:sz w:val="12"/>
                <w:szCs w:val="12"/>
                <w:lang w:val="en-GB"/>
              </w:rPr>
              <w:t xml:space="preserve">46,988,130 </w:t>
            </w:r>
          </w:p>
        </w:tc>
      </w:tr>
      <w:tr w:rsidR="00143DBE" w:rsidRPr="00A66F03" w14:paraId="78CA342E" w14:textId="77777777" w:rsidTr="00305B56">
        <w:trPr>
          <w:trHeight w:val="405"/>
        </w:trPr>
        <w:tc>
          <w:tcPr>
            <w:tcW w:w="397" w:type="pct"/>
            <w:tcBorders>
              <w:top w:val="nil"/>
              <w:left w:val="single" w:sz="8" w:space="0" w:color="auto"/>
              <w:bottom w:val="single" w:sz="8" w:space="0" w:color="auto"/>
              <w:right w:val="single" w:sz="8" w:space="0" w:color="auto"/>
            </w:tcBorders>
            <w:shd w:val="clear" w:color="auto" w:fill="auto"/>
            <w:vAlign w:val="center"/>
            <w:hideMark/>
          </w:tcPr>
          <w:p w14:paraId="3F85B6CE" w14:textId="77777777" w:rsidR="00B643DB" w:rsidRPr="00A66F03" w:rsidRDefault="00976636" w:rsidP="00305B56">
            <w:pPr>
              <w:spacing w:after="0" w:line="240" w:lineRule="auto"/>
              <w:rPr>
                <w:rFonts w:eastAsia="Times New Roman" w:cstheme="minorHAnsi"/>
                <w:color w:val="000000"/>
                <w:sz w:val="12"/>
                <w:szCs w:val="12"/>
                <w:lang w:val="en-GB"/>
              </w:rPr>
            </w:pPr>
            <w:r w:rsidRPr="00A66F03">
              <w:rPr>
                <w:rFonts w:eastAsia="Times New Roman" w:cstheme="minorHAnsi"/>
                <w:color w:val="000000"/>
                <w:sz w:val="12"/>
                <w:szCs w:val="12"/>
                <w:lang w:val="en-GB"/>
              </w:rPr>
              <w:t>Cohesion Fund</w:t>
            </w:r>
          </w:p>
        </w:tc>
        <w:tc>
          <w:tcPr>
            <w:tcW w:w="475" w:type="pct"/>
            <w:tcBorders>
              <w:top w:val="nil"/>
              <w:left w:val="nil"/>
              <w:bottom w:val="single" w:sz="8" w:space="0" w:color="auto"/>
              <w:right w:val="single" w:sz="8" w:space="0" w:color="auto"/>
            </w:tcBorders>
            <w:shd w:val="clear" w:color="auto" w:fill="auto"/>
            <w:vAlign w:val="center"/>
            <w:hideMark/>
          </w:tcPr>
          <w:p w14:paraId="07C2D5EE" w14:textId="77777777" w:rsidR="00B643DB" w:rsidRPr="00A66F03" w:rsidRDefault="00976636" w:rsidP="00305B56">
            <w:pPr>
              <w:spacing w:after="0" w:line="240" w:lineRule="auto"/>
              <w:rPr>
                <w:rFonts w:eastAsia="Times New Roman" w:cstheme="minorHAnsi"/>
                <w:color w:val="000000"/>
                <w:sz w:val="12"/>
                <w:szCs w:val="12"/>
                <w:lang w:val="en-GB"/>
              </w:rPr>
            </w:pPr>
            <w:r w:rsidRPr="00A66F03">
              <w:rPr>
                <w:rFonts w:eastAsia="Times New Roman" w:cstheme="minorHAnsi"/>
                <w:color w:val="000000"/>
                <w:sz w:val="12"/>
                <w:szCs w:val="12"/>
                <w:lang w:val="en-GB"/>
              </w:rPr>
              <w:t>Not applicable</w:t>
            </w:r>
          </w:p>
        </w:tc>
        <w:tc>
          <w:tcPr>
            <w:tcW w:w="413" w:type="pct"/>
            <w:tcBorders>
              <w:top w:val="single" w:sz="8" w:space="0" w:color="auto"/>
              <w:left w:val="nil"/>
              <w:bottom w:val="single" w:sz="8" w:space="0" w:color="auto"/>
              <w:right w:val="single" w:sz="8" w:space="0" w:color="auto"/>
            </w:tcBorders>
            <w:shd w:val="clear" w:color="auto" w:fill="auto"/>
            <w:vAlign w:val="center"/>
            <w:hideMark/>
          </w:tcPr>
          <w:p w14:paraId="5895BDD0" w14:textId="77777777" w:rsidR="00B643DB" w:rsidRPr="00A66F03" w:rsidRDefault="00976636" w:rsidP="00305B56">
            <w:pPr>
              <w:spacing w:after="0" w:line="240" w:lineRule="auto"/>
              <w:jc w:val="center"/>
              <w:rPr>
                <w:rFonts w:eastAsia="Times New Roman" w:cstheme="minorHAnsi"/>
                <w:color w:val="000000"/>
                <w:sz w:val="12"/>
                <w:szCs w:val="12"/>
                <w:lang w:val="en-GB"/>
              </w:rPr>
            </w:pPr>
            <w:r w:rsidRPr="00A66F03">
              <w:rPr>
                <w:rFonts w:eastAsia="Times New Roman" w:cstheme="minorHAnsi"/>
                <w:color w:val="000000"/>
                <w:sz w:val="12"/>
                <w:szCs w:val="12"/>
                <w:lang w:val="en-GB"/>
              </w:rPr>
              <w:t> </w:t>
            </w:r>
          </w:p>
        </w:tc>
        <w:tc>
          <w:tcPr>
            <w:tcW w:w="413" w:type="pct"/>
            <w:tcBorders>
              <w:top w:val="nil"/>
              <w:left w:val="nil"/>
              <w:bottom w:val="single" w:sz="8" w:space="0" w:color="auto"/>
              <w:right w:val="single" w:sz="8" w:space="0" w:color="auto"/>
            </w:tcBorders>
            <w:shd w:val="clear" w:color="auto" w:fill="auto"/>
            <w:vAlign w:val="center"/>
            <w:hideMark/>
          </w:tcPr>
          <w:p w14:paraId="039FB0CE" w14:textId="77777777" w:rsidR="00B643DB" w:rsidRPr="00A66F03" w:rsidRDefault="00976636" w:rsidP="00305B56">
            <w:pPr>
              <w:spacing w:after="0" w:line="240" w:lineRule="auto"/>
              <w:rPr>
                <w:rFonts w:eastAsia="Times New Roman" w:cstheme="minorHAnsi"/>
                <w:color w:val="000000"/>
                <w:sz w:val="12"/>
                <w:szCs w:val="12"/>
                <w:lang w:val="en-GB"/>
              </w:rPr>
            </w:pPr>
            <w:r w:rsidRPr="00A66F03">
              <w:rPr>
                <w:rFonts w:eastAsia="Times New Roman" w:cstheme="minorHAnsi"/>
                <w:color w:val="000000"/>
                <w:sz w:val="12"/>
                <w:szCs w:val="12"/>
                <w:lang w:val="en-GB"/>
              </w:rPr>
              <w:t> </w:t>
            </w:r>
          </w:p>
        </w:tc>
        <w:tc>
          <w:tcPr>
            <w:tcW w:w="413" w:type="pct"/>
            <w:tcBorders>
              <w:top w:val="nil"/>
              <w:left w:val="nil"/>
              <w:bottom w:val="single" w:sz="8" w:space="0" w:color="auto"/>
              <w:right w:val="single" w:sz="8" w:space="0" w:color="auto"/>
            </w:tcBorders>
            <w:shd w:val="clear" w:color="auto" w:fill="auto"/>
            <w:vAlign w:val="center"/>
            <w:hideMark/>
          </w:tcPr>
          <w:p w14:paraId="204E72F4" w14:textId="77777777" w:rsidR="00B643DB" w:rsidRPr="00A66F03" w:rsidRDefault="00976636" w:rsidP="00305B56">
            <w:pPr>
              <w:spacing w:after="0" w:line="240" w:lineRule="auto"/>
              <w:rPr>
                <w:rFonts w:eastAsia="Times New Roman" w:cstheme="minorHAnsi"/>
                <w:color w:val="000000"/>
                <w:sz w:val="12"/>
                <w:szCs w:val="12"/>
                <w:lang w:val="en-GB"/>
              </w:rPr>
            </w:pPr>
            <w:r w:rsidRPr="00A66F03">
              <w:rPr>
                <w:rFonts w:eastAsia="Times New Roman" w:cstheme="minorHAnsi"/>
                <w:color w:val="000000"/>
                <w:sz w:val="12"/>
                <w:szCs w:val="12"/>
                <w:lang w:val="en-GB"/>
              </w:rPr>
              <w:t> </w:t>
            </w:r>
          </w:p>
        </w:tc>
        <w:tc>
          <w:tcPr>
            <w:tcW w:w="413" w:type="pct"/>
            <w:tcBorders>
              <w:top w:val="nil"/>
              <w:left w:val="nil"/>
              <w:bottom w:val="single" w:sz="8" w:space="0" w:color="auto"/>
              <w:right w:val="single" w:sz="8" w:space="0" w:color="auto"/>
            </w:tcBorders>
            <w:shd w:val="clear" w:color="auto" w:fill="auto"/>
            <w:vAlign w:val="center"/>
            <w:hideMark/>
          </w:tcPr>
          <w:p w14:paraId="7C9CC33E" w14:textId="77777777" w:rsidR="00B643DB" w:rsidRPr="00A66F03" w:rsidRDefault="00976636" w:rsidP="00305B56">
            <w:pPr>
              <w:spacing w:after="0" w:line="240" w:lineRule="auto"/>
              <w:rPr>
                <w:rFonts w:eastAsia="Times New Roman" w:cstheme="minorHAnsi"/>
                <w:color w:val="000000"/>
                <w:sz w:val="12"/>
                <w:szCs w:val="12"/>
                <w:lang w:val="en-GB"/>
              </w:rPr>
            </w:pPr>
            <w:r w:rsidRPr="00A66F03">
              <w:rPr>
                <w:rFonts w:eastAsia="Times New Roman" w:cstheme="minorHAnsi"/>
                <w:color w:val="000000"/>
                <w:sz w:val="12"/>
                <w:szCs w:val="12"/>
                <w:lang w:val="en-GB"/>
              </w:rPr>
              <w:t> </w:t>
            </w:r>
          </w:p>
        </w:tc>
        <w:tc>
          <w:tcPr>
            <w:tcW w:w="413" w:type="pct"/>
            <w:tcBorders>
              <w:top w:val="nil"/>
              <w:left w:val="nil"/>
              <w:bottom w:val="single" w:sz="8" w:space="0" w:color="auto"/>
              <w:right w:val="single" w:sz="8" w:space="0" w:color="auto"/>
            </w:tcBorders>
            <w:shd w:val="clear" w:color="auto" w:fill="auto"/>
            <w:vAlign w:val="center"/>
            <w:hideMark/>
          </w:tcPr>
          <w:p w14:paraId="24FB221A" w14:textId="77777777" w:rsidR="00B643DB" w:rsidRPr="00A66F03" w:rsidRDefault="00976636" w:rsidP="00305B56">
            <w:pPr>
              <w:spacing w:after="0" w:line="240" w:lineRule="auto"/>
              <w:rPr>
                <w:rFonts w:eastAsia="Times New Roman" w:cstheme="minorHAnsi"/>
                <w:color w:val="000000"/>
                <w:sz w:val="12"/>
                <w:szCs w:val="12"/>
                <w:lang w:val="en-GB"/>
              </w:rPr>
            </w:pPr>
            <w:r w:rsidRPr="00A66F03">
              <w:rPr>
                <w:rFonts w:eastAsia="Times New Roman" w:cstheme="minorHAnsi"/>
                <w:color w:val="000000"/>
                <w:sz w:val="12"/>
                <w:szCs w:val="12"/>
                <w:lang w:val="en-GB"/>
              </w:rPr>
              <w:t> </w:t>
            </w:r>
          </w:p>
        </w:tc>
        <w:tc>
          <w:tcPr>
            <w:tcW w:w="413" w:type="pct"/>
            <w:tcBorders>
              <w:top w:val="nil"/>
              <w:left w:val="nil"/>
              <w:bottom w:val="single" w:sz="8" w:space="0" w:color="auto"/>
              <w:right w:val="single" w:sz="8" w:space="0" w:color="auto"/>
            </w:tcBorders>
            <w:shd w:val="clear" w:color="auto" w:fill="auto"/>
            <w:vAlign w:val="center"/>
            <w:hideMark/>
          </w:tcPr>
          <w:p w14:paraId="51580D98" w14:textId="77777777" w:rsidR="00B643DB" w:rsidRPr="00A66F03" w:rsidRDefault="00976636" w:rsidP="00305B56">
            <w:pPr>
              <w:spacing w:after="0" w:line="240" w:lineRule="auto"/>
              <w:rPr>
                <w:rFonts w:eastAsia="Times New Roman" w:cstheme="minorHAnsi"/>
                <w:color w:val="000000"/>
                <w:sz w:val="12"/>
                <w:szCs w:val="12"/>
                <w:lang w:val="en-GB"/>
              </w:rPr>
            </w:pPr>
            <w:r w:rsidRPr="00A66F03">
              <w:rPr>
                <w:rFonts w:eastAsia="Times New Roman" w:cstheme="minorHAnsi"/>
                <w:color w:val="000000"/>
                <w:sz w:val="12"/>
                <w:szCs w:val="12"/>
                <w:lang w:val="en-GB"/>
              </w:rPr>
              <w:t> </w:t>
            </w:r>
          </w:p>
        </w:tc>
        <w:tc>
          <w:tcPr>
            <w:tcW w:w="413" w:type="pct"/>
            <w:tcBorders>
              <w:top w:val="nil"/>
              <w:left w:val="nil"/>
              <w:bottom w:val="single" w:sz="8" w:space="0" w:color="auto"/>
              <w:right w:val="single" w:sz="8" w:space="0" w:color="auto"/>
            </w:tcBorders>
            <w:shd w:val="clear" w:color="auto" w:fill="auto"/>
            <w:vAlign w:val="center"/>
            <w:hideMark/>
          </w:tcPr>
          <w:p w14:paraId="3A0E6B5E" w14:textId="77777777" w:rsidR="00B643DB" w:rsidRPr="00A66F03" w:rsidRDefault="00976636" w:rsidP="00305B56">
            <w:pPr>
              <w:spacing w:after="0" w:line="240" w:lineRule="auto"/>
              <w:rPr>
                <w:rFonts w:eastAsia="Times New Roman" w:cstheme="minorHAnsi"/>
                <w:color w:val="000000"/>
                <w:sz w:val="12"/>
                <w:szCs w:val="12"/>
                <w:lang w:val="en-GB"/>
              </w:rPr>
            </w:pPr>
            <w:r w:rsidRPr="00A66F03">
              <w:rPr>
                <w:rFonts w:eastAsia="Times New Roman" w:cstheme="minorHAnsi"/>
                <w:color w:val="000000"/>
                <w:sz w:val="12"/>
                <w:szCs w:val="12"/>
                <w:lang w:val="en-GB"/>
              </w:rPr>
              <w:t> </w:t>
            </w:r>
          </w:p>
        </w:tc>
        <w:tc>
          <w:tcPr>
            <w:tcW w:w="413" w:type="pct"/>
            <w:tcBorders>
              <w:top w:val="nil"/>
              <w:left w:val="nil"/>
              <w:bottom w:val="single" w:sz="8" w:space="0" w:color="auto"/>
              <w:right w:val="single" w:sz="8" w:space="0" w:color="auto"/>
            </w:tcBorders>
            <w:shd w:val="clear" w:color="auto" w:fill="auto"/>
            <w:vAlign w:val="center"/>
            <w:hideMark/>
          </w:tcPr>
          <w:p w14:paraId="5639C53F" w14:textId="77777777" w:rsidR="00B643DB" w:rsidRPr="00A66F03" w:rsidRDefault="00976636" w:rsidP="00305B56">
            <w:pPr>
              <w:spacing w:after="0" w:line="240" w:lineRule="auto"/>
              <w:rPr>
                <w:rFonts w:eastAsia="Times New Roman" w:cstheme="minorHAnsi"/>
                <w:color w:val="000000"/>
                <w:sz w:val="12"/>
                <w:szCs w:val="12"/>
                <w:lang w:val="en-GB"/>
              </w:rPr>
            </w:pPr>
            <w:r w:rsidRPr="00A66F03">
              <w:rPr>
                <w:rFonts w:eastAsia="Times New Roman" w:cstheme="minorHAnsi"/>
                <w:color w:val="000000"/>
                <w:sz w:val="12"/>
                <w:szCs w:val="12"/>
                <w:lang w:val="en-GB"/>
              </w:rPr>
              <w:t> </w:t>
            </w:r>
          </w:p>
        </w:tc>
        <w:tc>
          <w:tcPr>
            <w:tcW w:w="413" w:type="pct"/>
            <w:tcBorders>
              <w:top w:val="nil"/>
              <w:left w:val="nil"/>
              <w:bottom w:val="single" w:sz="8" w:space="0" w:color="auto"/>
              <w:right w:val="single" w:sz="8" w:space="0" w:color="auto"/>
            </w:tcBorders>
            <w:shd w:val="clear" w:color="auto" w:fill="auto"/>
            <w:vAlign w:val="center"/>
            <w:hideMark/>
          </w:tcPr>
          <w:p w14:paraId="0150E266" w14:textId="77777777" w:rsidR="00B643DB" w:rsidRPr="00A66F03" w:rsidRDefault="00976636" w:rsidP="00305B56">
            <w:pPr>
              <w:spacing w:after="0" w:line="240" w:lineRule="auto"/>
              <w:rPr>
                <w:rFonts w:eastAsia="Times New Roman" w:cstheme="minorHAnsi"/>
                <w:color w:val="000000"/>
                <w:sz w:val="12"/>
                <w:szCs w:val="12"/>
                <w:lang w:val="en-GB"/>
              </w:rPr>
            </w:pPr>
            <w:r w:rsidRPr="00A66F03">
              <w:rPr>
                <w:rFonts w:eastAsia="Times New Roman" w:cstheme="minorHAnsi"/>
                <w:color w:val="000000"/>
                <w:sz w:val="12"/>
                <w:szCs w:val="12"/>
                <w:lang w:val="en-GB"/>
              </w:rPr>
              <w:t> </w:t>
            </w:r>
          </w:p>
        </w:tc>
        <w:tc>
          <w:tcPr>
            <w:tcW w:w="413" w:type="pct"/>
            <w:tcBorders>
              <w:top w:val="nil"/>
              <w:left w:val="nil"/>
              <w:bottom w:val="single" w:sz="8" w:space="0" w:color="auto"/>
              <w:right w:val="single" w:sz="8" w:space="0" w:color="auto"/>
            </w:tcBorders>
            <w:shd w:val="clear" w:color="auto" w:fill="auto"/>
            <w:vAlign w:val="center"/>
            <w:hideMark/>
          </w:tcPr>
          <w:p w14:paraId="170A14BC" w14:textId="77777777" w:rsidR="00B643DB" w:rsidRPr="00A66F03" w:rsidRDefault="00976636" w:rsidP="00305B56">
            <w:pPr>
              <w:spacing w:after="0" w:line="240" w:lineRule="auto"/>
              <w:rPr>
                <w:rFonts w:eastAsia="Times New Roman" w:cstheme="minorHAnsi"/>
                <w:color w:val="000000"/>
                <w:sz w:val="12"/>
                <w:szCs w:val="12"/>
                <w:lang w:val="en-GB"/>
              </w:rPr>
            </w:pPr>
            <w:r w:rsidRPr="00A66F03">
              <w:rPr>
                <w:rFonts w:eastAsia="Times New Roman" w:cstheme="minorHAnsi"/>
                <w:color w:val="000000"/>
                <w:sz w:val="12"/>
                <w:szCs w:val="12"/>
                <w:lang w:val="en-GB"/>
              </w:rPr>
              <w:t xml:space="preserve">                           -     </w:t>
            </w:r>
          </w:p>
        </w:tc>
      </w:tr>
      <w:tr w:rsidR="00143DBE" w:rsidRPr="00A66F03" w14:paraId="7AC3E43C" w14:textId="77777777" w:rsidTr="00305B56">
        <w:trPr>
          <w:trHeight w:val="405"/>
        </w:trPr>
        <w:tc>
          <w:tcPr>
            <w:tcW w:w="397" w:type="pct"/>
            <w:tcBorders>
              <w:top w:val="nil"/>
              <w:left w:val="single" w:sz="8" w:space="0" w:color="auto"/>
              <w:bottom w:val="single" w:sz="8" w:space="0" w:color="auto"/>
              <w:right w:val="single" w:sz="8" w:space="0" w:color="auto"/>
            </w:tcBorders>
            <w:shd w:val="clear" w:color="auto" w:fill="auto"/>
            <w:vAlign w:val="center"/>
            <w:hideMark/>
          </w:tcPr>
          <w:p w14:paraId="0040C3C9" w14:textId="77777777" w:rsidR="00B643DB" w:rsidRPr="00A66F03" w:rsidRDefault="00976636" w:rsidP="00305B56">
            <w:pPr>
              <w:spacing w:after="0" w:line="240" w:lineRule="auto"/>
              <w:rPr>
                <w:rFonts w:eastAsia="Times New Roman" w:cstheme="minorHAnsi"/>
                <w:color w:val="000000"/>
                <w:sz w:val="12"/>
                <w:szCs w:val="12"/>
                <w:lang w:val="en-GB"/>
              </w:rPr>
            </w:pPr>
            <w:r w:rsidRPr="00A66F03">
              <w:rPr>
                <w:rFonts w:eastAsia="Times New Roman" w:cstheme="minorHAnsi"/>
                <w:color w:val="000000"/>
                <w:sz w:val="12"/>
                <w:szCs w:val="12"/>
                <w:lang w:val="en-GB"/>
              </w:rPr>
              <w:t>EMFAF</w:t>
            </w:r>
          </w:p>
        </w:tc>
        <w:tc>
          <w:tcPr>
            <w:tcW w:w="475" w:type="pct"/>
            <w:tcBorders>
              <w:top w:val="nil"/>
              <w:left w:val="nil"/>
              <w:bottom w:val="single" w:sz="8" w:space="0" w:color="auto"/>
              <w:right w:val="single" w:sz="8" w:space="0" w:color="auto"/>
            </w:tcBorders>
            <w:shd w:val="clear" w:color="auto" w:fill="auto"/>
            <w:vAlign w:val="center"/>
            <w:hideMark/>
          </w:tcPr>
          <w:p w14:paraId="4FA3A3A6" w14:textId="77777777" w:rsidR="00B643DB" w:rsidRPr="00A66F03" w:rsidRDefault="00976636" w:rsidP="00305B56">
            <w:pPr>
              <w:spacing w:after="0" w:line="240" w:lineRule="auto"/>
              <w:rPr>
                <w:rFonts w:eastAsia="Times New Roman" w:cstheme="minorHAnsi"/>
                <w:color w:val="000000"/>
                <w:sz w:val="12"/>
                <w:szCs w:val="12"/>
                <w:lang w:val="en-GB"/>
              </w:rPr>
            </w:pPr>
            <w:r w:rsidRPr="00A66F03">
              <w:rPr>
                <w:rFonts w:eastAsia="Times New Roman" w:cstheme="minorHAnsi"/>
                <w:color w:val="000000"/>
                <w:sz w:val="12"/>
                <w:szCs w:val="12"/>
                <w:lang w:val="en-GB"/>
              </w:rPr>
              <w:t>Not applicable</w:t>
            </w:r>
          </w:p>
        </w:tc>
        <w:tc>
          <w:tcPr>
            <w:tcW w:w="413" w:type="pct"/>
            <w:tcBorders>
              <w:top w:val="nil"/>
              <w:left w:val="nil"/>
              <w:bottom w:val="single" w:sz="8" w:space="0" w:color="auto"/>
              <w:right w:val="single" w:sz="8" w:space="0" w:color="auto"/>
            </w:tcBorders>
            <w:shd w:val="clear" w:color="auto" w:fill="auto"/>
            <w:vAlign w:val="center"/>
            <w:hideMark/>
          </w:tcPr>
          <w:p w14:paraId="53CA08E6" w14:textId="77777777" w:rsidR="00B643DB" w:rsidRPr="00A66F03" w:rsidRDefault="00976636" w:rsidP="00305B56">
            <w:pPr>
              <w:spacing w:after="0" w:line="240" w:lineRule="auto"/>
              <w:rPr>
                <w:rFonts w:eastAsia="Times New Roman" w:cstheme="minorHAnsi"/>
                <w:color w:val="000000"/>
                <w:sz w:val="12"/>
                <w:szCs w:val="12"/>
                <w:lang w:val="en-GB"/>
              </w:rPr>
            </w:pPr>
            <w:r w:rsidRPr="00A66F03">
              <w:rPr>
                <w:rFonts w:eastAsia="Times New Roman" w:cstheme="minorHAnsi"/>
                <w:color w:val="000000"/>
                <w:sz w:val="12"/>
                <w:szCs w:val="12"/>
                <w:lang w:val="en-GB"/>
              </w:rPr>
              <w:t> </w:t>
            </w:r>
          </w:p>
        </w:tc>
        <w:tc>
          <w:tcPr>
            <w:tcW w:w="413" w:type="pct"/>
            <w:tcBorders>
              <w:top w:val="nil"/>
              <w:left w:val="nil"/>
              <w:bottom w:val="single" w:sz="8" w:space="0" w:color="auto"/>
              <w:right w:val="single" w:sz="8" w:space="0" w:color="auto"/>
            </w:tcBorders>
            <w:shd w:val="clear" w:color="auto" w:fill="auto"/>
            <w:vAlign w:val="center"/>
            <w:hideMark/>
          </w:tcPr>
          <w:p w14:paraId="08C42F82" w14:textId="77777777" w:rsidR="00B643DB" w:rsidRPr="00A66F03" w:rsidRDefault="00976636" w:rsidP="00305B56">
            <w:pPr>
              <w:spacing w:after="0" w:line="240" w:lineRule="auto"/>
              <w:rPr>
                <w:rFonts w:eastAsia="Times New Roman" w:cstheme="minorHAnsi"/>
                <w:color w:val="000000"/>
                <w:sz w:val="12"/>
                <w:szCs w:val="12"/>
                <w:lang w:val="en-GB"/>
              </w:rPr>
            </w:pPr>
            <w:r w:rsidRPr="00A66F03">
              <w:rPr>
                <w:rFonts w:eastAsia="Times New Roman" w:cstheme="minorHAnsi"/>
                <w:color w:val="000000"/>
                <w:sz w:val="12"/>
                <w:szCs w:val="12"/>
                <w:lang w:val="en-GB"/>
              </w:rPr>
              <w:t> </w:t>
            </w:r>
          </w:p>
        </w:tc>
        <w:tc>
          <w:tcPr>
            <w:tcW w:w="413" w:type="pct"/>
            <w:tcBorders>
              <w:top w:val="nil"/>
              <w:left w:val="nil"/>
              <w:bottom w:val="single" w:sz="8" w:space="0" w:color="auto"/>
              <w:right w:val="single" w:sz="8" w:space="0" w:color="auto"/>
            </w:tcBorders>
            <w:shd w:val="clear" w:color="auto" w:fill="auto"/>
            <w:vAlign w:val="center"/>
            <w:hideMark/>
          </w:tcPr>
          <w:p w14:paraId="695F3A6F" w14:textId="77777777" w:rsidR="00B643DB" w:rsidRPr="00A66F03" w:rsidRDefault="00976636" w:rsidP="00305B56">
            <w:pPr>
              <w:spacing w:after="0" w:line="240" w:lineRule="auto"/>
              <w:rPr>
                <w:rFonts w:eastAsia="Times New Roman" w:cstheme="minorHAnsi"/>
                <w:color w:val="000000"/>
                <w:sz w:val="12"/>
                <w:szCs w:val="12"/>
                <w:lang w:val="en-GB"/>
              </w:rPr>
            </w:pPr>
            <w:r w:rsidRPr="00A66F03">
              <w:rPr>
                <w:rFonts w:eastAsia="Times New Roman" w:cstheme="minorHAnsi"/>
                <w:color w:val="000000"/>
                <w:sz w:val="12"/>
                <w:szCs w:val="12"/>
                <w:lang w:val="en-GB"/>
              </w:rPr>
              <w:t> </w:t>
            </w:r>
          </w:p>
        </w:tc>
        <w:tc>
          <w:tcPr>
            <w:tcW w:w="413" w:type="pct"/>
            <w:tcBorders>
              <w:top w:val="nil"/>
              <w:left w:val="nil"/>
              <w:bottom w:val="single" w:sz="8" w:space="0" w:color="auto"/>
              <w:right w:val="single" w:sz="8" w:space="0" w:color="auto"/>
            </w:tcBorders>
            <w:shd w:val="clear" w:color="auto" w:fill="auto"/>
            <w:vAlign w:val="center"/>
            <w:hideMark/>
          </w:tcPr>
          <w:p w14:paraId="0551949C" w14:textId="77777777" w:rsidR="00B643DB" w:rsidRPr="00A66F03" w:rsidRDefault="00976636" w:rsidP="00305B56">
            <w:pPr>
              <w:spacing w:after="0" w:line="240" w:lineRule="auto"/>
              <w:rPr>
                <w:rFonts w:eastAsia="Times New Roman" w:cstheme="minorHAnsi"/>
                <w:color w:val="000000"/>
                <w:sz w:val="12"/>
                <w:szCs w:val="12"/>
                <w:lang w:val="en-GB"/>
              </w:rPr>
            </w:pPr>
            <w:r w:rsidRPr="00A66F03">
              <w:rPr>
                <w:rFonts w:eastAsia="Times New Roman" w:cstheme="minorHAnsi"/>
                <w:color w:val="000000"/>
                <w:sz w:val="12"/>
                <w:szCs w:val="12"/>
                <w:lang w:val="en-GB"/>
              </w:rPr>
              <w:t> </w:t>
            </w:r>
          </w:p>
        </w:tc>
        <w:tc>
          <w:tcPr>
            <w:tcW w:w="413" w:type="pct"/>
            <w:tcBorders>
              <w:top w:val="nil"/>
              <w:left w:val="nil"/>
              <w:bottom w:val="single" w:sz="8" w:space="0" w:color="auto"/>
              <w:right w:val="single" w:sz="8" w:space="0" w:color="auto"/>
            </w:tcBorders>
            <w:shd w:val="clear" w:color="auto" w:fill="auto"/>
            <w:vAlign w:val="center"/>
            <w:hideMark/>
          </w:tcPr>
          <w:p w14:paraId="25BEE7CF" w14:textId="77777777" w:rsidR="00B643DB" w:rsidRPr="00A66F03" w:rsidRDefault="00976636" w:rsidP="00305B56">
            <w:pPr>
              <w:spacing w:after="0" w:line="240" w:lineRule="auto"/>
              <w:rPr>
                <w:rFonts w:eastAsia="Times New Roman" w:cstheme="minorHAnsi"/>
                <w:color w:val="000000"/>
                <w:sz w:val="12"/>
                <w:szCs w:val="12"/>
                <w:lang w:val="en-GB"/>
              </w:rPr>
            </w:pPr>
            <w:r w:rsidRPr="00A66F03">
              <w:rPr>
                <w:rFonts w:eastAsia="Times New Roman" w:cstheme="minorHAnsi"/>
                <w:color w:val="000000"/>
                <w:sz w:val="12"/>
                <w:szCs w:val="12"/>
                <w:lang w:val="en-GB"/>
              </w:rPr>
              <w:t> </w:t>
            </w:r>
          </w:p>
        </w:tc>
        <w:tc>
          <w:tcPr>
            <w:tcW w:w="413" w:type="pct"/>
            <w:tcBorders>
              <w:top w:val="nil"/>
              <w:left w:val="nil"/>
              <w:bottom w:val="single" w:sz="8" w:space="0" w:color="auto"/>
              <w:right w:val="single" w:sz="8" w:space="0" w:color="auto"/>
            </w:tcBorders>
            <w:shd w:val="clear" w:color="auto" w:fill="auto"/>
            <w:vAlign w:val="center"/>
            <w:hideMark/>
          </w:tcPr>
          <w:p w14:paraId="27CFC073" w14:textId="77777777" w:rsidR="00B643DB" w:rsidRPr="00A66F03" w:rsidRDefault="00976636" w:rsidP="00305B56">
            <w:pPr>
              <w:spacing w:after="0" w:line="240" w:lineRule="auto"/>
              <w:rPr>
                <w:rFonts w:eastAsia="Times New Roman" w:cstheme="minorHAnsi"/>
                <w:color w:val="000000"/>
                <w:sz w:val="12"/>
                <w:szCs w:val="12"/>
                <w:lang w:val="en-GB"/>
              </w:rPr>
            </w:pPr>
            <w:r w:rsidRPr="00A66F03">
              <w:rPr>
                <w:rFonts w:eastAsia="Times New Roman" w:cstheme="minorHAnsi"/>
                <w:color w:val="000000"/>
                <w:sz w:val="12"/>
                <w:szCs w:val="12"/>
                <w:lang w:val="en-GB"/>
              </w:rPr>
              <w:t> </w:t>
            </w:r>
          </w:p>
        </w:tc>
        <w:tc>
          <w:tcPr>
            <w:tcW w:w="413" w:type="pct"/>
            <w:tcBorders>
              <w:top w:val="nil"/>
              <w:left w:val="nil"/>
              <w:bottom w:val="single" w:sz="8" w:space="0" w:color="auto"/>
              <w:right w:val="single" w:sz="8" w:space="0" w:color="auto"/>
            </w:tcBorders>
            <w:shd w:val="clear" w:color="auto" w:fill="auto"/>
            <w:vAlign w:val="center"/>
            <w:hideMark/>
          </w:tcPr>
          <w:p w14:paraId="6816C3DB" w14:textId="77777777" w:rsidR="00B643DB" w:rsidRPr="00A66F03" w:rsidRDefault="00976636" w:rsidP="00305B56">
            <w:pPr>
              <w:spacing w:after="0" w:line="240" w:lineRule="auto"/>
              <w:rPr>
                <w:rFonts w:eastAsia="Times New Roman" w:cstheme="minorHAnsi"/>
                <w:color w:val="000000"/>
                <w:sz w:val="12"/>
                <w:szCs w:val="12"/>
                <w:lang w:val="en-GB"/>
              </w:rPr>
            </w:pPr>
            <w:r w:rsidRPr="00A66F03">
              <w:rPr>
                <w:rFonts w:eastAsia="Times New Roman" w:cstheme="minorHAnsi"/>
                <w:color w:val="000000"/>
                <w:sz w:val="12"/>
                <w:szCs w:val="12"/>
                <w:lang w:val="en-GB"/>
              </w:rPr>
              <w:t> </w:t>
            </w:r>
          </w:p>
        </w:tc>
        <w:tc>
          <w:tcPr>
            <w:tcW w:w="413" w:type="pct"/>
            <w:tcBorders>
              <w:top w:val="nil"/>
              <w:left w:val="nil"/>
              <w:bottom w:val="single" w:sz="8" w:space="0" w:color="auto"/>
              <w:right w:val="single" w:sz="8" w:space="0" w:color="auto"/>
            </w:tcBorders>
            <w:shd w:val="clear" w:color="auto" w:fill="auto"/>
            <w:vAlign w:val="center"/>
            <w:hideMark/>
          </w:tcPr>
          <w:p w14:paraId="4C649EB8" w14:textId="77777777" w:rsidR="00B643DB" w:rsidRPr="00A66F03" w:rsidRDefault="00976636" w:rsidP="00305B56">
            <w:pPr>
              <w:spacing w:after="0" w:line="240" w:lineRule="auto"/>
              <w:rPr>
                <w:rFonts w:eastAsia="Times New Roman" w:cstheme="minorHAnsi"/>
                <w:color w:val="000000"/>
                <w:sz w:val="12"/>
                <w:szCs w:val="12"/>
                <w:lang w:val="en-GB"/>
              </w:rPr>
            </w:pPr>
            <w:r w:rsidRPr="00A66F03">
              <w:rPr>
                <w:rFonts w:eastAsia="Times New Roman" w:cstheme="minorHAnsi"/>
                <w:color w:val="000000"/>
                <w:sz w:val="12"/>
                <w:szCs w:val="12"/>
                <w:lang w:val="en-GB"/>
              </w:rPr>
              <w:t> </w:t>
            </w:r>
          </w:p>
        </w:tc>
        <w:tc>
          <w:tcPr>
            <w:tcW w:w="413" w:type="pct"/>
            <w:tcBorders>
              <w:top w:val="nil"/>
              <w:left w:val="nil"/>
              <w:bottom w:val="single" w:sz="8" w:space="0" w:color="auto"/>
              <w:right w:val="single" w:sz="8" w:space="0" w:color="auto"/>
            </w:tcBorders>
            <w:shd w:val="clear" w:color="auto" w:fill="auto"/>
            <w:vAlign w:val="center"/>
            <w:hideMark/>
          </w:tcPr>
          <w:p w14:paraId="4B29E3D7" w14:textId="77777777" w:rsidR="00B643DB" w:rsidRPr="00A66F03" w:rsidRDefault="00976636" w:rsidP="00305B56">
            <w:pPr>
              <w:spacing w:after="0" w:line="240" w:lineRule="auto"/>
              <w:rPr>
                <w:rFonts w:eastAsia="Times New Roman" w:cstheme="minorHAnsi"/>
                <w:color w:val="000000"/>
                <w:sz w:val="12"/>
                <w:szCs w:val="12"/>
                <w:lang w:val="en-GB"/>
              </w:rPr>
            </w:pPr>
            <w:r w:rsidRPr="00A66F03">
              <w:rPr>
                <w:rFonts w:eastAsia="Times New Roman" w:cstheme="minorHAnsi"/>
                <w:color w:val="000000"/>
                <w:sz w:val="12"/>
                <w:szCs w:val="12"/>
                <w:lang w:val="en-GB"/>
              </w:rPr>
              <w:t> </w:t>
            </w:r>
          </w:p>
        </w:tc>
        <w:tc>
          <w:tcPr>
            <w:tcW w:w="413" w:type="pct"/>
            <w:tcBorders>
              <w:top w:val="nil"/>
              <w:left w:val="nil"/>
              <w:bottom w:val="single" w:sz="8" w:space="0" w:color="auto"/>
              <w:right w:val="single" w:sz="8" w:space="0" w:color="auto"/>
            </w:tcBorders>
            <w:shd w:val="clear" w:color="auto" w:fill="auto"/>
            <w:vAlign w:val="center"/>
            <w:hideMark/>
          </w:tcPr>
          <w:p w14:paraId="211697A2" w14:textId="77777777" w:rsidR="00B643DB" w:rsidRPr="00A66F03" w:rsidRDefault="00976636" w:rsidP="00305B56">
            <w:pPr>
              <w:spacing w:after="0" w:line="240" w:lineRule="auto"/>
              <w:rPr>
                <w:rFonts w:eastAsia="Times New Roman" w:cstheme="minorHAnsi"/>
                <w:color w:val="000000"/>
                <w:sz w:val="12"/>
                <w:szCs w:val="12"/>
                <w:lang w:val="en-GB"/>
              </w:rPr>
            </w:pPr>
            <w:r w:rsidRPr="00A66F03">
              <w:rPr>
                <w:rFonts w:eastAsia="Times New Roman" w:cstheme="minorHAnsi"/>
                <w:color w:val="000000"/>
                <w:sz w:val="12"/>
                <w:szCs w:val="12"/>
                <w:lang w:val="en-GB"/>
              </w:rPr>
              <w:t xml:space="preserve">                           -     </w:t>
            </w:r>
          </w:p>
        </w:tc>
      </w:tr>
    </w:tbl>
    <w:p w14:paraId="4817CF74" w14:textId="77777777" w:rsidR="00A76FF9" w:rsidRPr="00A66F03" w:rsidRDefault="00976636" w:rsidP="00B72629">
      <w:pPr>
        <w:shd w:val="clear" w:color="auto" w:fill="FFFFFF"/>
        <w:spacing w:after="0" w:line="276" w:lineRule="auto"/>
        <w:rPr>
          <w:rFonts w:ascii="Times New Roman" w:eastAsia="Times New Roman" w:hAnsi="Times New Roman" w:cs="Times New Roman"/>
          <w:color w:val="3366CC"/>
          <w:sz w:val="24"/>
          <w:szCs w:val="24"/>
          <w:lang w:val="en-GB"/>
        </w:rPr>
      </w:pPr>
      <w:r w:rsidRPr="00A66F03">
        <w:rPr>
          <w:rFonts w:ascii="Times New Roman" w:eastAsia="Times New Roman" w:hAnsi="Times New Roman" w:cs="Times New Roman"/>
          <w:color w:val="444444"/>
          <w:sz w:val="24"/>
          <w:szCs w:val="24"/>
          <w:lang w:val="en-GB"/>
        </w:rPr>
        <w:t xml:space="preserve">Table 5B: Transfers </w:t>
      </w:r>
      <w:r w:rsidRPr="00A66F03">
        <w:rPr>
          <w:rFonts w:ascii="Times New Roman" w:eastAsia="Times New Roman" w:hAnsi="Times New Roman" w:cs="Times New Roman"/>
          <w:color w:val="444444"/>
          <w:sz w:val="24"/>
          <w:szCs w:val="24"/>
          <w:lang w:val="en-GB"/>
        </w:rPr>
        <w:t>between ERDF, ESF+ or Cohesion Fund or to another fund or funds (summary)</w:t>
      </w:r>
      <w:r w:rsidRPr="00A66F03">
        <w:rPr>
          <w:rFonts w:ascii="Times New Roman" w:eastAsia="Times New Roman" w:hAnsi="Times New Roman" w:cs="Times New Roman"/>
          <w:color w:val="3366CC"/>
          <w:sz w:val="24"/>
          <w:szCs w:val="24"/>
          <w:lang w:val="en-GB"/>
        </w:rPr>
        <w:t xml:space="preserve"> </w:t>
      </w:r>
    </w:p>
    <w:p w14:paraId="547E6025" w14:textId="77777777" w:rsidR="00D40B1F" w:rsidRPr="00A66F03" w:rsidRDefault="00D40B1F" w:rsidP="00B72629">
      <w:pPr>
        <w:shd w:val="clear" w:color="auto" w:fill="FFFFFF"/>
        <w:spacing w:after="0" w:line="276" w:lineRule="auto"/>
        <w:rPr>
          <w:rFonts w:ascii="Times New Roman" w:eastAsia="Times New Roman" w:hAnsi="Times New Roman" w:cs="Times New Roman"/>
          <w:color w:val="3366CC"/>
          <w:sz w:val="24"/>
          <w:szCs w:val="24"/>
          <w:lang w:val="en-GB"/>
        </w:rPr>
      </w:pPr>
    </w:p>
    <w:tbl>
      <w:tblPr>
        <w:tblW w:w="5000" w:type="pct"/>
        <w:tblLayout w:type="fixed"/>
        <w:tblCellMar>
          <w:left w:w="70" w:type="dxa"/>
          <w:right w:w="70" w:type="dxa"/>
        </w:tblCellMar>
        <w:tblLook w:val="04A0" w:firstRow="1" w:lastRow="0" w:firstColumn="1" w:lastColumn="0" w:noHBand="0" w:noVBand="1"/>
      </w:tblPr>
      <w:tblGrid>
        <w:gridCol w:w="631"/>
        <w:gridCol w:w="745"/>
        <w:gridCol w:w="728"/>
        <w:gridCol w:w="579"/>
        <w:gridCol w:w="708"/>
        <w:gridCol w:w="710"/>
        <w:gridCol w:w="708"/>
        <w:gridCol w:w="710"/>
        <w:gridCol w:w="567"/>
        <w:gridCol w:w="567"/>
        <w:gridCol w:w="567"/>
        <w:gridCol w:w="590"/>
        <w:gridCol w:w="498"/>
        <w:gridCol w:w="744"/>
      </w:tblGrid>
      <w:tr w:rsidR="00143DBE" w:rsidRPr="00A66F03" w14:paraId="34FE66AD" w14:textId="77777777" w:rsidTr="00300B05">
        <w:trPr>
          <w:trHeight w:val="255"/>
        </w:trPr>
        <w:tc>
          <w:tcPr>
            <w:tcW w:w="760"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F3B3E77" w14:textId="77777777" w:rsidR="00503403" w:rsidRPr="00A66F03" w:rsidRDefault="00976636" w:rsidP="00B72629">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1113" w:type="pct"/>
            <w:gridSpan w:val="3"/>
            <w:tcBorders>
              <w:top w:val="single" w:sz="8" w:space="0" w:color="auto"/>
              <w:left w:val="nil"/>
              <w:bottom w:val="single" w:sz="8" w:space="0" w:color="auto"/>
              <w:right w:val="single" w:sz="8" w:space="0" w:color="000000"/>
            </w:tcBorders>
            <w:shd w:val="clear" w:color="auto" w:fill="auto"/>
            <w:vAlign w:val="center"/>
            <w:hideMark/>
          </w:tcPr>
          <w:p w14:paraId="6ED81898" w14:textId="77777777" w:rsidR="00503403" w:rsidRPr="00A66F03" w:rsidRDefault="00976636" w:rsidP="00B72629">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ERDF</w:t>
            </w:r>
          </w:p>
        </w:tc>
        <w:tc>
          <w:tcPr>
            <w:tcW w:w="1175" w:type="pct"/>
            <w:gridSpan w:val="3"/>
            <w:tcBorders>
              <w:top w:val="single" w:sz="8" w:space="0" w:color="auto"/>
              <w:left w:val="nil"/>
              <w:bottom w:val="single" w:sz="8" w:space="0" w:color="auto"/>
              <w:right w:val="single" w:sz="8" w:space="0" w:color="000000"/>
            </w:tcBorders>
            <w:shd w:val="clear" w:color="auto" w:fill="auto"/>
            <w:vAlign w:val="center"/>
            <w:hideMark/>
          </w:tcPr>
          <w:p w14:paraId="7334765A" w14:textId="77777777" w:rsidR="00503403" w:rsidRPr="00A66F03" w:rsidRDefault="00976636" w:rsidP="00B72629">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ESF+</w:t>
            </w:r>
          </w:p>
        </w:tc>
        <w:tc>
          <w:tcPr>
            <w:tcW w:w="31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EAD53B4" w14:textId="77777777" w:rsidR="00503403" w:rsidRPr="00A66F03" w:rsidRDefault="00976636" w:rsidP="00B72629">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Cohesion Fund</w:t>
            </w:r>
          </w:p>
        </w:tc>
        <w:tc>
          <w:tcPr>
            <w:tcW w:w="31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A7107B8" w14:textId="77777777" w:rsidR="00503403" w:rsidRPr="00A66F03" w:rsidRDefault="00976636" w:rsidP="00B72629">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EMFAF</w:t>
            </w:r>
          </w:p>
        </w:tc>
        <w:tc>
          <w:tcPr>
            <w:tcW w:w="31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D41E3D3" w14:textId="77777777" w:rsidR="00503403" w:rsidRPr="00A66F03" w:rsidRDefault="00976636" w:rsidP="00B72629">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AMIF</w:t>
            </w:r>
          </w:p>
        </w:tc>
        <w:tc>
          <w:tcPr>
            <w:tcW w:w="32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3CE0884" w14:textId="77777777" w:rsidR="00503403" w:rsidRPr="00A66F03" w:rsidRDefault="00976636" w:rsidP="00B72629">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ISF</w:t>
            </w:r>
          </w:p>
        </w:tc>
        <w:tc>
          <w:tcPr>
            <w:tcW w:w="27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2299B53" w14:textId="77777777" w:rsidR="00503403" w:rsidRPr="00A66F03" w:rsidRDefault="00976636" w:rsidP="00B72629">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MBVI</w:t>
            </w:r>
          </w:p>
        </w:tc>
        <w:tc>
          <w:tcPr>
            <w:tcW w:w="41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138A428" w14:textId="77777777" w:rsidR="00503403" w:rsidRPr="00A66F03" w:rsidRDefault="00976636" w:rsidP="00B72629">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Total</w:t>
            </w:r>
          </w:p>
        </w:tc>
      </w:tr>
      <w:tr w:rsidR="00143DBE" w:rsidRPr="00A66F03" w14:paraId="7AF111CC" w14:textId="77777777" w:rsidTr="00300B05">
        <w:trPr>
          <w:trHeight w:val="255"/>
        </w:trPr>
        <w:tc>
          <w:tcPr>
            <w:tcW w:w="760" w:type="pct"/>
            <w:gridSpan w:val="2"/>
            <w:vMerge/>
            <w:tcBorders>
              <w:top w:val="single" w:sz="8" w:space="0" w:color="auto"/>
              <w:left w:val="single" w:sz="8" w:space="0" w:color="auto"/>
              <w:bottom w:val="single" w:sz="8" w:space="0" w:color="000000"/>
              <w:right w:val="single" w:sz="8" w:space="0" w:color="000000"/>
            </w:tcBorders>
            <w:vAlign w:val="center"/>
            <w:hideMark/>
          </w:tcPr>
          <w:p w14:paraId="1EB5D404" w14:textId="77777777" w:rsidR="00503403" w:rsidRPr="00A66F03" w:rsidRDefault="00503403" w:rsidP="00B72629">
            <w:pPr>
              <w:spacing w:after="0" w:line="276" w:lineRule="auto"/>
              <w:rPr>
                <w:rFonts w:ascii="Calibri" w:eastAsia="Times New Roman" w:hAnsi="Calibri" w:cs="Calibri"/>
                <w:color w:val="000000"/>
                <w:sz w:val="12"/>
                <w:szCs w:val="12"/>
                <w:lang w:val="en-GB"/>
              </w:rPr>
            </w:pPr>
          </w:p>
        </w:tc>
        <w:tc>
          <w:tcPr>
            <w:tcW w:w="402" w:type="pct"/>
            <w:tcBorders>
              <w:top w:val="nil"/>
              <w:left w:val="nil"/>
              <w:bottom w:val="single" w:sz="8" w:space="0" w:color="auto"/>
              <w:right w:val="single" w:sz="8" w:space="0" w:color="auto"/>
            </w:tcBorders>
            <w:shd w:val="clear" w:color="auto" w:fill="auto"/>
            <w:vAlign w:val="center"/>
            <w:hideMark/>
          </w:tcPr>
          <w:p w14:paraId="409356C6" w14:textId="77777777" w:rsidR="00503403" w:rsidRPr="00A66F03" w:rsidRDefault="00976636" w:rsidP="00B72629">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More developed</w:t>
            </w:r>
          </w:p>
        </w:tc>
        <w:tc>
          <w:tcPr>
            <w:tcW w:w="320" w:type="pct"/>
            <w:tcBorders>
              <w:top w:val="nil"/>
              <w:left w:val="nil"/>
              <w:bottom w:val="single" w:sz="8" w:space="0" w:color="auto"/>
              <w:right w:val="single" w:sz="8" w:space="0" w:color="auto"/>
            </w:tcBorders>
            <w:shd w:val="clear" w:color="auto" w:fill="auto"/>
            <w:vAlign w:val="center"/>
            <w:hideMark/>
          </w:tcPr>
          <w:p w14:paraId="6F74C20B" w14:textId="77777777" w:rsidR="00503403" w:rsidRPr="00A66F03" w:rsidRDefault="00976636" w:rsidP="00B72629">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Transition</w:t>
            </w:r>
          </w:p>
        </w:tc>
        <w:tc>
          <w:tcPr>
            <w:tcW w:w="391" w:type="pct"/>
            <w:tcBorders>
              <w:top w:val="nil"/>
              <w:left w:val="nil"/>
              <w:bottom w:val="single" w:sz="8" w:space="0" w:color="auto"/>
              <w:right w:val="single" w:sz="8" w:space="0" w:color="auto"/>
            </w:tcBorders>
            <w:shd w:val="clear" w:color="auto" w:fill="auto"/>
            <w:vAlign w:val="center"/>
            <w:hideMark/>
          </w:tcPr>
          <w:p w14:paraId="6D451136" w14:textId="77777777" w:rsidR="00503403" w:rsidRPr="00A66F03" w:rsidRDefault="00976636" w:rsidP="00B72629">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Less developed</w:t>
            </w:r>
          </w:p>
        </w:tc>
        <w:tc>
          <w:tcPr>
            <w:tcW w:w="392" w:type="pct"/>
            <w:tcBorders>
              <w:top w:val="nil"/>
              <w:left w:val="nil"/>
              <w:bottom w:val="single" w:sz="8" w:space="0" w:color="auto"/>
              <w:right w:val="single" w:sz="8" w:space="0" w:color="auto"/>
            </w:tcBorders>
            <w:shd w:val="clear" w:color="auto" w:fill="auto"/>
            <w:vAlign w:val="center"/>
            <w:hideMark/>
          </w:tcPr>
          <w:p w14:paraId="0DB23025" w14:textId="77777777" w:rsidR="00503403" w:rsidRPr="00A66F03" w:rsidRDefault="00976636" w:rsidP="00B72629">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More developed</w:t>
            </w:r>
          </w:p>
        </w:tc>
        <w:tc>
          <w:tcPr>
            <w:tcW w:w="391" w:type="pct"/>
            <w:tcBorders>
              <w:top w:val="nil"/>
              <w:left w:val="nil"/>
              <w:bottom w:val="single" w:sz="8" w:space="0" w:color="auto"/>
              <w:right w:val="single" w:sz="8" w:space="0" w:color="auto"/>
            </w:tcBorders>
            <w:shd w:val="clear" w:color="auto" w:fill="auto"/>
            <w:vAlign w:val="center"/>
            <w:hideMark/>
          </w:tcPr>
          <w:p w14:paraId="07EDA1BC" w14:textId="77777777" w:rsidR="00503403" w:rsidRPr="00A66F03" w:rsidRDefault="00976636" w:rsidP="00B72629">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Transition</w:t>
            </w:r>
          </w:p>
        </w:tc>
        <w:tc>
          <w:tcPr>
            <w:tcW w:w="392" w:type="pct"/>
            <w:tcBorders>
              <w:top w:val="nil"/>
              <w:left w:val="nil"/>
              <w:bottom w:val="single" w:sz="8" w:space="0" w:color="auto"/>
              <w:right w:val="single" w:sz="8" w:space="0" w:color="auto"/>
            </w:tcBorders>
            <w:shd w:val="clear" w:color="auto" w:fill="auto"/>
            <w:vAlign w:val="center"/>
            <w:hideMark/>
          </w:tcPr>
          <w:p w14:paraId="426255CE" w14:textId="77777777" w:rsidR="00503403" w:rsidRPr="00A66F03" w:rsidRDefault="00976636" w:rsidP="00B72629">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Less developed</w:t>
            </w:r>
          </w:p>
        </w:tc>
        <w:tc>
          <w:tcPr>
            <w:tcW w:w="313" w:type="pct"/>
            <w:vMerge/>
            <w:tcBorders>
              <w:top w:val="single" w:sz="8" w:space="0" w:color="auto"/>
              <w:left w:val="single" w:sz="8" w:space="0" w:color="auto"/>
              <w:bottom w:val="single" w:sz="8" w:space="0" w:color="000000"/>
              <w:right w:val="single" w:sz="8" w:space="0" w:color="auto"/>
            </w:tcBorders>
            <w:vAlign w:val="center"/>
            <w:hideMark/>
          </w:tcPr>
          <w:p w14:paraId="518295A1" w14:textId="77777777" w:rsidR="00503403" w:rsidRPr="00A66F03" w:rsidRDefault="00503403" w:rsidP="00B72629">
            <w:pPr>
              <w:spacing w:after="0" w:line="276" w:lineRule="auto"/>
              <w:rPr>
                <w:rFonts w:ascii="Calibri" w:eastAsia="Times New Roman" w:hAnsi="Calibri" w:cs="Calibri"/>
                <w:color w:val="000000"/>
                <w:sz w:val="12"/>
                <w:szCs w:val="12"/>
                <w:lang w:val="en-GB"/>
              </w:rPr>
            </w:pPr>
          </w:p>
        </w:tc>
        <w:tc>
          <w:tcPr>
            <w:tcW w:w="313" w:type="pct"/>
            <w:vMerge/>
            <w:tcBorders>
              <w:top w:val="single" w:sz="8" w:space="0" w:color="auto"/>
              <w:left w:val="single" w:sz="8" w:space="0" w:color="auto"/>
              <w:bottom w:val="single" w:sz="8" w:space="0" w:color="000000"/>
              <w:right w:val="single" w:sz="8" w:space="0" w:color="auto"/>
            </w:tcBorders>
            <w:vAlign w:val="center"/>
            <w:hideMark/>
          </w:tcPr>
          <w:p w14:paraId="19B31A81" w14:textId="77777777" w:rsidR="00503403" w:rsidRPr="00A66F03" w:rsidRDefault="00503403" w:rsidP="00B72629">
            <w:pPr>
              <w:spacing w:after="0" w:line="276" w:lineRule="auto"/>
              <w:rPr>
                <w:rFonts w:ascii="Calibri" w:eastAsia="Times New Roman" w:hAnsi="Calibri" w:cs="Calibri"/>
                <w:color w:val="000000"/>
                <w:sz w:val="12"/>
                <w:szCs w:val="12"/>
                <w:lang w:val="en-GB"/>
              </w:rPr>
            </w:pPr>
          </w:p>
        </w:tc>
        <w:tc>
          <w:tcPr>
            <w:tcW w:w="313" w:type="pct"/>
            <w:vMerge/>
            <w:tcBorders>
              <w:top w:val="single" w:sz="8" w:space="0" w:color="auto"/>
              <w:left w:val="single" w:sz="8" w:space="0" w:color="auto"/>
              <w:bottom w:val="single" w:sz="8" w:space="0" w:color="000000"/>
              <w:right w:val="single" w:sz="8" w:space="0" w:color="auto"/>
            </w:tcBorders>
            <w:vAlign w:val="center"/>
            <w:hideMark/>
          </w:tcPr>
          <w:p w14:paraId="070C989D" w14:textId="77777777" w:rsidR="00503403" w:rsidRPr="00A66F03" w:rsidRDefault="00503403" w:rsidP="00B72629">
            <w:pPr>
              <w:spacing w:after="0" w:line="276" w:lineRule="auto"/>
              <w:rPr>
                <w:rFonts w:ascii="Calibri" w:eastAsia="Times New Roman" w:hAnsi="Calibri" w:cs="Calibri"/>
                <w:color w:val="000000"/>
                <w:sz w:val="12"/>
                <w:szCs w:val="12"/>
                <w:lang w:val="en-GB"/>
              </w:rPr>
            </w:pPr>
          </w:p>
        </w:tc>
        <w:tc>
          <w:tcPr>
            <w:tcW w:w="326" w:type="pct"/>
            <w:vMerge/>
            <w:tcBorders>
              <w:top w:val="single" w:sz="8" w:space="0" w:color="auto"/>
              <w:left w:val="single" w:sz="8" w:space="0" w:color="auto"/>
              <w:bottom w:val="single" w:sz="8" w:space="0" w:color="000000"/>
              <w:right w:val="single" w:sz="8" w:space="0" w:color="auto"/>
            </w:tcBorders>
            <w:vAlign w:val="center"/>
            <w:hideMark/>
          </w:tcPr>
          <w:p w14:paraId="09477909" w14:textId="77777777" w:rsidR="00503403" w:rsidRPr="00A66F03" w:rsidRDefault="00503403" w:rsidP="00B72629">
            <w:pPr>
              <w:spacing w:after="0" w:line="276" w:lineRule="auto"/>
              <w:rPr>
                <w:rFonts w:ascii="Calibri" w:eastAsia="Times New Roman" w:hAnsi="Calibri" w:cs="Calibri"/>
                <w:color w:val="000000"/>
                <w:sz w:val="12"/>
                <w:szCs w:val="12"/>
                <w:lang w:val="en-GB"/>
              </w:rPr>
            </w:pPr>
          </w:p>
        </w:tc>
        <w:tc>
          <w:tcPr>
            <w:tcW w:w="275" w:type="pct"/>
            <w:vMerge/>
            <w:tcBorders>
              <w:top w:val="single" w:sz="8" w:space="0" w:color="auto"/>
              <w:left w:val="single" w:sz="8" w:space="0" w:color="auto"/>
              <w:bottom w:val="single" w:sz="8" w:space="0" w:color="000000"/>
              <w:right w:val="single" w:sz="8" w:space="0" w:color="auto"/>
            </w:tcBorders>
            <w:vAlign w:val="center"/>
            <w:hideMark/>
          </w:tcPr>
          <w:p w14:paraId="15FAF203" w14:textId="77777777" w:rsidR="00503403" w:rsidRPr="00A66F03" w:rsidRDefault="00503403" w:rsidP="00B72629">
            <w:pPr>
              <w:spacing w:after="0" w:line="276" w:lineRule="auto"/>
              <w:rPr>
                <w:rFonts w:ascii="Calibri" w:eastAsia="Times New Roman" w:hAnsi="Calibri" w:cs="Calibri"/>
                <w:color w:val="000000"/>
                <w:sz w:val="12"/>
                <w:szCs w:val="12"/>
                <w:lang w:val="en-GB"/>
              </w:rPr>
            </w:pPr>
          </w:p>
        </w:tc>
        <w:tc>
          <w:tcPr>
            <w:tcW w:w="411" w:type="pct"/>
            <w:vMerge/>
            <w:tcBorders>
              <w:top w:val="single" w:sz="8" w:space="0" w:color="auto"/>
              <w:left w:val="single" w:sz="8" w:space="0" w:color="auto"/>
              <w:bottom w:val="single" w:sz="8" w:space="0" w:color="000000"/>
              <w:right w:val="single" w:sz="8" w:space="0" w:color="auto"/>
            </w:tcBorders>
            <w:vAlign w:val="center"/>
            <w:hideMark/>
          </w:tcPr>
          <w:p w14:paraId="57232937" w14:textId="77777777" w:rsidR="00503403" w:rsidRPr="00A66F03" w:rsidRDefault="00503403" w:rsidP="00B72629">
            <w:pPr>
              <w:spacing w:after="0" w:line="276" w:lineRule="auto"/>
              <w:rPr>
                <w:rFonts w:ascii="Calibri" w:eastAsia="Times New Roman" w:hAnsi="Calibri" w:cs="Calibri"/>
                <w:color w:val="000000"/>
                <w:sz w:val="12"/>
                <w:szCs w:val="12"/>
                <w:lang w:val="en-GB"/>
              </w:rPr>
            </w:pPr>
          </w:p>
        </w:tc>
      </w:tr>
      <w:tr w:rsidR="00143DBE" w:rsidRPr="00A66F03" w14:paraId="00D4F3D9" w14:textId="77777777" w:rsidTr="00300B05">
        <w:trPr>
          <w:trHeight w:val="255"/>
        </w:trPr>
        <w:tc>
          <w:tcPr>
            <w:tcW w:w="349" w:type="pct"/>
            <w:vMerge w:val="restart"/>
            <w:tcBorders>
              <w:top w:val="nil"/>
              <w:left w:val="single" w:sz="8" w:space="0" w:color="auto"/>
              <w:bottom w:val="single" w:sz="8" w:space="0" w:color="000000"/>
              <w:right w:val="single" w:sz="8" w:space="0" w:color="auto"/>
            </w:tcBorders>
            <w:shd w:val="clear" w:color="auto" w:fill="auto"/>
            <w:vAlign w:val="center"/>
            <w:hideMark/>
          </w:tcPr>
          <w:p w14:paraId="0D44B1C1" w14:textId="77777777" w:rsidR="00503403" w:rsidRPr="00A66F03" w:rsidRDefault="00976636" w:rsidP="00B72629">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ERDF</w:t>
            </w:r>
          </w:p>
        </w:tc>
        <w:tc>
          <w:tcPr>
            <w:tcW w:w="412" w:type="pct"/>
            <w:tcBorders>
              <w:top w:val="nil"/>
              <w:left w:val="nil"/>
              <w:bottom w:val="single" w:sz="8" w:space="0" w:color="auto"/>
              <w:right w:val="single" w:sz="8" w:space="0" w:color="auto"/>
            </w:tcBorders>
            <w:shd w:val="clear" w:color="auto" w:fill="auto"/>
            <w:vAlign w:val="center"/>
            <w:hideMark/>
          </w:tcPr>
          <w:p w14:paraId="1F63E94B" w14:textId="77777777" w:rsidR="00503403" w:rsidRPr="00A66F03" w:rsidRDefault="00976636" w:rsidP="00B72629">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More developed</w:t>
            </w:r>
          </w:p>
        </w:tc>
        <w:tc>
          <w:tcPr>
            <w:tcW w:w="402" w:type="pct"/>
            <w:tcBorders>
              <w:top w:val="nil"/>
              <w:left w:val="nil"/>
              <w:bottom w:val="single" w:sz="8" w:space="0" w:color="auto"/>
              <w:right w:val="single" w:sz="8" w:space="0" w:color="auto"/>
            </w:tcBorders>
            <w:shd w:val="clear" w:color="000000" w:fill="D9D9D9"/>
            <w:vAlign w:val="center"/>
            <w:hideMark/>
          </w:tcPr>
          <w:p w14:paraId="56F9B437" w14:textId="77777777" w:rsidR="00503403" w:rsidRPr="00A66F03" w:rsidRDefault="00976636" w:rsidP="00B72629">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320" w:type="pct"/>
            <w:tcBorders>
              <w:top w:val="nil"/>
              <w:left w:val="nil"/>
              <w:bottom w:val="single" w:sz="8" w:space="0" w:color="auto"/>
              <w:right w:val="single" w:sz="8" w:space="0" w:color="auto"/>
            </w:tcBorders>
            <w:shd w:val="clear" w:color="000000" w:fill="D9D9D9"/>
            <w:vAlign w:val="center"/>
            <w:hideMark/>
          </w:tcPr>
          <w:p w14:paraId="4483973E" w14:textId="77777777" w:rsidR="00503403" w:rsidRPr="00A66F03" w:rsidRDefault="00976636" w:rsidP="00B72629">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391" w:type="pct"/>
            <w:tcBorders>
              <w:top w:val="nil"/>
              <w:left w:val="nil"/>
              <w:bottom w:val="single" w:sz="8" w:space="0" w:color="auto"/>
              <w:right w:val="single" w:sz="8" w:space="0" w:color="auto"/>
            </w:tcBorders>
            <w:shd w:val="clear" w:color="000000" w:fill="D9D9D9"/>
            <w:vAlign w:val="center"/>
            <w:hideMark/>
          </w:tcPr>
          <w:p w14:paraId="074E09A2" w14:textId="77777777" w:rsidR="00503403" w:rsidRPr="00A66F03" w:rsidRDefault="00976636" w:rsidP="00B72629">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392" w:type="pct"/>
            <w:tcBorders>
              <w:top w:val="nil"/>
              <w:left w:val="nil"/>
              <w:bottom w:val="single" w:sz="8" w:space="0" w:color="auto"/>
              <w:right w:val="single" w:sz="8" w:space="0" w:color="auto"/>
            </w:tcBorders>
            <w:shd w:val="clear" w:color="auto" w:fill="auto"/>
            <w:vAlign w:val="center"/>
            <w:hideMark/>
          </w:tcPr>
          <w:p w14:paraId="57D432BD" w14:textId="77777777" w:rsidR="00503403" w:rsidRPr="00A66F03" w:rsidRDefault="00976636" w:rsidP="00B72629">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391" w:type="pct"/>
            <w:tcBorders>
              <w:top w:val="nil"/>
              <w:left w:val="nil"/>
              <w:bottom w:val="single" w:sz="8" w:space="0" w:color="auto"/>
              <w:right w:val="single" w:sz="8" w:space="0" w:color="auto"/>
            </w:tcBorders>
            <w:shd w:val="clear" w:color="000000" w:fill="D9D9D9"/>
            <w:vAlign w:val="center"/>
            <w:hideMark/>
          </w:tcPr>
          <w:p w14:paraId="02AB60EB" w14:textId="77777777" w:rsidR="00503403" w:rsidRPr="00A66F03" w:rsidRDefault="00976636" w:rsidP="00B72629">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392" w:type="pct"/>
            <w:tcBorders>
              <w:top w:val="nil"/>
              <w:left w:val="nil"/>
              <w:bottom w:val="single" w:sz="8" w:space="0" w:color="auto"/>
              <w:right w:val="single" w:sz="8" w:space="0" w:color="auto"/>
            </w:tcBorders>
            <w:shd w:val="clear" w:color="000000" w:fill="D9D9D9"/>
            <w:vAlign w:val="center"/>
            <w:hideMark/>
          </w:tcPr>
          <w:p w14:paraId="03B1CC33" w14:textId="77777777" w:rsidR="00503403" w:rsidRPr="00A66F03" w:rsidRDefault="00976636" w:rsidP="00B72629">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313" w:type="pct"/>
            <w:tcBorders>
              <w:top w:val="nil"/>
              <w:left w:val="nil"/>
              <w:bottom w:val="single" w:sz="8" w:space="0" w:color="auto"/>
              <w:right w:val="single" w:sz="8" w:space="0" w:color="auto"/>
            </w:tcBorders>
            <w:shd w:val="clear" w:color="auto" w:fill="auto"/>
            <w:vAlign w:val="center"/>
            <w:hideMark/>
          </w:tcPr>
          <w:p w14:paraId="56F3762D" w14:textId="77777777" w:rsidR="00503403" w:rsidRPr="00A66F03" w:rsidRDefault="00976636" w:rsidP="00B72629">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313" w:type="pct"/>
            <w:tcBorders>
              <w:top w:val="nil"/>
              <w:left w:val="nil"/>
              <w:bottom w:val="single" w:sz="8" w:space="0" w:color="auto"/>
              <w:right w:val="single" w:sz="8" w:space="0" w:color="auto"/>
            </w:tcBorders>
            <w:shd w:val="clear" w:color="auto" w:fill="auto"/>
            <w:vAlign w:val="center"/>
            <w:hideMark/>
          </w:tcPr>
          <w:p w14:paraId="55098F47" w14:textId="77777777" w:rsidR="00503403" w:rsidRPr="00A66F03" w:rsidRDefault="00976636" w:rsidP="00B72629">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313" w:type="pct"/>
            <w:tcBorders>
              <w:top w:val="nil"/>
              <w:left w:val="nil"/>
              <w:bottom w:val="single" w:sz="8" w:space="0" w:color="auto"/>
              <w:right w:val="single" w:sz="8" w:space="0" w:color="auto"/>
            </w:tcBorders>
            <w:shd w:val="clear" w:color="auto" w:fill="auto"/>
            <w:vAlign w:val="center"/>
            <w:hideMark/>
          </w:tcPr>
          <w:p w14:paraId="6ACA79C5" w14:textId="77777777" w:rsidR="00503403" w:rsidRPr="00A66F03" w:rsidRDefault="00976636" w:rsidP="00B72629">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326" w:type="pct"/>
            <w:tcBorders>
              <w:top w:val="nil"/>
              <w:left w:val="nil"/>
              <w:bottom w:val="single" w:sz="8" w:space="0" w:color="auto"/>
              <w:right w:val="single" w:sz="8" w:space="0" w:color="auto"/>
            </w:tcBorders>
            <w:shd w:val="clear" w:color="auto" w:fill="auto"/>
            <w:vAlign w:val="center"/>
            <w:hideMark/>
          </w:tcPr>
          <w:p w14:paraId="74AE78BE" w14:textId="77777777" w:rsidR="00503403" w:rsidRPr="00A66F03" w:rsidRDefault="00976636" w:rsidP="00B72629">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275" w:type="pct"/>
            <w:tcBorders>
              <w:top w:val="nil"/>
              <w:left w:val="nil"/>
              <w:bottom w:val="single" w:sz="8" w:space="0" w:color="auto"/>
              <w:right w:val="single" w:sz="8" w:space="0" w:color="auto"/>
            </w:tcBorders>
            <w:shd w:val="clear" w:color="auto" w:fill="auto"/>
            <w:vAlign w:val="center"/>
            <w:hideMark/>
          </w:tcPr>
          <w:p w14:paraId="645B0CBA" w14:textId="77777777" w:rsidR="00503403" w:rsidRPr="00A66F03" w:rsidRDefault="00976636" w:rsidP="00B72629">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411" w:type="pct"/>
            <w:tcBorders>
              <w:top w:val="nil"/>
              <w:left w:val="nil"/>
              <w:bottom w:val="single" w:sz="8" w:space="0" w:color="auto"/>
              <w:right w:val="single" w:sz="8" w:space="0" w:color="auto"/>
            </w:tcBorders>
            <w:shd w:val="clear" w:color="auto" w:fill="auto"/>
            <w:vAlign w:val="center"/>
            <w:hideMark/>
          </w:tcPr>
          <w:p w14:paraId="14043794" w14:textId="77777777" w:rsidR="00503403" w:rsidRPr="00A66F03" w:rsidRDefault="00976636" w:rsidP="00B72629">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xml:space="preserve">                                       -     </w:t>
            </w:r>
          </w:p>
        </w:tc>
      </w:tr>
      <w:tr w:rsidR="00143DBE" w:rsidRPr="00A66F03" w14:paraId="12C4327A" w14:textId="77777777" w:rsidTr="00300B05">
        <w:trPr>
          <w:trHeight w:val="255"/>
        </w:trPr>
        <w:tc>
          <w:tcPr>
            <w:tcW w:w="349" w:type="pct"/>
            <w:vMerge/>
            <w:tcBorders>
              <w:top w:val="nil"/>
              <w:left w:val="single" w:sz="8" w:space="0" w:color="auto"/>
              <w:bottom w:val="single" w:sz="8" w:space="0" w:color="000000"/>
              <w:right w:val="single" w:sz="8" w:space="0" w:color="auto"/>
            </w:tcBorders>
            <w:vAlign w:val="center"/>
            <w:hideMark/>
          </w:tcPr>
          <w:p w14:paraId="049B7F76" w14:textId="77777777" w:rsidR="00503403" w:rsidRPr="00A66F03" w:rsidRDefault="00503403" w:rsidP="00B72629">
            <w:pPr>
              <w:spacing w:after="0" w:line="276" w:lineRule="auto"/>
              <w:rPr>
                <w:rFonts w:ascii="Calibri" w:eastAsia="Times New Roman" w:hAnsi="Calibri" w:cs="Calibri"/>
                <w:color w:val="000000"/>
                <w:sz w:val="12"/>
                <w:szCs w:val="12"/>
                <w:lang w:val="en-GB"/>
              </w:rPr>
            </w:pPr>
          </w:p>
        </w:tc>
        <w:tc>
          <w:tcPr>
            <w:tcW w:w="412" w:type="pct"/>
            <w:tcBorders>
              <w:top w:val="nil"/>
              <w:left w:val="nil"/>
              <w:bottom w:val="single" w:sz="8" w:space="0" w:color="auto"/>
              <w:right w:val="single" w:sz="8" w:space="0" w:color="auto"/>
            </w:tcBorders>
            <w:shd w:val="clear" w:color="auto" w:fill="auto"/>
            <w:vAlign w:val="center"/>
            <w:hideMark/>
          </w:tcPr>
          <w:p w14:paraId="5C758B1D" w14:textId="77777777" w:rsidR="00503403" w:rsidRPr="00A66F03" w:rsidRDefault="00976636" w:rsidP="00B72629">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Transition</w:t>
            </w:r>
          </w:p>
        </w:tc>
        <w:tc>
          <w:tcPr>
            <w:tcW w:w="402" w:type="pct"/>
            <w:tcBorders>
              <w:top w:val="nil"/>
              <w:left w:val="nil"/>
              <w:bottom w:val="single" w:sz="8" w:space="0" w:color="auto"/>
              <w:right w:val="single" w:sz="8" w:space="0" w:color="auto"/>
            </w:tcBorders>
            <w:shd w:val="clear" w:color="000000" w:fill="D9D9D9"/>
            <w:vAlign w:val="center"/>
            <w:hideMark/>
          </w:tcPr>
          <w:p w14:paraId="2466B42E" w14:textId="77777777" w:rsidR="00503403" w:rsidRPr="00A66F03" w:rsidRDefault="00976636" w:rsidP="00B72629">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320" w:type="pct"/>
            <w:tcBorders>
              <w:top w:val="nil"/>
              <w:left w:val="nil"/>
              <w:bottom w:val="single" w:sz="8" w:space="0" w:color="auto"/>
              <w:right w:val="single" w:sz="8" w:space="0" w:color="auto"/>
            </w:tcBorders>
            <w:shd w:val="clear" w:color="000000" w:fill="D9D9D9"/>
            <w:vAlign w:val="center"/>
            <w:hideMark/>
          </w:tcPr>
          <w:p w14:paraId="131B1EBB" w14:textId="77777777" w:rsidR="00503403" w:rsidRPr="00A66F03" w:rsidRDefault="00976636" w:rsidP="00B72629">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391" w:type="pct"/>
            <w:tcBorders>
              <w:top w:val="nil"/>
              <w:left w:val="nil"/>
              <w:bottom w:val="single" w:sz="8" w:space="0" w:color="auto"/>
              <w:right w:val="single" w:sz="8" w:space="0" w:color="auto"/>
            </w:tcBorders>
            <w:shd w:val="clear" w:color="000000" w:fill="D9D9D9"/>
            <w:vAlign w:val="center"/>
            <w:hideMark/>
          </w:tcPr>
          <w:p w14:paraId="1276B37E" w14:textId="77777777" w:rsidR="00503403" w:rsidRPr="00A66F03" w:rsidRDefault="00976636" w:rsidP="00B72629">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392" w:type="pct"/>
            <w:tcBorders>
              <w:top w:val="nil"/>
              <w:left w:val="nil"/>
              <w:bottom w:val="single" w:sz="8" w:space="0" w:color="auto"/>
              <w:right w:val="single" w:sz="8" w:space="0" w:color="auto"/>
            </w:tcBorders>
            <w:shd w:val="clear" w:color="000000" w:fill="D9D9D9"/>
            <w:vAlign w:val="center"/>
            <w:hideMark/>
          </w:tcPr>
          <w:p w14:paraId="6ED0AE28" w14:textId="77777777" w:rsidR="00503403" w:rsidRPr="00A66F03" w:rsidRDefault="00976636" w:rsidP="00B72629">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391" w:type="pct"/>
            <w:tcBorders>
              <w:top w:val="nil"/>
              <w:left w:val="nil"/>
              <w:bottom w:val="single" w:sz="8" w:space="0" w:color="auto"/>
              <w:right w:val="single" w:sz="8" w:space="0" w:color="auto"/>
            </w:tcBorders>
            <w:shd w:val="clear" w:color="auto" w:fill="auto"/>
            <w:vAlign w:val="center"/>
            <w:hideMark/>
          </w:tcPr>
          <w:p w14:paraId="56B61603" w14:textId="77777777" w:rsidR="00503403" w:rsidRPr="00A66F03" w:rsidRDefault="00976636" w:rsidP="00B72629">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392" w:type="pct"/>
            <w:tcBorders>
              <w:top w:val="nil"/>
              <w:left w:val="nil"/>
              <w:bottom w:val="single" w:sz="8" w:space="0" w:color="auto"/>
              <w:right w:val="single" w:sz="8" w:space="0" w:color="auto"/>
            </w:tcBorders>
            <w:shd w:val="clear" w:color="000000" w:fill="D9D9D9"/>
            <w:vAlign w:val="center"/>
            <w:hideMark/>
          </w:tcPr>
          <w:p w14:paraId="22775712" w14:textId="77777777" w:rsidR="00503403" w:rsidRPr="00A66F03" w:rsidRDefault="00976636" w:rsidP="00B72629">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313" w:type="pct"/>
            <w:tcBorders>
              <w:top w:val="nil"/>
              <w:left w:val="nil"/>
              <w:bottom w:val="single" w:sz="8" w:space="0" w:color="auto"/>
              <w:right w:val="single" w:sz="8" w:space="0" w:color="auto"/>
            </w:tcBorders>
            <w:shd w:val="clear" w:color="auto" w:fill="auto"/>
            <w:vAlign w:val="center"/>
            <w:hideMark/>
          </w:tcPr>
          <w:p w14:paraId="5754092E" w14:textId="77777777" w:rsidR="00503403" w:rsidRPr="00A66F03" w:rsidRDefault="00976636" w:rsidP="00B72629">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313" w:type="pct"/>
            <w:tcBorders>
              <w:top w:val="nil"/>
              <w:left w:val="nil"/>
              <w:bottom w:val="single" w:sz="8" w:space="0" w:color="auto"/>
              <w:right w:val="single" w:sz="8" w:space="0" w:color="auto"/>
            </w:tcBorders>
            <w:shd w:val="clear" w:color="auto" w:fill="auto"/>
            <w:vAlign w:val="center"/>
            <w:hideMark/>
          </w:tcPr>
          <w:p w14:paraId="4DF11A07" w14:textId="77777777" w:rsidR="00503403" w:rsidRPr="00A66F03" w:rsidRDefault="00976636" w:rsidP="00B72629">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313" w:type="pct"/>
            <w:tcBorders>
              <w:top w:val="nil"/>
              <w:left w:val="nil"/>
              <w:bottom w:val="single" w:sz="8" w:space="0" w:color="auto"/>
              <w:right w:val="single" w:sz="8" w:space="0" w:color="auto"/>
            </w:tcBorders>
            <w:shd w:val="clear" w:color="auto" w:fill="auto"/>
            <w:vAlign w:val="center"/>
            <w:hideMark/>
          </w:tcPr>
          <w:p w14:paraId="35806319" w14:textId="77777777" w:rsidR="00503403" w:rsidRPr="00A66F03" w:rsidRDefault="00976636" w:rsidP="00B72629">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326" w:type="pct"/>
            <w:tcBorders>
              <w:top w:val="nil"/>
              <w:left w:val="nil"/>
              <w:bottom w:val="single" w:sz="8" w:space="0" w:color="auto"/>
              <w:right w:val="single" w:sz="8" w:space="0" w:color="auto"/>
            </w:tcBorders>
            <w:shd w:val="clear" w:color="auto" w:fill="auto"/>
            <w:vAlign w:val="center"/>
            <w:hideMark/>
          </w:tcPr>
          <w:p w14:paraId="196686C8" w14:textId="77777777" w:rsidR="00503403" w:rsidRPr="00A66F03" w:rsidRDefault="00976636" w:rsidP="00B72629">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275" w:type="pct"/>
            <w:tcBorders>
              <w:top w:val="nil"/>
              <w:left w:val="nil"/>
              <w:bottom w:val="single" w:sz="8" w:space="0" w:color="auto"/>
              <w:right w:val="single" w:sz="8" w:space="0" w:color="auto"/>
            </w:tcBorders>
            <w:shd w:val="clear" w:color="auto" w:fill="auto"/>
            <w:vAlign w:val="center"/>
            <w:hideMark/>
          </w:tcPr>
          <w:p w14:paraId="0D4D7230" w14:textId="77777777" w:rsidR="00503403" w:rsidRPr="00A66F03" w:rsidRDefault="00976636" w:rsidP="00B72629">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411" w:type="pct"/>
            <w:tcBorders>
              <w:top w:val="nil"/>
              <w:left w:val="nil"/>
              <w:bottom w:val="single" w:sz="8" w:space="0" w:color="auto"/>
              <w:right w:val="single" w:sz="8" w:space="0" w:color="auto"/>
            </w:tcBorders>
            <w:shd w:val="clear" w:color="auto" w:fill="auto"/>
            <w:vAlign w:val="center"/>
            <w:hideMark/>
          </w:tcPr>
          <w:p w14:paraId="6F225282" w14:textId="77777777" w:rsidR="00503403" w:rsidRPr="00A66F03" w:rsidRDefault="00976636" w:rsidP="00B72629">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xml:space="preserve">                                       -     </w:t>
            </w:r>
          </w:p>
        </w:tc>
      </w:tr>
      <w:tr w:rsidR="00143DBE" w:rsidRPr="00A66F03" w14:paraId="2881F361" w14:textId="77777777" w:rsidTr="00300B05">
        <w:trPr>
          <w:trHeight w:val="255"/>
        </w:trPr>
        <w:tc>
          <w:tcPr>
            <w:tcW w:w="349" w:type="pct"/>
            <w:vMerge/>
            <w:tcBorders>
              <w:top w:val="nil"/>
              <w:left w:val="single" w:sz="8" w:space="0" w:color="auto"/>
              <w:bottom w:val="single" w:sz="8" w:space="0" w:color="000000"/>
              <w:right w:val="single" w:sz="8" w:space="0" w:color="auto"/>
            </w:tcBorders>
            <w:vAlign w:val="center"/>
            <w:hideMark/>
          </w:tcPr>
          <w:p w14:paraId="0BD11F81" w14:textId="77777777" w:rsidR="00503403" w:rsidRPr="00A66F03" w:rsidRDefault="00503403" w:rsidP="00B72629">
            <w:pPr>
              <w:spacing w:after="0" w:line="276" w:lineRule="auto"/>
              <w:rPr>
                <w:rFonts w:ascii="Calibri" w:eastAsia="Times New Roman" w:hAnsi="Calibri" w:cs="Calibri"/>
                <w:color w:val="000000"/>
                <w:sz w:val="12"/>
                <w:szCs w:val="12"/>
                <w:lang w:val="en-GB"/>
              </w:rPr>
            </w:pPr>
          </w:p>
        </w:tc>
        <w:tc>
          <w:tcPr>
            <w:tcW w:w="412" w:type="pct"/>
            <w:tcBorders>
              <w:top w:val="nil"/>
              <w:left w:val="nil"/>
              <w:bottom w:val="single" w:sz="8" w:space="0" w:color="auto"/>
              <w:right w:val="single" w:sz="8" w:space="0" w:color="auto"/>
            </w:tcBorders>
            <w:shd w:val="clear" w:color="auto" w:fill="auto"/>
            <w:vAlign w:val="center"/>
            <w:hideMark/>
          </w:tcPr>
          <w:p w14:paraId="70B25FA4" w14:textId="77777777" w:rsidR="00503403" w:rsidRPr="00A66F03" w:rsidRDefault="00976636" w:rsidP="00B72629">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Less developed</w:t>
            </w:r>
          </w:p>
        </w:tc>
        <w:tc>
          <w:tcPr>
            <w:tcW w:w="402" w:type="pct"/>
            <w:tcBorders>
              <w:top w:val="nil"/>
              <w:left w:val="nil"/>
              <w:bottom w:val="single" w:sz="8" w:space="0" w:color="auto"/>
              <w:right w:val="single" w:sz="8" w:space="0" w:color="auto"/>
            </w:tcBorders>
            <w:shd w:val="clear" w:color="000000" w:fill="D9D9D9"/>
            <w:vAlign w:val="center"/>
            <w:hideMark/>
          </w:tcPr>
          <w:p w14:paraId="060C173C" w14:textId="77777777" w:rsidR="00503403" w:rsidRPr="00A66F03" w:rsidRDefault="00976636" w:rsidP="00B72629">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320" w:type="pct"/>
            <w:tcBorders>
              <w:top w:val="nil"/>
              <w:left w:val="nil"/>
              <w:bottom w:val="single" w:sz="8" w:space="0" w:color="auto"/>
              <w:right w:val="single" w:sz="8" w:space="0" w:color="auto"/>
            </w:tcBorders>
            <w:shd w:val="clear" w:color="000000" w:fill="D9D9D9"/>
            <w:vAlign w:val="center"/>
            <w:hideMark/>
          </w:tcPr>
          <w:p w14:paraId="18E407A1" w14:textId="77777777" w:rsidR="00503403" w:rsidRPr="00A66F03" w:rsidRDefault="00976636" w:rsidP="00B72629">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391" w:type="pct"/>
            <w:tcBorders>
              <w:top w:val="nil"/>
              <w:left w:val="nil"/>
              <w:bottom w:val="single" w:sz="8" w:space="0" w:color="auto"/>
              <w:right w:val="single" w:sz="8" w:space="0" w:color="auto"/>
            </w:tcBorders>
            <w:shd w:val="clear" w:color="000000" w:fill="D9D9D9"/>
            <w:vAlign w:val="center"/>
            <w:hideMark/>
          </w:tcPr>
          <w:p w14:paraId="7F05731E" w14:textId="77777777" w:rsidR="00503403" w:rsidRPr="00A66F03" w:rsidRDefault="00976636" w:rsidP="00B72629">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392" w:type="pct"/>
            <w:tcBorders>
              <w:top w:val="nil"/>
              <w:left w:val="nil"/>
              <w:bottom w:val="single" w:sz="8" w:space="0" w:color="auto"/>
              <w:right w:val="single" w:sz="8" w:space="0" w:color="auto"/>
            </w:tcBorders>
            <w:shd w:val="clear" w:color="000000" w:fill="D9D9D9"/>
            <w:vAlign w:val="center"/>
            <w:hideMark/>
          </w:tcPr>
          <w:p w14:paraId="0F1E389E" w14:textId="77777777" w:rsidR="00503403" w:rsidRPr="00A66F03" w:rsidRDefault="00976636" w:rsidP="00B72629">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391" w:type="pct"/>
            <w:tcBorders>
              <w:top w:val="nil"/>
              <w:left w:val="nil"/>
              <w:bottom w:val="single" w:sz="8" w:space="0" w:color="auto"/>
              <w:right w:val="single" w:sz="8" w:space="0" w:color="auto"/>
            </w:tcBorders>
            <w:shd w:val="clear" w:color="000000" w:fill="D9D9D9"/>
            <w:vAlign w:val="center"/>
            <w:hideMark/>
          </w:tcPr>
          <w:p w14:paraId="156EBC79" w14:textId="77777777" w:rsidR="00503403" w:rsidRPr="00A66F03" w:rsidRDefault="00976636" w:rsidP="00B72629">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392" w:type="pct"/>
            <w:tcBorders>
              <w:top w:val="nil"/>
              <w:left w:val="nil"/>
              <w:bottom w:val="single" w:sz="8" w:space="0" w:color="auto"/>
              <w:right w:val="single" w:sz="8" w:space="0" w:color="auto"/>
            </w:tcBorders>
            <w:shd w:val="clear" w:color="auto" w:fill="auto"/>
            <w:vAlign w:val="center"/>
            <w:hideMark/>
          </w:tcPr>
          <w:p w14:paraId="544134D7" w14:textId="77777777" w:rsidR="00503403" w:rsidRPr="00A66F03" w:rsidRDefault="00976636" w:rsidP="00B72629">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313" w:type="pct"/>
            <w:tcBorders>
              <w:top w:val="nil"/>
              <w:left w:val="nil"/>
              <w:bottom w:val="single" w:sz="8" w:space="0" w:color="auto"/>
              <w:right w:val="single" w:sz="8" w:space="0" w:color="auto"/>
            </w:tcBorders>
            <w:shd w:val="clear" w:color="auto" w:fill="auto"/>
            <w:vAlign w:val="center"/>
            <w:hideMark/>
          </w:tcPr>
          <w:p w14:paraId="6494EF80" w14:textId="77777777" w:rsidR="00503403" w:rsidRPr="00A66F03" w:rsidRDefault="00976636" w:rsidP="00B72629">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313" w:type="pct"/>
            <w:tcBorders>
              <w:top w:val="nil"/>
              <w:left w:val="nil"/>
              <w:bottom w:val="single" w:sz="8" w:space="0" w:color="auto"/>
              <w:right w:val="single" w:sz="8" w:space="0" w:color="auto"/>
            </w:tcBorders>
            <w:shd w:val="clear" w:color="auto" w:fill="auto"/>
            <w:vAlign w:val="center"/>
            <w:hideMark/>
          </w:tcPr>
          <w:p w14:paraId="40B4E1B5" w14:textId="77777777" w:rsidR="00503403" w:rsidRPr="00A66F03" w:rsidRDefault="00976636" w:rsidP="00B72629">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313" w:type="pct"/>
            <w:tcBorders>
              <w:top w:val="nil"/>
              <w:left w:val="nil"/>
              <w:bottom w:val="single" w:sz="8" w:space="0" w:color="auto"/>
              <w:right w:val="single" w:sz="8" w:space="0" w:color="auto"/>
            </w:tcBorders>
            <w:shd w:val="clear" w:color="auto" w:fill="auto"/>
            <w:vAlign w:val="center"/>
            <w:hideMark/>
          </w:tcPr>
          <w:p w14:paraId="7643BF48" w14:textId="77777777" w:rsidR="00503403" w:rsidRPr="00A66F03" w:rsidRDefault="00976636" w:rsidP="00B72629">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326" w:type="pct"/>
            <w:tcBorders>
              <w:top w:val="nil"/>
              <w:left w:val="nil"/>
              <w:bottom w:val="single" w:sz="8" w:space="0" w:color="auto"/>
              <w:right w:val="single" w:sz="8" w:space="0" w:color="auto"/>
            </w:tcBorders>
            <w:shd w:val="clear" w:color="auto" w:fill="auto"/>
            <w:vAlign w:val="center"/>
            <w:hideMark/>
          </w:tcPr>
          <w:p w14:paraId="200E27E4" w14:textId="77777777" w:rsidR="00503403" w:rsidRPr="00A66F03" w:rsidRDefault="00976636" w:rsidP="00B72629">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275" w:type="pct"/>
            <w:tcBorders>
              <w:top w:val="nil"/>
              <w:left w:val="nil"/>
              <w:bottom w:val="single" w:sz="8" w:space="0" w:color="auto"/>
              <w:right w:val="single" w:sz="8" w:space="0" w:color="auto"/>
            </w:tcBorders>
            <w:shd w:val="clear" w:color="auto" w:fill="auto"/>
            <w:vAlign w:val="center"/>
            <w:hideMark/>
          </w:tcPr>
          <w:p w14:paraId="5A1D1DAF" w14:textId="77777777" w:rsidR="00503403" w:rsidRPr="00A66F03" w:rsidRDefault="00976636" w:rsidP="00B72629">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411" w:type="pct"/>
            <w:tcBorders>
              <w:top w:val="nil"/>
              <w:left w:val="nil"/>
              <w:bottom w:val="single" w:sz="8" w:space="0" w:color="auto"/>
              <w:right w:val="single" w:sz="8" w:space="0" w:color="auto"/>
            </w:tcBorders>
            <w:shd w:val="clear" w:color="auto" w:fill="auto"/>
            <w:vAlign w:val="center"/>
            <w:hideMark/>
          </w:tcPr>
          <w:p w14:paraId="2A08A3D5" w14:textId="77777777" w:rsidR="00503403" w:rsidRPr="00A66F03" w:rsidRDefault="00976636" w:rsidP="00B72629">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xml:space="preserve">                                       -     </w:t>
            </w:r>
          </w:p>
        </w:tc>
      </w:tr>
      <w:tr w:rsidR="00143DBE" w:rsidRPr="00A66F03" w14:paraId="3C9A3C73" w14:textId="77777777" w:rsidTr="00300B05">
        <w:trPr>
          <w:trHeight w:val="255"/>
        </w:trPr>
        <w:tc>
          <w:tcPr>
            <w:tcW w:w="349" w:type="pct"/>
            <w:vMerge w:val="restart"/>
            <w:tcBorders>
              <w:top w:val="nil"/>
              <w:left w:val="single" w:sz="8" w:space="0" w:color="auto"/>
              <w:bottom w:val="single" w:sz="8" w:space="0" w:color="000000"/>
              <w:right w:val="single" w:sz="8" w:space="0" w:color="auto"/>
            </w:tcBorders>
            <w:shd w:val="clear" w:color="auto" w:fill="auto"/>
            <w:vAlign w:val="center"/>
            <w:hideMark/>
          </w:tcPr>
          <w:p w14:paraId="1C629147" w14:textId="77777777" w:rsidR="00B643DB" w:rsidRPr="00A66F03" w:rsidRDefault="00976636" w:rsidP="00B643DB">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ESF+</w:t>
            </w:r>
          </w:p>
        </w:tc>
        <w:tc>
          <w:tcPr>
            <w:tcW w:w="412" w:type="pct"/>
            <w:tcBorders>
              <w:top w:val="nil"/>
              <w:left w:val="nil"/>
              <w:bottom w:val="single" w:sz="8" w:space="0" w:color="auto"/>
              <w:right w:val="single" w:sz="8" w:space="0" w:color="auto"/>
            </w:tcBorders>
            <w:shd w:val="clear" w:color="auto" w:fill="auto"/>
            <w:vAlign w:val="center"/>
            <w:hideMark/>
          </w:tcPr>
          <w:p w14:paraId="0C6C1DBF" w14:textId="77777777" w:rsidR="00B643DB" w:rsidRPr="00A66F03" w:rsidRDefault="00976636" w:rsidP="00B643DB">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More developed</w:t>
            </w:r>
          </w:p>
        </w:tc>
        <w:tc>
          <w:tcPr>
            <w:tcW w:w="402" w:type="pct"/>
            <w:tcBorders>
              <w:top w:val="nil"/>
              <w:left w:val="nil"/>
              <w:bottom w:val="single" w:sz="8" w:space="0" w:color="auto"/>
              <w:right w:val="single" w:sz="8" w:space="0" w:color="auto"/>
            </w:tcBorders>
            <w:shd w:val="clear" w:color="auto" w:fill="auto"/>
            <w:vAlign w:val="center"/>
            <w:hideMark/>
          </w:tcPr>
          <w:p w14:paraId="2ABDF0C5" w14:textId="77777777" w:rsidR="00B643DB" w:rsidRPr="00A66F03" w:rsidRDefault="00976636" w:rsidP="00B643DB">
            <w:pPr>
              <w:spacing w:after="0" w:line="276" w:lineRule="auto"/>
              <w:jc w:val="right"/>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xml:space="preserve">14,821,732 </w:t>
            </w:r>
          </w:p>
        </w:tc>
        <w:tc>
          <w:tcPr>
            <w:tcW w:w="320" w:type="pct"/>
            <w:tcBorders>
              <w:top w:val="nil"/>
              <w:left w:val="nil"/>
              <w:bottom w:val="single" w:sz="8" w:space="0" w:color="auto"/>
              <w:right w:val="single" w:sz="8" w:space="0" w:color="auto"/>
            </w:tcBorders>
            <w:shd w:val="clear" w:color="000000" w:fill="D9D9D9"/>
            <w:vAlign w:val="center"/>
            <w:hideMark/>
          </w:tcPr>
          <w:p w14:paraId="53CA7AE0" w14:textId="77777777" w:rsidR="00B643DB" w:rsidRPr="00A66F03" w:rsidRDefault="00976636" w:rsidP="00B643DB">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391" w:type="pct"/>
            <w:tcBorders>
              <w:top w:val="nil"/>
              <w:left w:val="nil"/>
              <w:bottom w:val="single" w:sz="8" w:space="0" w:color="auto"/>
              <w:right w:val="single" w:sz="8" w:space="0" w:color="auto"/>
            </w:tcBorders>
            <w:shd w:val="clear" w:color="000000" w:fill="D9D9D9"/>
            <w:vAlign w:val="center"/>
            <w:hideMark/>
          </w:tcPr>
          <w:p w14:paraId="19D8BDE4" w14:textId="77777777" w:rsidR="00B643DB" w:rsidRPr="00A66F03" w:rsidRDefault="00976636" w:rsidP="00B643DB">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392" w:type="pct"/>
            <w:tcBorders>
              <w:top w:val="nil"/>
              <w:left w:val="nil"/>
              <w:bottom w:val="single" w:sz="8" w:space="0" w:color="auto"/>
              <w:right w:val="single" w:sz="8" w:space="0" w:color="auto"/>
            </w:tcBorders>
            <w:shd w:val="clear" w:color="000000" w:fill="D9D9D9"/>
            <w:vAlign w:val="center"/>
            <w:hideMark/>
          </w:tcPr>
          <w:p w14:paraId="2AF9977D" w14:textId="77777777" w:rsidR="00B643DB" w:rsidRPr="00A66F03" w:rsidRDefault="00976636" w:rsidP="00B643DB">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391" w:type="pct"/>
            <w:tcBorders>
              <w:top w:val="nil"/>
              <w:left w:val="nil"/>
              <w:bottom w:val="single" w:sz="8" w:space="0" w:color="auto"/>
              <w:right w:val="single" w:sz="8" w:space="0" w:color="auto"/>
            </w:tcBorders>
            <w:shd w:val="clear" w:color="000000" w:fill="D9D9D9"/>
            <w:vAlign w:val="center"/>
            <w:hideMark/>
          </w:tcPr>
          <w:p w14:paraId="44357113" w14:textId="77777777" w:rsidR="00B643DB" w:rsidRPr="00A66F03" w:rsidRDefault="00976636" w:rsidP="00B643DB">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392" w:type="pct"/>
            <w:tcBorders>
              <w:top w:val="nil"/>
              <w:left w:val="nil"/>
              <w:bottom w:val="single" w:sz="8" w:space="0" w:color="auto"/>
              <w:right w:val="single" w:sz="8" w:space="0" w:color="auto"/>
            </w:tcBorders>
            <w:shd w:val="clear" w:color="000000" w:fill="D9D9D9"/>
            <w:vAlign w:val="center"/>
            <w:hideMark/>
          </w:tcPr>
          <w:p w14:paraId="513FB780" w14:textId="77777777" w:rsidR="00B643DB" w:rsidRPr="00A66F03" w:rsidRDefault="00976636" w:rsidP="00B643DB">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313" w:type="pct"/>
            <w:tcBorders>
              <w:top w:val="nil"/>
              <w:left w:val="nil"/>
              <w:bottom w:val="single" w:sz="8" w:space="0" w:color="auto"/>
              <w:right w:val="single" w:sz="8" w:space="0" w:color="auto"/>
            </w:tcBorders>
            <w:shd w:val="clear" w:color="auto" w:fill="auto"/>
            <w:vAlign w:val="center"/>
            <w:hideMark/>
          </w:tcPr>
          <w:p w14:paraId="146F7BED" w14:textId="77777777" w:rsidR="00B643DB" w:rsidRPr="00A66F03" w:rsidRDefault="00976636" w:rsidP="00B643DB">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313" w:type="pct"/>
            <w:tcBorders>
              <w:top w:val="nil"/>
              <w:left w:val="nil"/>
              <w:bottom w:val="single" w:sz="8" w:space="0" w:color="auto"/>
              <w:right w:val="single" w:sz="8" w:space="0" w:color="auto"/>
            </w:tcBorders>
            <w:shd w:val="clear" w:color="auto" w:fill="auto"/>
            <w:vAlign w:val="center"/>
            <w:hideMark/>
          </w:tcPr>
          <w:p w14:paraId="13F1DF15" w14:textId="77777777" w:rsidR="00B643DB" w:rsidRPr="00A66F03" w:rsidRDefault="00976636" w:rsidP="00B643DB">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313" w:type="pct"/>
            <w:tcBorders>
              <w:top w:val="nil"/>
              <w:left w:val="nil"/>
              <w:bottom w:val="single" w:sz="8" w:space="0" w:color="auto"/>
              <w:right w:val="single" w:sz="8" w:space="0" w:color="auto"/>
            </w:tcBorders>
            <w:shd w:val="clear" w:color="auto" w:fill="auto"/>
            <w:vAlign w:val="center"/>
            <w:hideMark/>
          </w:tcPr>
          <w:p w14:paraId="4107F402" w14:textId="77777777" w:rsidR="00B643DB" w:rsidRPr="00A66F03" w:rsidRDefault="00976636" w:rsidP="00B643DB">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326" w:type="pct"/>
            <w:tcBorders>
              <w:top w:val="nil"/>
              <w:left w:val="nil"/>
              <w:bottom w:val="single" w:sz="8" w:space="0" w:color="auto"/>
              <w:right w:val="single" w:sz="8" w:space="0" w:color="auto"/>
            </w:tcBorders>
            <w:shd w:val="clear" w:color="auto" w:fill="auto"/>
            <w:vAlign w:val="center"/>
            <w:hideMark/>
          </w:tcPr>
          <w:p w14:paraId="6928C039" w14:textId="77777777" w:rsidR="00B643DB" w:rsidRPr="00A66F03" w:rsidRDefault="00976636" w:rsidP="00B643DB">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275" w:type="pct"/>
            <w:tcBorders>
              <w:top w:val="nil"/>
              <w:left w:val="nil"/>
              <w:bottom w:val="single" w:sz="8" w:space="0" w:color="auto"/>
              <w:right w:val="single" w:sz="8" w:space="0" w:color="auto"/>
            </w:tcBorders>
            <w:shd w:val="clear" w:color="auto" w:fill="auto"/>
            <w:vAlign w:val="center"/>
            <w:hideMark/>
          </w:tcPr>
          <w:p w14:paraId="5B634031" w14:textId="77777777" w:rsidR="00B643DB" w:rsidRPr="00A66F03" w:rsidRDefault="00976636" w:rsidP="00B643DB">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411" w:type="pct"/>
            <w:tcBorders>
              <w:top w:val="nil"/>
              <w:left w:val="nil"/>
              <w:bottom w:val="single" w:sz="8" w:space="0" w:color="auto"/>
              <w:right w:val="single" w:sz="8" w:space="0" w:color="auto"/>
            </w:tcBorders>
            <w:shd w:val="clear" w:color="auto" w:fill="auto"/>
            <w:vAlign w:val="center"/>
            <w:hideMark/>
          </w:tcPr>
          <w:p w14:paraId="09A290D0" w14:textId="77777777" w:rsidR="00B643DB" w:rsidRPr="00A66F03" w:rsidRDefault="00976636" w:rsidP="00B643DB">
            <w:pPr>
              <w:spacing w:after="0" w:line="276" w:lineRule="auto"/>
              <w:jc w:val="right"/>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xml:space="preserve">14,821,732 </w:t>
            </w:r>
          </w:p>
        </w:tc>
      </w:tr>
      <w:tr w:rsidR="00143DBE" w:rsidRPr="00A66F03" w14:paraId="79CBD2E6" w14:textId="77777777" w:rsidTr="00300B05">
        <w:trPr>
          <w:trHeight w:val="255"/>
        </w:trPr>
        <w:tc>
          <w:tcPr>
            <w:tcW w:w="349" w:type="pct"/>
            <w:vMerge/>
            <w:tcBorders>
              <w:top w:val="nil"/>
              <w:left w:val="single" w:sz="8" w:space="0" w:color="auto"/>
              <w:bottom w:val="single" w:sz="8" w:space="0" w:color="000000"/>
              <w:right w:val="single" w:sz="8" w:space="0" w:color="auto"/>
            </w:tcBorders>
            <w:vAlign w:val="center"/>
            <w:hideMark/>
          </w:tcPr>
          <w:p w14:paraId="040DED29" w14:textId="77777777" w:rsidR="00B643DB" w:rsidRPr="00A66F03" w:rsidRDefault="00B643DB" w:rsidP="00B643DB">
            <w:pPr>
              <w:spacing w:after="0" w:line="276" w:lineRule="auto"/>
              <w:rPr>
                <w:rFonts w:ascii="Calibri" w:eastAsia="Times New Roman" w:hAnsi="Calibri" w:cs="Calibri"/>
                <w:color w:val="000000"/>
                <w:sz w:val="12"/>
                <w:szCs w:val="12"/>
                <w:lang w:val="en-GB"/>
              </w:rPr>
            </w:pPr>
          </w:p>
        </w:tc>
        <w:tc>
          <w:tcPr>
            <w:tcW w:w="412" w:type="pct"/>
            <w:tcBorders>
              <w:top w:val="nil"/>
              <w:left w:val="nil"/>
              <w:bottom w:val="single" w:sz="8" w:space="0" w:color="auto"/>
              <w:right w:val="single" w:sz="8" w:space="0" w:color="auto"/>
            </w:tcBorders>
            <w:shd w:val="clear" w:color="auto" w:fill="auto"/>
            <w:vAlign w:val="center"/>
            <w:hideMark/>
          </w:tcPr>
          <w:p w14:paraId="254FE828" w14:textId="77777777" w:rsidR="00B643DB" w:rsidRPr="00A66F03" w:rsidRDefault="00976636" w:rsidP="00B643DB">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Transition</w:t>
            </w:r>
          </w:p>
        </w:tc>
        <w:tc>
          <w:tcPr>
            <w:tcW w:w="402" w:type="pct"/>
            <w:tcBorders>
              <w:top w:val="nil"/>
              <w:left w:val="nil"/>
              <w:bottom w:val="single" w:sz="8" w:space="0" w:color="auto"/>
              <w:right w:val="single" w:sz="8" w:space="0" w:color="auto"/>
            </w:tcBorders>
            <w:shd w:val="clear" w:color="000000" w:fill="D9D9D9"/>
            <w:vAlign w:val="center"/>
            <w:hideMark/>
          </w:tcPr>
          <w:p w14:paraId="058A0B18" w14:textId="77777777" w:rsidR="00B643DB" w:rsidRPr="00A66F03" w:rsidRDefault="00976636" w:rsidP="00B643DB">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320" w:type="pct"/>
            <w:tcBorders>
              <w:top w:val="nil"/>
              <w:left w:val="nil"/>
              <w:bottom w:val="single" w:sz="8" w:space="0" w:color="auto"/>
              <w:right w:val="single" w:sz="8" w:space="0" w:color="auto"/>
            </w:tcBorders>
            <w:shd w:val="clear" w:color="auto" w:fill="auto"/>
            <w:vAlign w:val="center"/>
            <w:hideMark/>
          </w:tcPr>
          <w:p w14:paraId="1BD852EA" w14:textId="77777777" w:rsidR="00B643DB" w:rsidRPr="00A66F03" w:rsidRDefault="00976636" w:rsidP="00B643DB">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391" w:type="pct"/>
            <w:tcBorders>
              <w:top w:val="nil"/>
              <w:left w:val="nil"/>
              <w:bottom w:val="single" w:sz="8" w:space="0" w:color="auto"/>
              <w:right w:val="single" w:sz="8" w:space="0" w:color="auto"/>
            </w:tcBorders>
            <w:shd w:val="clear" w:color="000000" w:fill="D9D9D9"/>
            <w:vAlign w:val="center"/>
            <w:hideMark/>
          </w:tcPr>
          <w:p w14:paraId="54F1A184" w14:textId="77777777" w:rsidR="00B643DB" w:rsidRPr="00A66F03" w:rsidRDefault="00976636" w:rsidP="00B643DB">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392" w:type="pct"/>
            <w:tcBorders>
              <w:top w:val="nil"/>
              <w:left w:val="nil"/>
              <w:bottom w:val="single" w:sz="8" w:space="0" w:color="auto"/>
              <w:right w:val="single" w:sz="8" w:space="0" w:color="auto"/>
            </w:tcBorders>
            <w:shd w:val="clear" w:color="000000" w:fill="D9D9D9"/>
            <w:vAlign w:val="center"/>
            <w:hideMark/>
          </w:tcPr>
          <w:p w14:paraId="54CE1BDE" w14:textId="77777777" w:rsidR="00B643DB" w:rsidRPr="00A66F03" w:rsidRDefault="00976636" w:rsidP="00B643DB">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391" w:type="pct"/>
            <w:tcBorders>
              <w:top w:val="nil"/>
              <w:left w:val="nil"/>
              <w:bottom w:val="single" w:sz="8" w:space="0" w:color="auto"/>
              <w:right w:val="single" w:sz="8" w:space="0" w:color="auto"/>
            </w:tcBorders>
            <w:shd w:val="clear" w:color="000000" w:fill="D9D9D9"/>
            <w:vAlign w:val="center"/>
            <w:hideMark/>
          </w:tcPr>
          <w:p w14:paraId="02100877" w14:textId="77777777" w:rsidR="00B643DB" w:rsidRPr="00A66F03" w:rsidRDefault="00976636" w:rsidP="00B643DB">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392" w:type="pct"/>
            <w:tcBorders>
              <w:top w:val="nil"/>
              <w:left w:val="nil"/>
              <w:bottom w:val="single" w:sz="8" w:space="0" w:color="auto"/>
              <w:right w:val="single" w:sz="8" w:space="0" w:color="auto"/>
            </w:tcBorders>
            <w:shd w:val="clear" w:color="000000" w:fill="D9D9D9"/>
            <w:vAlign w:val="center"/>
            <w:hideMark/>
          </w:tcPr>
          <w:p w14:paraId="3C217786" w14:textId="77777777" w:rsidR="00B643DB" w:rsidRPr="00A66F03" w:rsidRDefault="00976636" w:rsidP="00B643DB">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313" w:type="pct"/>
            <w:tcBorders>
              <w:top w:val="nil"/>
              <w:left w:val="nil"/>
              <w:bottom w:val="single" w:sz="8" w:space="0" w:color="auto"/>
              <w:right w:val="single" w:sz="8" w:space="0" w:color="auto"/>
            </w:tcBorders>
            <w:shd w:val="clear" w:color="auto" w:fill="auto"/>
            <w:vAlign w:val="center"/>
            <w:hideMark/>
          </w:tcPr>
          <w:p w14:paraId="6AF335A8" w14:textId="77777777" w:rsidR="00B643DB" w:rsidRPr="00A66F03" w:rsidRDefault="00976636" w:rsidP="00B643DB">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313" w:type="pct"/>
            <w:tcBorders>
              <w:top w:val="nil"/>
              <w:left w:val="nil"/>
              <w:bottom w:val="single" w:sz="8" w:space="0" w:color="auto"/>
              <w:right w:val="single" w:sz="8" w:space="0" w:color="auto"/>
            </w:tcBorders>
            <w:shd w:val="clear" w:color="auto" w:fill="auto"/>
            <w:vAlign w:val="center"/>
            <w:hideMark/>
          </w:tcPr>
          <w:p w14:paraId="0F5E670B" w14:textId="77777777" w:rsidR="00B643DB" w:rsidRPr="00A66F03" w:rsidRDefault="00976636" w:rsidP="00B643DB">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313" w:type="pct"/>
            <w:tcBorders>
              <w:top w:val="nil"/>
              <w:left w:val="nil"/>
              <w:bottom w:val="single" w:sz="8" w:space="0" w:color="auto"/>
              <w:right w:val="single" w:sz="8" w:space="0" w:color="auto"/>
            </w:tcBorders>
            <w:shd w:val="clear" w:color="auto" w:fill="auto"/>
            <w:vAlign w:val="center"/>
            <w:hideMark/>
          </w:tcPr>
          <w:p w14:paraId="33A3D1F6" w14:textId="77777777" w:rsidR="00B643DB" w:rsidRPr="00A66F03" w:rsidRDefault="00976636" w:rsidP="00B643DB">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326" w:type="pct"/>
            <w:tcBorders>
              <w:top w:val="nil"/>
              <w:left w:val="nil"/>
              <w:bottom w:val="single" w:sz="8" w:space="0" w:color="auto"/>
              <w:right w:val="single" w:sz="8" w:space="0" w:color="auto"/>
            </w:tcBorders>
            <w:shd w:val="clear" w:color="auto" w:fill="auto"/>
            <w:vAlign w:val="center"/>
            <w:hideMark/>
          </w:tcPr>
          <w:p w14:paraId="2EBA905A" w14:textId="77777777" w:rsidR="00B643DB" w:rsidRPr="00A66F03" w:rsidRDefault="00976636" w:rsidP="00B643DB">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275" w:type="pct"/>
            <w:tcBorders>
              <w:top w:val="nil"/>
              <w:left w:val="nil"/>
              <w:bottom w:val="single" w:sz="8" w:space="0" w:color="auto"/>
              <w:right w:val="single" w:sz="8" w:space="0" w:color="auto"/>
            </w:tcBorders>
            <w:shd w:val="clear" w:color="auto" w:fill="auto"/>
            <w:vAlign w:val="center"/>
            <w:hideMark/>
          </w:tcPr>
          <w:p w14:paraId="46409932" w14:textId="77777777" w:rsidR="00B643DB" w:rsidRPr="00A66F03" w:rsidRDefault="00976636" w:rsidP="00B643DB">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411" w:type="pct"/>
            <w:tcBorders>
              <w:top w:val="nil"/>
              <w:left w:val="nil"/>
              <w:bottom w:val="single" w:sz="8" w:space="0" w:color="auto"/>
              <w:right w:val="single" w:sz="8" w:space="0" w:color="auto"/>
            </w:tcBorders>
            <w:shd w:val="clear" w:color="auto" w:fill="auto"/>
            <w:vAlign w:val="center"/>
            <w:hideMark/>
          </w:tcPr>
          <w:p w14:paraId="3741FE76" w14:textId="77777777" w:rsidR="00B643DB" w:rsidRPr="00A66F03" w:rsidRDefault="00976636" w:rsidP="00B643DB">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xml:space="preserve">                                       -     </w:t>
            </w:r>
          </w:p>
        </w:tc>
      </w:tr>
      <w:tr w:rsidR="00143DBE" w:rsidRPr="00A66F03" w14:paraId="4742C169" w14:textId="77777777" w:rsidTr="00300B05">
        <w:trPr>
          <w:trHeight w:val="255"/>
        </w:trPr>
        <w:tc>
          <w:tcPr>
            <w:tcW w:w="349" w:type="pct"/>
            <w:vMerge/>
            <w:tcBorders>
              <w:top w:val="nil"/>
              <w:left w:val="single" w:sz="8" w:space="0" w:color="auto"/>
              <w:bottom w:val="single" w:sz="8" w:space="0" w:color="000000"/>
              <w:right w:val="single" w:sz="8" w:space="0" w:color="auto"/>
            </w:tcBorders>
            <w:vAlign w:val="center"/>
            <w:hideMark/>
          </w:tcPr>
          <w:p w14:paraId="1B66C030" w14:textId="77777777" w:rsidR="00B643DB" w:rsidRPr="00A66F03" w:rsidRDefault="00B643DB" w:rsidP="00B643DB">
            <w:pPr>
              <w:spacing w:after="0" w:line="276" w:lineRule="auto"/>
              <w:rPr>
                <w:rFonts w:ascii="Calibri" w:eastAsia="Times New Roman" w:hAnsi="Calibri" w:cs="Calibri"/>
                <w:color w:val="000000"/>
                <w:sz w:val="12"/>
                <w:szCs w:val="12"/>
                <w:lang w:val="en-GB"/>
              </w:rPr>
            </w:pPr>
          </w:p>
        </w:tc>
        <w:tc>
          <w:tcPr>
            <w:tcW w:w="412" w:type="pct"/>
            <w:tcBorders>
              <w:top w:val="nil"/>
              <w:left w:val="nil"/>
              <w:bottom w:val="single" w:sz="8" w:space="0" w:color="auto"/>
              <w:right w:val="single" w:sz="8" w:space="0" w:color="auto"/>
            </w:tcBorders>
            <w:shd w:val="clear" w:color="auto" w:fill="auto"/>
            <w:vAlign w:val="center"/>
            <w:hideMark/>
          </w:tcPr>
          <w:p w14:paraId="4FE7A403" w14:textId="77777777" w:rsidR="00B643DB" w:rsidRPr="00A66F03" w:rsidRDefault="00976636" w:rsidP="00B643DB">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Less developed</w:t>
            </w:r>
          </w:p>
        </w:tc>
        <w:tc>
          <w:tcPr>
            <w:tcW w:w="402" w:type="pct"/>
            <w:tcBorders>
              <w:top w:val="nil"/>
              <w:left w:val="nil"/>
              <w:bottom w:val="single" w:sz="8" w:space="0" w:color="auto"/>
              <w:right w:val="single" w:sz="8" w:space="0" w:color="auto"/>
            </w:tcBorders>
            <w:shd w:val="clear" w:color="000000" w:fill="D9D9D9"/>
            <w:vAlign w:val="center"/>
            <w:hideMark/>
          </w:tcPr>
          <w:p w14:paraId="048BF83C" w14:textId="77777777" w:rsidR="00B643DB" w:rsidRPr="00A66F03" w:rsidRDefault="00976636" w:rsidP="00B643DB">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320" w:type="pct"/>
            <w:tcBorders>
              <w:top w:val="nil"/>
              <w:left w:val="nil"/>
              <w:bottom w:val="single" w:sz="8" w:space="0" w:color="auto"/>
              <w:right w:val="single" w:sz="8" w:space="0" w:color="auto"/>
            </w:tcBorders>
            <w:shd w:val="clear" w:color="000000" w:fill="D9D9D9"/>
            <w:vAlign w:val="center"/>
            <w:hideMark/>
          </w:tcPr>
          <w:p w14:paraId="08BED3EB" w14:textId="77777777" w:rsidR="00B643DB" w:rsidRPr="00A66F03" w:rsidRDefault="00976636" w:rsidP="00B643DB">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391" w:type="pct"/>
            <w:tcBorders>
              <w:top w:val="nil"/>
              <w:left w:val="nil"/>
              <w:bottom w:val="single" w:sz="8" w:space="0" w:color="auto"/>
              <w:right w:val="single" w:sz="8" w:space="0" w:color="auto"/>
            </w:tcBorders>
            <w:shd w:val="clear" w:color="auto" w:fill="auto"/>
            <w:vAlign w:val="center"/>
            <w:hideMark/>
          </w:tcPr>
          <w:p w14:paraId="1BD481BD" w14:textId="77777777" w:rsidR="00B643DB" w:rsidRPr="00A66F03" w:rsidRDefault="00976636" w:rsidP="00B643DB">
            <w:pPr>
              <w:spacing w:after="0" w:line="276" w:lineRule="auto"/>
              <w:jc w:val="right"/>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46,988,130</w:t>
            </w:r>
          </w:p>
        </w:tc>
        <w:tc>
          <w:tcPr>
            <w:tcW w:w="392" w:type="pct"/>
            <w:tcBorders>
              <w:top w:val="nil"/>
              <w:left w:val="nil"/>
              <w:bottom w:val="single" w:sz="8" w:space="0" w:color="auto"/>
              <w:right w:val="single" w:sz="8" w:space="0" w:color="auto"/>
            </w:tcBorders>
            <w:shd w:val="clear" w:color="000000" w:fill="D9D9D9"/>
            <w:vAlign w:val="center"/>
            <w:hideMark/>
          </w:tcPr>
          <w:p w14:paraId="4281FF4F" w14:textId="77777777" w:rsidR="00B643DB" w:rsidRPr="00A66F03" w:rsidRDefault="00976636" w:rsidP="00B643DB">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391" w:type="pct"/>
            <w:tcBorders>
              <w:top w:val="nil"/>
              <w:left w:val="nil"/>
              <w:bottom w:val="single" w:sz="8" w:space="0" w:color="auto"/>
              <w:right w:val="single" w:sz="8" w:space="0" w:color="auto"/>
            </w:tcBorders>
            <w:shd w:val="clear" w:color="000000" w:fill="D9D9D9"/>
            <w:vAlign w:val="center"/>
            <w:hideMark/>
          </w:tcPr>
          <w:p w14:paraId="102C56C3" w14:textId="77777777" w:rsidR="00B643DB" w:rsidRPr="00A66F03" w:rsidRDefault="00976636" w:rsidP="00B643DB">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392" w:type="pct"/>
            <w:tcBorders>
              <w:top w:val="nil"/>
              <w:left w:val="nil"/>
              <w:bottom w:val="single" w:sz="8" w:space="0" w:color="auto"/>
              <w:right w:val="single" w:sz="8" w:space="0" w:color="auto"/>
            </w:tcBorders>
            <w:shd w:val="clear" w:color="000000" w:fill="D9D9D9"/>
            <w:vAlign w:val="center"/>
            <w:hideMark/>
          </w:tcPr>
          <w:p w14:paraId="1009413F" w14:textId="77777777" w:rsidR="00B643DB" w:rsidRPr="00A66F03" w:rsidRDefault="00976636" w:rsidP="00B643DB">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313" w:type="pct"/>
            <w:tcBorders>
              <w:top w:val="nil"/>
              <w:left w:val="nil"/>
              <w:bottom w:val="single" w:sz="8" w:space="0" w:color="auto"/>
              <w:right w:val="single" w:sz="8" w:space="0" w:color="auto"/>
            </w:tcBorders>
            <w:shd w:val="clear" w:color="auto" w:fill="auto"/>
            <w:vAlign w:val="center"/>
            <w:hideMark/>
          </w:tcPr>
          <w:p w14:paraId="4E18CF86" w14:textId="77777777" w:rsidR="00B643DB" w:rsidRPr="00A66F03" w:rsidRDefault="00976636" w:rsidP="00B643DB">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313" w:type="pct"/>
            <w:tcBorders>
              <w:top w:val="nil"/>
              <w:left w:val="nil"/>
              <w:bottom w:val="single" w:sz="8" w:space="0" w:color="auto"/>
              <w:right w:val="single" w:sz="8" w:space="0" w:color="auto"/>
            </w:tcBorders>
            <w:shd w:val="clear" w:color="auto" w:fill="auto"/>
            <w:vAlign w:val="center"/>
            <w:hideMark/>
          </w:tcPr>
          <w:p w14:paraId="28DE2604" w14:textId="77777777" w:rsidR="00B643DB" w:rsidRPr="00A66F03" w:rsidRDefault="00976636" w:rsidP="00B643DB">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313" w:type="pct"/>
            <w:tcBorders>
              <w:top w:val="nil"/>
              <w:left w:val="nil"/>
              <w:bottom w:val="single" w:sz="8" w:space="0" w:color="auto"/>
              <w:right w:val="single" w:sz="8" w:space="0" w:color="auto"/>
            </w:tcBorders>
            <w:shd w:val="clear" w:color="auto" w:fill="auto"/>
            <w:vAlign w:val="center"/>
            <w:hideMark/>
          </w:tcPr>
          <w:p w14:paraId="6D65353A" w14:textId="77777777" w:rsidR="00B643DB" w:rsidRPr="00A66F03" w:rsidRDefault="00976636" w:rsidP="00B643DB">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326" w:type="pct"/>
            <w:tcBorders>
              <w:top w:val="nil"/>
              <w:left w:val="nil"/>
              <w:bottom w:val="single" w:sz="8" w:space="0" w:color="auto"/>
              <w:right w:val="single" w:sz="8" w:space="0" w:color="auto"/>
            </w:tcBorders>
            <w:shd w:val="clear" w:color="auto" w:fill="auto"/>
            <w:vAlign w:val="center"/>
            <w:hideMark/>
          </w:tcPr>
          <w:p w14:paraId="5EB7E0BD" w14:textId="77777777" w:rsidR="00B643DB" w:rsidRPr="00A66F03" w:rsidRDefault="00976636" w:rsidP="00B643DB">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275" w:type="pct"/>
            <w:tcBorders>
              <w:top w:val="nil"/>
              <w:left w:val="nil"/>
              <w:bottom w:val="single" w:sz="8" w:space="0" w:color="auto"/>
              <w:right w:val="single" w:sz="8" w:space="0" w:color="auto"/>
            </w:tcBorders>
            <w:shd w:val="clear" w:color="auto" w:fill="auto"/>
            <w:vAlign w:val="center"/>
            <w:hideMark/>
          </w:tcPr>
          <w:p w14:paraId="4F359770" w14:textId="77777777" w:rsidR="00B643DB" w:rsidRPr="00A66F03" w:rsidRDefault="00976636" w:rsidP="00B643DB">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411" w:type="pct"/>
            <w:tcBorders>
              <w:top w:val="nil"/>
              <w:left w:val="nil"/>
              <w:bottom w:val="single" w:sz="8" w:space="0" w:color="auto"/>
              <w:right w:val="single" w:sz="8" w:space="0" w:color="auto"/>
            </w:tcBorders>
            <w:shd w:val="clear" w:color="auto" w:fill="auto"/>
            <w:vAlign w:val="center"/>
            <w:hideMark/>
          </w:tcPr>
          <w:p w14:paraId="55FF894A" w14:textId="77777777" w:rsidR="00B643DB" w:rsidRPr="00A66F03" w:rsidRDefault="00976636" w:rsidP="00B643DB">
            <w:pPr>
              <w:spacing w:after="0" w:line="276" w:lineRule="auto"/>
              <w:jc w:val="right"/>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46,988,130</w:t>
            </w:r>
          </w:p>
        </w:tc>
      </w:tr>
      <w:tr w:rsidR="00143DBE" w:rsidRPr="00A66F03" w14:paraId="40433EA4" w14:textId="77777777" w:rsidTr="00300B05">
        <w:trPr>
          <w:trHeight w:val="255"/>
        </w:trPr>
        <w:tc>
          <w:tcPr>
            <w:tcW w:w="349" w:type="pct"/>
            <w:tcBorders>
              <w:top w:val="nil"/>
              <w:left w:val="single" w:sz="8" w:space="0" w:color="auto"/>
              <w:bottom w:val="single" w:sz="8" w:space="0" w:color="auto"/>
              <w:right w:val="single" w:sz="8" w:space="0" w:color="auto"/>
            </w:tcBorders>
            <w:shd w:val="clear" w:color="auto" w:fill="auto"/>
            <w:vAlign w:val="center"/>
            <w:hideMark/>
          </w:tcPr>
          <w:p w14:paraId="6702B7B4" w14:textId="77777777" w:rsidR="00B643DB" w:rsidRPr="00A66F03" w:rsidRDefault="00976636" w:rsidP="00B643DB">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Cohesion Fund</w:t>
            </w:r>
          </w:p>
        </w:tc>
        <w:tc>
          <w:tcPr>
            <w:tcW w:w="412" w:type="pct"/>
            <w:tcBorders>
              <w:top w:val="nil"/>
              <w:left w:val="nil"/>
              <w:bottom w:val="single" w:sz="8" w:space="0" w:color="auto"/>
              <w:right w:val="single" w:sz="8" w:space="0" w:color="auto"/>
            </w:tcBorders>
            <w:shd w:val="clear" w:color="auto" w:fill="auto"/>
            <w:vAlign w:val="center"/>
            <w:hideMark/>
          </w:tcPr>
          <w:p w14:paraId="6E4E5712" w14:textId="77777777" w:rsidR="00B643DB" w:rsidRPr="00A66F03" w:rsidRDefault="00976636" w:rsidP="00B643DB">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Not applicable</w:t>
            </w:r>
          </w:p>
        </w:tc>
        <w:tc>
          <w:tcPr>
            <w:tcW w:w="402" w:type="pct"/>
            <w:tcBorders>
              <w:top w:val="nil"/>
              <w:left w:val="nil"/>
              <w:bottom w:val="single" w:sz="8" w:space="0" w:color="auto"/>
              <w:right w:val="single" w:sz="8" w:space="0" w:color="auto"/>
            </w:tcBorders>
            <w:shd w:val="clear" w:color="000000" w:fill="FFFFFF"/>
            <w:vAlign w:val="center"/>
            <w:hideMark/>
          </w:tcPr>
          <w:p w14:paraId="4E6F2FD8" w14:textId="77777777" w:rsidR="00B643DB" w:rsidRPr="00A66F03" w:rsidRDefault="00976636" w:rsidP="00B643DB">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320" w:type="pct"/>
            <w:tcBorders>
              <w:top w:val="nil"/>
              <w:left w:val="nil"/>
              <w:bottom w:val="single" w:sz="8" w:space="0" w:color="auto"/>
              <w:right w:val="single" w:sz="8" w:space="0" w:color="auto"/>
            </w:tcBorders>
            <w:shd w:val="clear" w:color="000000" w:fill="FFFFFF"/>
            <w:vAlign w:val="center"/>
            <w:hideMark/>
          </w:tcPr>
          <w:p w14:paraId="1A8B574D" w14:textId="77777777" w:rsidR="00B643DB" w:rsidRPr="00A66F03" w:rsidRDefault="00976636" w:rsidP="00B643DB">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391" w:type="pct"/>
            <w:tcBorders>
              <w:top w:val="nil"/>
              <w:left w:val="nil"/>
              <w:bottom w:val="single" w:sz="8" w:space="0" w:color="auto"/>
              <w:right w:val="single" w:sz="8" w:space="0" w:color="auto"/>
            </w:tcBorders>
            <w:shd w:val="clear" w:color="000000" w:fill="FFFFFF"/>
            <w:vAlign w:val="center"/>
            <w:hideMark/>
          </w:tcPr>
          <w:p w14:paraId="6EA0D2AD" w14:textId="77777777" w:rsidR="00B643DB" w:rsidRPr="00A66F03" w:rsidRDefault="00976636" w:rsidP="00B643DB">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392" w:type="pct"/>
            <w:tcBorders>
              <w:top w:val="nil"/>
              <w:left w:val="nil"/>
              <w:bottom w:val="single" w:sz="8" w:space="0" w:color="auto"/>
              <w:right w:val="single" w:sz="8" w:space="0" w:color="auto"/>
            </w:tcBorders>
            <w:shd w:val="clear" w:color="000000" w:fill="FFFFFF"/>
            <w:vAlign w:val="center"/>
            <w:hideMark/>
          </w:tcPr>
          <w:p w14:paraId="2ABF2F69" w14:textId="77777777" w:rsidR="00B643DB" w:rsidRPr="00A66F03" w:rsidRDefault="00976636" w:rsidP="00B643DB">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391" w:type="pct"/>
            <w:tcBorders>
              <w:top w:val="nil"/>
              <w:left w:val="nil"/>
              <w:bottom w:val="single" w:sz="8" w:space="0" w:color="auto"/>
              <w:right w:val="single" w:sz="8" w:space="0" w:color="auto"/>
            </w:tcBorders>
            <w:shd w:val="clear" w:color="000000" w:fill="FFFFFF"/>
            <w:vAlign w:val="center"/>
            <w:hideMark/>
          </w:tcPr>
          <w:p w14:paraId="038A8CAA" w14:textId="77777777" w:rsidR="00B643DB" w:rsidRPr="00A66F03" w:rsidRDefault="00976636" w:rsidP="00B643DB">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392" w:type="pct"/>
            <w:tcBorders>
              <w:top w:val="nil"/>
              <w:left w:val="nil"/>
              <w:bottom w:val="single" w:sz="8" w:space="0" w:color="auto"/>
              <w:right w:val="single" w:sz="8" w:space="0" w:color="auto"/>
            </w:tcBorders>
            <w:shd w:val="clear" w:color="000000" w:fill="FFFFFF"/>
            <w:vAlign w:val="center"/>
            <w:hideMark/>
          </w:tcPr>
          <w:p w14:paraId="75430E1A" w14:textId="77777777" w:rsidR="00B643DB" w:rsidRPr="00A66F03" w:rsidRDefault="00976636" w:rsidP="00B643DB">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313" w:type="pct"/>
            <w:tcBorders>
              <w:top w:val="nil"/>
              <w:left w:val="nil"/>
              <w:bottom w:val="single" w:sz="8" w:space="0" w:color="auto"/>
              <w:right w:val="single" w:sz="8" w:space="0" w:color="auto"/>
            </w:tcBorders>
            <w:shd w:val="clear" w:color="000000" w:fill="D9D9D9"/>
            <w:vAlign w:val="center"/>
            <w:hideMark/>
          </w:tcPr>
          <w:p w14:paraId="2880EC10" w14:textId="77777777" w:rsidR="00B643DB" w:rsidRPr="00A66F03" w:rsidRDefault="00976636" w:rsidP="00B643DB">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313" w:type="pct"/>
            <w:tcBorders>
              <w:top w:val="nil"/>
              <w:left w:val="nil"/>
              <w:bottom w:val="single" w:sz="8" w:space="0" w:color="auto"/>
              <w:right w:val="single" w:sz="8" w:space="0" w:color="auto"/>
            </w:tcBorders>
            <w:shd w:val="clear" w:color="auto" w:fill="auto"/>
            <w:vAlign w:val="center"/>
            <w:hideMark/>
          </w:tcPr>
          <w:p w14:paraId="74ECFBF3" w14:textId="77777777" w:rsidR="00B643DB" w:rsidRPr="00A66F03" w:rsidRDefault="00976636" w:rsidP="00B643DB">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313" w:type="pct"/>
            <w:tcBorders>
              <w:top w:val="nil"/>
              <w:left w:val="nil"/>
              <w:bottom w:val="single" w:sz="8" w:space="0" w:color="auto"/>
              <w:right w:val="single" w:sz="8" w:space="0" w:color="auto"/>
            </w:tcBorders>
            <w:shd w:val="clear" w:color="auto" w:fill="auto"/>
            <w:vAlign w:val="center"/>
            <w:hideMark/>
          </w:tcPr>
          <w:p w14:paraId="428A86D3" w14:textId="77777777" w:rsidR="00B643DB" w:rsidRPr="00A66F03" w:rsidRDefault="00976636" w:rsidP="00B643DB">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326" w:type="pct"/>
            <w:tcBorders>
              <w:top w:val="nil"/>
              <w:left w:val="nil"/>
              <w:bottom w:val="single" w:sz="8" w:space="0" w:color="auto"/>
              <w:right w:val="single" w:sz="8" w:space="0" w:color="auto"/>
            </w:tcBorders>
            <w:shd w:val="clear" w:color="auto" w:fill="auto"/>
            <w:vAlign w:val="center"/>
            <w:hideMark/>
          </w:tcPr>
          <w:p w14:paraId="576315B5" w14:textId="77777777" w:rsidR="00B643DB" w:rsidRPr="00A66F03" w:rsidRDefault="00976636" w:rsidP="00B643DB">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275" w:type="pct"/>
            <w:tcBorders>
              <w:top w:val="nil"/>
              <w:left w:val="nil"/>
              <w:bottom w:val="single" w:sz="8" w:space="0" w:color="auto"/>
              <w:right w:val="single" w:sz="8" w:space="0" w:color="auto"/>
            </w:tcBorders>
            <w:shd w:val="clear" w:color="auto" w:fill="auto"/>
            <w:vAlign w:val="center"/>
            <w:hideMark/>
          </w:tcPr>
          <w:p w14:paraId="0F449E6B" w14:textId="77777777" w:rsidR="00B643DB" w:rsidRPr="00A66F03" w:rsidRDefault="00976636" w:rsidP="00B643DB">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411" w:type="pct"/>
            <w:tcBorders>
              <w:top w:val="nil"/>
              <w:left w:val="nil"/>
              <w:bottom w:val="single" w:sz="8" w:space="0" w:color="auto"/>
              <w:right w:val="single" w:sz="8" w:space="0" w:color="auto"/>
            </w:tcBorders>
            <w:shd w:val="clear" w:color="auto" w:fill="auto"/>
            <w:vAlign w:val="center"/>
            <w:hideMark/>
          </w:tcPr>
          <w:p w14:paraId="567E244B" w14:textId="77777777" w:rsidR="00B643DB" w:rsidRPr="00A66F03" w:rsidRDefault="00976636" w:rsidP="00B643DB">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xml:space="preserve">                                       -     </w:t>
            </w:r>
          </w:p>
        </w:tc>
      </w:tr>
      <w:tr w:rsidR="00143DBE" w:rsidRPr="00A66F03" w14:paraId="239803DE" w14:textId="77777777" w:rsidTr="00300B05">
        <w:trPr>
          <w:trHeight w:val="255"/>
        </w:trPr>
        <w:tc>
          <w:tcPr>
            <w:tcW w:w="349" w:type="pct"/>
            <w:tcBorders>
              <w:top w:val="nil"/>
              <w:left w:val="single" w:sz="8" w:space="0" w:color="auto"/>
              <w:bottom w:val="single" w:sz="8" w:space="0" w:color="auto"/>
              <w:right w:val="single" w:sz="8" w:space="0" w:color="auto"/>
            </w:tcBorders>
            <w:shd w:val="clear" w:color="auto" w:fill="auto"/>
            <w:vAlign w:val="center"/>
            <w:hideMark/>
          </w:tcPr>
          <w:p w14:paraId="6EC6FAE8" w14:textId="77777777" w:rsidR="00B643DB" w:rsidRPr="00A66F03" w:rsidRDefault="00976636" w:rsidP="00B643DB">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EMFAF</w:t>
            </w:r>
          </w:p>
        </w:tc>
        <w:tc>
          <w:tcPr>
            <w:tcW w:w="412" w:type="pct"/>
            <w:tcBorders>
              <w:top w:val="nil"/>
              <w:left w:val="nil"/>
              <w:bottom w:val="single" w:sz="8" w:space="0" w:color="auto"/>
              <w:right w:val="single" w:sz="8" w:space="0" w:color="auto"/>
            </w:tcBorders>
            <w:shd w:val="clear" w:color="auto" w:fill="auto"/>
            <w:vAlign w:val="center"/>
            <w:hideMark/>
          </w:tcPr>
          <w:p w14:paraId="6294949C" w14:textId="77777777" w:rsidR="00B643DB" w:rsidRPr="00A66F03" w:rsidRDefault="00976636" w:rsidP="00B643DB">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Not applicable</w:t>
            </w:r>
          </w:p>
        </w:tc>
        <w:tc>
          <w:tcPr>
            <w:tcW w:w="402" w:type="pct"/>
            <w:tcBorders>
              <w:top w:val="nil"/>
              <w:left w:val="nil"/>
              <w:bottom w:val="single" w:sz="8" w:space="0" w:color="auto"/>
              <w:right w:val="single" w:sz="8" w:space="0" w:color="auto"/>
            </w:tcBorders>
            <w:shd w:val="clear" w:color="000000" w:fill="FFFFFF"/>
            <w:vAlign w:val="center"/>
            <w:hideMark/>
          </w:tcPr>
          <w:p w14:paraId="79160819" w14:textId="77777777" w:rsidR="00B643DB" w:rsidRPr="00A66F03" w:rsidRDefault="00976636" w:rsidP="00B643DB">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320" w:type="pct"/>
            <w:tcBorders>
              <w:top w:val="nil"/>
              <w:left w:val="nil"/>
              <w:bottom w:val="single" w:sz="8" w:space="0" w:color="auto"/>
              <w:right w:val="single" w:sz="8" w:space="0" w:color="auto"/>
            </w:tcBorders>
            <w:shd w:val="clear" w:color="000000" w:fill="FFFFFF"/>
            <w:vAlign w:val="center"/>
            <w:hideMark/>
          </w:tcPr>
          <w:p w14:paraId="5D41A8B5" w14:textId="77777777" w:rsidR="00B643DB" w:rsidRPr="00A66F03" w:rsidRDefault="00976636" w:rsidP="00B643DB">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391" w:type="pct"/>
            <w:tcBorders>
              <w:top w:val="nil"/>
              <w:left w:val="nil"/>
              <w:bottom w:val="single" w:sz="8" w:space="0" w:color="auto"/>
              <w:right w:val="single" w:sz="8" w:space="0" w:color="auto"/>
            </w:tcBorders>
            <w:shd w:val="clear" w:color="000000" w:fill="FFFFFF"/>
            <w:vAlign w:val="center"/>
            <w:hideMark/>
          </w:tcPr>
          <w:p w14:paraId="3AF20AE2" w14:textId="77777777" w:rsidR="00B643DB" w:rsidRPr="00A66F03" w:rsidRDefault="00976636" w:rsidP="00B643DB">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392" w:type="pct"/>
            <w:tcBorders>
              <w:top w:val="nil"/>
              <w:left w:val="nil"/>
              <w:bottom w:val="single" w:sz="8" w:space="0" w:color="auto"/>
              <w:right w:val="single" w:sz="8" w:space="0" w:color="auto"/>
            </w:tcBorders>
            <w:shd w:val="clear" w:color="000000" w:fill="FFFFFF"/>
            <w:vAlign w:val="center"/>
            <w:hideMark/>
          </w:tcPr>
          <w:p w14:paraId="729865DA" w14:textId="77777777" w:rsidR="00B643DB" w:rsidRPr="00A66F03" w:rsidRDefault="00976636" w:rsidP="00B643DB">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391" w:type="pct"/>
            <w:tcBorders>
              <w:top w:val="nil"/>
              <w:left w:val="nil"/>
              <w:bottom w:val="single" w:sz="8" w:space="0" w:color="auto"/>
              <w:right w:val="single" w:sz="8" w:space="0" w:color="auto"/>
            </w:tcBorders>
            <w:shd w:val="clear" w:color="000000" w:fill="FFFFFF"/>
            <w:vAlign w:val="center"/>
            <w:hideMark/>
          </w:tcPr>
          <w:p w14:paraId="5B884FA9" w14:textId="77777777" w:rsidR="00B643DB" w:rsidRPr="00A66F03" w:rsidRDefault="00976636" w:rsidP="00B643DB">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392" w:type="pct"/>
            <w:tcBorders>
              <w:top w:val="nil"/>
              <w:left w:val="nil"/>
              <w:bottom w:val="single" w:sz="8" w:space="0" w:color="auto"/>
              <w:right w:val="single" w:sz="8" w:space="0" w:color="auto"/>
            </w:tcBorders>
            <w:shd w:val="clear" w:color="000000" w:fill="FFFFFF"/>
            <w:vAlign w:val="center"/>
            <w:hideMark/>
          </w:tcPr>
          <w:p w14:paraId="1764DCCA" w14:textId="77777777" w:rsidR="00B643DB" w:rsidRPr="00A66F03" w:rsidRDefault="00976636" w:rsidP="00B643DB">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313" w:type="pct"/>
            <w:tcBorders>
              <w:top w:val="nil"/>
              <w:left w:val="nil"/>
              <w:bottom w:val="single" w:sz="8" w:space="0" w:color="auto"/>
              <w:right w:val="single" w:sz="8" w:space="0" w:color="auto"/>
            </w:tcBorders>
            <w:shd w:val="clear" w:color="auto" w:fill="auto"/>
            <w:vAlign w:val="center"/>
            <w:hideMark/>
          </w:tcPr>
          <w:p w14:paraId="1376F56C" w14:textId="77777777" w:rsidR="00B643DB" w:rsidRPr="00A66F03" w:rsidRDefault="00976636" w:rsidP="00B643DB">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313" w:type="pct"/>
            <w:tcBorders>
              <w:top w:val="nil"/>
              <w:left w:val="nil"/>
              <w:bottom w:val="single" w:sz="8" w:space="0" w:color="auto"/>
              <w:right w:val="single" w:sz="8" w:space="0" w:color="auto"/>
            </w:tcBorders>
            <w:shd w:val="clear" w:color="000000" w:fill="D9D9D9"/>
            <w:vAlign w:val="center"/>
            <w:hideMark/>
          </w:tcPr>
          <w:p w14:paraId="55B1E103" w14:textId="77777777" w:rsidR="00B643DB" w:rsidRPr="00A66F03" w:rsidRDefault="00976636" w:rsidP="00B643DB">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313" w:type="pct"/>
            <w:tcBorders>
              <w:top w:val="nil"/>
              <w:left w:val="nil"/>
              <w:bottom w:val="single" w:sz="8" w:space="0" w:color="auto"/>
              <w:right w:val="single" w:sz="8" w:space="0" w:color="auto"/>
            </w:tcBorders>
            <w:shd w:val="clear" w:color="auto" w:fill="auto"/>
            <w:vAlign w:val="center"/>
            <w:hideMark/>
          </w:tcPr>
          <w:p w14:paraId="24121372" w14:textId="77777777" w:rsidR="00B643DB" w:rsidRPr="00A66F03" w:rsidRDefault="00976636" w:rsidP="00B643DB">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326" w:type="pct"/>
            <w:tcBorders>
              <w:top w:val="nil"/>
              <w:left w:val="nil"/>
              <w:bottom w:val="single" w:sz="8" w:space="0" w:color="auto"/>
              <w:right w:val="single" w:sz="8" w:space="0" w:color="auto"/>
            </w:tcBorders>
            <w:shd w:val="clear" w:color="auto" w:fill="auto"/>
            <w:vAlign w:val="center"/>
            <w:hideMark/>
          </w:tcPr>
          <w:p w14:paraId="6480D0B5" w14:textId="77777777" w:rsidR="00B643DB" w:rsidRPr="00A66F03" w:rsidRDefault="00976636" w:rsidP="00B643DB">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275" w:type="pct"/>
            <w:tcBorders>
              <w:top w:val="nil"/>
              <w:left w:val="nil"/>
              <w:bottom w:val="single" w:sz="8" w:space="0" w:color="auto"/>
              <w:right w:val="single" w:sz="8" w:space="0" w:color="auto"/>
            </w:tcBorders>
            <w:shd w:val="clear" w:color="auto" w:fill="auto"/>
            <w:vAlign w:val="center"/>
            <w:hideMark/>
          </w:tcPr>
          <w:p w14:paraId="3CD396DB" w14:textId="77777777" w:rsidR="00B643DB" w:rsidRPr="00A66F03" w:rsidRDefault="00976636" w:rsidP="00B643DB">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411" w:type="pct"/>
            <w:tcBorders>
              <w:top w:val="nil"/>
              <w:left w:val="nil"/>
              <w:bottom w:val="single" w:sz="8" w:space="0" w:color="auto"/>
              <w:right w:val="single" w:sz="8" w:space="0" w:color="auto"/>
            </w:tcBorders>
            <w:shd w:val="clear" w:color="auto" w:fill="auto"/>
            <w:vAlign w:val="center"/>
            <w:hideMark/>
          </w:tcPr>
          <w:p w14:paraId="1C4F2701" w14:textId="77777777" w:rsidR="00B643DB" w:rsidRPr="00A66F03" w:rsidRDefault="00976636" w:rsidP="00B643DB">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xml:space="preserve">                                       -     </w:t>
            </w:r>
          </w:p>
        </w:tc>
      </w:tr>
      <w:tr w:rsidR="00143DBE" w:rsidRPr="00A66F03" w14:paraId="44561EBA" w14:textId="77777777" w:rsidTr="00300B05">
        <w:trPr>
          <w:trHeight w:val="255"/>
        </w:trPr>
        <w:tc>
          <w:tcPr>
            <w:tcW w:w="349" w:type="pct"/>
            <w:tcBorders>
              <w:top w:val="nil"/>
              <w:left w:val="single" w:sz="8" w:space="0" w:color="auto"/>
              <w:bottom w:val="single" w:sz="8" w:space="0" w:color="auto"/>
              <w:right w:val="single" w:sz="8" w:space="0" w:color="auto"/>
            </w:tcBorders>
            <w:shd w:val="clear" w:color="auto" w:fill="auto"/>
            <w:vAlign w:val="center"/>
            <w:hideMark/>
          </w:tcPr>
          <w:p w14:paraId="19D91F76" w14:textId="77777777" w:rsidR="00B643DB" w:rsidRPr="00A66F03" w:rsidRDefault="00976636" w:rsidP="00B643DB">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Total</w:t>
            </w:r>
          </w:p>
        </w:tc>
        <w:tc>
          <w:tcPr>
            <w:tcW w:w="412" w:type="pct"/>
            <w:tcBorders>
              <w:top w:val="nil"/>
              <w:left w:val="nil"/>
              <w:bottom w:val="single" w:sz="8" w:space="0" w:color="auto"/>
              <w:right w:val="single" w:sz="8" w:space="0" w:color="auto"/>
            </w:tcBorders>
            <w:shd w:val="clear" w:color="auto" w:fill="auto"/>
            <w:vAlign w:val="center"/>
            <w:hideMark/>
          </w:tcPr>
          <w:p w14:paraId="3998B41B" w14:textId="77777777" w:rsidR="00B643DB" w:rsidRPr="00A66F03" w:rsidRDefault="00976636" w:rsidP="00B643DB">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w:t>
            </w:r>
          </w:p>
        </w:tc>
        <w:tc>
          <w:tcPr>
            <w:tcW w:w="402" w:type="pct"/>
            <w:tcBorders>
              <w:top w:val="nil"/>
              <w:left w:val="nil"/>
              <w:bottom w:val="single" w:sz="8" w:space="0" w:color="auto"/>
              <w:right w:val="single" w:sz="8" w:space="0" w:color="auto"/>
            </w:tcBorders>
            <w:shd w:val="clear" w:color="auto" w:fill="auto"/>
            <w:vAlign w:val="center"/>
            <w:hideMark/>
          </w:tcPr>
          <w:p w14:paraId="3242392A" w14:textId="77777777" w:rsidR="00B643DB" w:rsidRPr="00A66F03" w:rsidRDefault="00976636" w:rsidP="00B643DB">
            <w:pPr>
              <w:spacing w:after="0" w:line="276" w:lineRule="auto"/>
              <w:jc w:val="right"/>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14,821,732</w:t>
            </w:r>
          </w:p>
        </w:tc>
        <w:tc>
          <w:tcPr>
            <w:tcW w:w="320" w:type="pct"/>
            <w:tcBorders>
              <w:top w:val="nil"/>
              <w:left w:val="nil"/>
              <w:bottom w:val="single" w:sz="8" w:space="0" w:color="auto"/>
              <w:right w:val="single" w:sz="8" w:space="0" w:color="auto"/>
            </w:tcBorders>
            <w:shd w:val="clear" w:color="000000" w:fill="FFFFFF"/>
            <w:vAlign w:val="center"/>
            <w:hideMark/>
          </w:tcPr>
          <w:p w14:paraId="3197D36E" w14:textId="77777777" w:rsidR="00B643DB" w:rsidRPr="00A66F03" w:rsidRDefault="00976636" w:rsidP="00B643DB">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xml:space="preserve">                                         -     </w:t>
            </w:r>
          </w:p>
        </w:tc>
        <w:tc>
          <w:tcPr>
            <w:tcW w:w="391" w:type="pct"/>
            <w:tcBorders>
              <w:top w:val="nil"/>
              <w:left w:val="nil"/>
              <w:bottom w:val="single" w:sz="8" w:space="0" w:color="auto"/>
              <w:right w:val="single" w:sz="8" w:space="0" w:color="auto"/>
            </w:tcBorders>
            <w:shd w:val="clear" w:color="auto" w:fill="auto"/>
            <w:vAlign w:val="center"/>
            <w:hideMark/>
          </w:tcPr>
          <w:p w14:paraId="2896EE44" w14:textId="77777777" w:rsidR="00B643DB" w:rsidRPr="00A66F03" w:rsidRDefault="00976636" w:rsidP="00B643DB">
            <w:pPr>
              <w:spacing w:after="0" w:line="276" w:lineRule="auto"/>
              <w:jc w:val="right"/>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46,988,130</w:t>
            </w:r>
          </w:p>
        </w:tc>
        <w:tc>
          <w:tcPr>
            <w:tcW w:w="392" w:type="pct"/>
            <w:tcBorders>
              <w:top w:val="nil"/>
              <w:left w:val="nil"/>
              <w:bottom w:val="single" w:sz="8" w:space="0" w:color="auto"/>
              <w:right w:val="single" w:sz="8" w:space="0" w:color="auto"/>
            </w:tcBorders>
            <w:shd w:val="clear" w:color="000000" w:fill="FFFFFF"/>
            <w:vAlign w:val="center"/>
            <w:hideMark/>
          </w:tcPr>
          <w:p w14:paraId="413F6F3C" w14:textId="77777777" w:rsidR="00B643DB" w:rsidRPr="00A66F03" w:rsidRDefault="00976636" w:rsidP="00B643DB">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xml:space="preserve">                                 -     </w:t>
            </w:r>
          </w:p>
        </w:tc>
        <w:tc>
          <w:tcPr>
            <w:tcW w:w="391" w:type="pct"/>
            <w:tcBorders>
              <w:top w:val="nil"/>
              <w:left w:val="nil"/>
              <w:bottom w:val="single" w:sz="8" w:space="0" w:color="auto"/>
              <w:right w:val="single" w:sz="8" w:space="0" w:color="auto"/>
            </w:tcBorders>
            <w:shd w:val="clear" w:color="000000" w:fill="FFFFFF"/>
            <w:vAlign w:val="center"/>
            <w:hideMark/>
          </w:tcPr>
          <w:p w14:paraId="399B240B" w14:textId="77777777" w:rsidR="00B643DB" w:rsidRPr="00A66F03" w:rsidRDefault="00976636" w:rsidP="00B643DB">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xml:space="preserve">                                -     </w:t>
            </w:r>
          </w:p>
        </w:tc>
        <w:tc>
          <w:tcPr>
            <w:tcW w:w="392" w:type="pct"/>
            <w:tcBorders>
              <w:top w:val="nil"/>
              <w:left w:val="nil"/>
              <w:bottom w:val="single" w:sz="8" w:space="0" w:color="auto"/>
              <w:right w:val="single" w:sz="8" w:space="0" w:color="auto"/>
            </w:tcBorders>
            <w:shd w:val="clear" w:color="000000" w:fill="FFFFFF"/>
            <w:vAlign w:val="center"/>
            <w:hideMark/>
          </w:tcPr>
          <w:p w14:paraId="0FC28C45" w14:textId="77777777" w:rsidR="00B643DB" w:rsidRPr="00A66F03" w:rsidRDefault="00976636" w:rsidP="00B643DB">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xml:space="preserve">                                           -     </w:t>
            </w:r>
          </w:p>
        </w:tc>
        <w:tc>
          <w:tcPr>
            <w:tcW w:w="313" w:type="pct"/>
            <w:tcBorders>
              <w:top w:val="nil"/>
              <w:left w:val="nil"/>
              <w:bottom w:val="single" w:sz="8" w:space="0" w:color="auto"/>
              <w:right w:val="single" w:sz="8" w:space="0" w:color="auto"/>
            </w:tcBorders>
            <w:shd w:val="clear" w:color="000000" w:fill="FFFFFF"/>
            <w:vAlign w:val="center"/>
            <w:hideMark/>
          </w:tcPr>
          <w:p w14:paraId="358BF77A" w14:textId="77777777" w:rsidR="00B643DB" w:rsidRPr="00A66F03" w:rsidRDefault="00976636" w:rsidP="00B643DB">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xml:space="preserve">                             -     </w:t>
            </w:r>
          </w:p>
        </w:tc>
        <w:tc>
          <w:tcPr>
            <w:tcW w:w="313" w:type="pct"/>
            <w:tcBorders>
              <w:top w:val="nil"/>
              <w:left w:val="nil"/>
              <w:bottom w:val="single" w:sz="8" w:space="0" w:color="auto"/>
              <w:right w:val="single" w:sz="8" w:space="0" w:color="auto"/>
            </w:tcBorders>
            <w:shd w:val="clear" w:color="000000" w:fill="FFFFFF"/>
            <w:vAlign w:val="center"/>
            <w:hideMark/>
          </w:tcPr>
          <w:p w14:paraId="55A1D6F0" w14:textId="77777777" w:rsidR="00B643DB" w:rsidRPr="00A66F03" w:rsidRDefault="00976636" w:rsidP="00B643DB">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xml:space="preserve">                               -     </w:t>
            </w:r>
          </w:p>
        </w:tc>
        <w:tc>
          <w:tcPr>
            <w:tcW w:w="313" w:type="pct"/>
            <w:tcBorders>
              <w:top w:val="nil"/>
              <w:left w:val="nil"/>
              <w:bottom w:val="single" w:sz="8" w:space="0" w:color="auto"/>
              <w:right w:val="single" w:sz="8" w:space="0" w:color="auto"/>
            </w:tcBorders>
            <w:shd w:val="clear" w:color="000000" w:fill="FFFFFF"/>
            <w:vAlign w:val="center"/>
            <w:hideMark/>
          </w:tcPr>
          <w:p w14:paraId="3CBFAA4D" w14:textId="77777777" w:rsidR="00B643DB" w:rsidRPr="00A66F03" w:rsidRDefault="00976636" w:rsidP="00B643DB">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xml:space="preserve">                                    -     </w:t>
            </w:r>
          </w:p>
        </w:tc>
        <w:tc>
          <w:tcPr>
            <w:tcW w:w="326" w:type="pct"/>
            <w:tcBorders>
              <w:top w:val="nil"/>
              <w:left w:val="nil"/>
              <w:bottom w:val="single" w:sz="8" w:space="0" w:color="auto"/>
              <w:right w:val="single" w:sz="8" w:space="0" w:color="auto"/>
            </w:tcBorders>
            <w:shd w:val="clear" w:color="000000" w:fill="FFFFFF"/>
            <w:vAlign w:val="center"/>
            <w:hideMark/>
          </w:tcPr>
          <w:p w14:paraId="1FF52224" w14:textId="77777777" w:rsidR="00B643DB" w:rsidRPr="00A66F03" w:rsidRDefault="00976636" w:rsidP="00B643DB">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xml:space="preserve">                               -     </w:t>
            </w:r>
          </w:p>
        </w:tc>
        <w:tc>
          <w:tcPr>
            <w:tcW w:w="275" w:type="pct"/>
            <w:tcBorders>
              <w:top w:val="nil"/>
              <w:left w:val="nil"/>
              <w:bottom w:val="single" w:sz="8" w:space="0" w:color="auto"/>
              <w:right w:val="single" w:sz="8" w:space="0" w:color="auto"/>
            </w:tcBorders>
            <w:shd w:val="clear" w:color="000000" w:fill="FFFFFF"/>
            <w:vAlign w:val="center"/>
            <w:hideMark/>
          </w:tcPr>
          <w:p w14:paraId="1A2B9493" w14:textId="77777777" w:rsidR="00B643DB" w:rsidRPr="00A66F03" w:rsidRDefault="00976636" w:rsidP="00B643DB">
            <w:pPr>
              <w:spacing w:after="0" w:line="276" w:lineRule="auto"/>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xml:space="preserve">            </w:t>
            </w:r>
            <w:r w:rsidRPr="00A66F03">
              <w:rPr>
                <w:rFonts w:ascii="Calibri" w:eastAsia="Times New Roman" w:hAnsi="Calibri" w:cs="Calibri"/>
                <w:color w:val="000000"/>
                <w:sz w:val="12"/>
                <w:szCs w:val="12"/>
                <w:lang w:val="en-GB"/>
              </w:rPr>
              <w:t xml:space="preserve">           -     </w:t>
            </w:r>
          </w:p>
        </w:tc>
        <w:tc>
          <w:tcPr>
            <w:tcW w:w="411" w:type="pct"/>
            <w:tcBorders>
              <w:top w:val="nil"/>
              <w:left w:val="nil"/>
              <w:bottom w:val="single" w:sz="8" w:space="0" w:color="auto"/>
              <w:right w:val="single" w:sz="8" w:space="0" w:color="auto"/>
            </w:tcBorders>
            <w:shd w:val="clear" w:color="auto" w:fill="auto"/>
            <w:vAlign w:val="center"/>
            <w:hideMark/>
          </w:tcPr>
          <w:p w14:paraId="14EF888C" w14:textId="77777777" w:rsidR="00B643DB" w:rsidRPr="00A66F03" w:rsidRDefault="00976636" w:rsidP="00B643DB">
            <w:pPr>
              <w:spacing w:after="0" w:line="276" w:lineRule="auto"/>
              <w:jc w:val="right"/>
              <w:rPr>
                <w:rFonts w:ascii="Calibri" w:eastAsia="Times New Roman" w:hAnsi="Calibri" w:cs="Calibri"/>
                <w:color w:val="000000"/>
                <w:sz w:val="12"/>
                <w:szCs w:val="12"/>
                <w:lang w:val="en-GB"/>
              </w:rPr>
            </w:pPr>
            <w:r w:rsidRPr="00A66F03">
              <w:rPr>
                <w:rFonts w:ascii="Calibri" w:eastAsia="Times New Roman" w:hAnsi="Calibri" w:cs="Calibri"/>
                <w:color w:val="000000"/>
                <w:sz w:val="12"/>
                <w:szCs w:val="12"/>
                <w:lang w:val="en-GB"/>
              </w:rPr>
              <w:t xml:space="preserve">61,809,862 </w:t>
            </w:r>
          </w:p>
        </w:tc>
      </w:tr>
    </w:tbl>
    <w:p w14:paraId="36E5A46E" w14:textId="77777777" w:rsidR="00634753" w:rsidRPr="00A66F03" w:rsidRDefault="00634753" w:rsidP="00B72629">
      <w:pPr>
        <w:shd w:val="clear" w:color="auto" w:fill="FFFFFF"/>
        <w:spacing w:after="0" w:line="276" w:lineRule="auto"/>
        <w:rPr>
          <w:rFonts w:ascii="Times New Roman" w:eastAsia="Times New Roman" w:hAnsi="Times New Roman" w:cs="Times New Roman"/>
          <w:color w:val="3366CC"/>
          <w:sz w:val="24"/>
          <w:szCs w:val="24"/>
          <w:lang w:val="en-GB"/>
        </w:rPr>
      </w:pPr>
    </w:p>
    <w:p w14:paraId="22E1E827" w14:textId="77777777" w:rsidR="00EF27ED" w:rsidRPr="00A66F03" w:rsidRDefault="00EF27ED" w:rsidP="00B72629">
      <w:pPr>
        <w:shd w:val="clear" w:color="auto" w:fill="FFFFFF"/>
        <w:spacing w:after="0" w:line="276" w:lineRule="auto"/>
        <w:rPr>
          <w:rFonts w:ascii="Times New Roman" w:eastAsia="Times New Roman" w:hAnsi="Times New Roman" w:cs="Times New Roman"/>
          <w:b/>
          <w:i/>
          <w:sz w:val="24"/>
          <w:szCs w:val="24"/>
          <w:lang w:val="en-GB"/>
        </w:rPr>
      </w:pPr>
    </w:p>
    <w:p w14:paraId="4F93F1FD" w14:textId="77777777" w:rsidR="007C255B" w:rsidRPr="00A66F03" w:rsidRDefault="00976636" w:rsidP="00B72629">
      <w:pPr>
        <w:shd w:val="clear" w:color="auto" w:fill="FFFFFF"/>
        <w:spacing w:after="0" w:line="276" w:lineRule="auto"/>
        <w:rPr>
          <w:rFonts w:ascii="Times New Roman" w:eastAsia="Times New Roman" w:hAnsi="Times New Roman" w:cs="Times New Roman"/>
          <w:b/>
          <w:i/>
          <w:sz w:val="24"/>
          <w:szCs w:val="24"/>
          <w:lang w:val="en-GB"/>
        </w:rPr>
      </w:pPr>
      <w:r w:rsidRPr="00A66F03">
        <w:rPr>
          <w:rFonts w:ascii="Times New Roman" w:eastAsia="Times New Roman" w:hAnsi="Times New Roman" w:cs="Times New Roman"/>
          <w:b/>
          <w:bCs/>
          <w:i/>
          <w:iCs/>
          <w:sz w:val="24"/>
          <w:szCs w:val="24"/>
          <w:lang w:val="en-GB"/>
        </w:rPr>
        <w:t>Justification</w:t>
      </w:r>
    </w:p>
    <w:p w14:paraId="79B75E3C" w14:textId="77777777" w:rsidR="005A428A" w:rsidRPr="00A66F03" w:rsidRDefault="005A428A" w:rsidP="00B72629">
      <w:pPr>
        <w:shd w:val="clear" w:color="auto" w:fill="FFFFFF"/>
        <w:spacing w:after="0" w:line="276" w:lineRule="auto"/>
        <w:rPr>
          <w:rFonts w:ascii="Times New Roman" w:eastAsia="Times New Roman" w:hAnsi="Times New Roman" w:cs="Times New Roman"/>
          <w:b/>
          <w:i/>
          <w:color w:val="444444"/>
          <w:sz w:val="24"/>
          <w:szCs w:val="24"/>
          <w:lang w:val="en-GB"/>
        </w:rPr>
      </w:pPr>
    </w:p>
    <w:tbl>
      <w:tblPr>
        <w:tblW w:w="5000" w:type="pct"/>
        <w:tblBorders>
          <w:top w:val="outset" w:sz="6" w:space="0" w:color="auto"/>
          <w:left w:val="outset" w:sz="6" w:space="0" w:color="auto"/>
          <w:bottom w:val="outset" w:sz="6" w:space="0" w:color="auto"/>
          <w:right w:val="outset" w:sz="6" w:space="0" w:color="auto"/>
        </w:tblBorders>
        <w:tblCellMar>
          <w:top w:w="150" w:type="dxa"/>
          <w:left w:w="150" w:type="dxa"/>
          <w:bottom w:w="150" w:type="dxa"/>
          <w:right w:w="150" w:type="dxa"/>
        </w:tblCellMar>
        <w:tblLook w:val="04A0" w:firstRow="1" w:lastRow="0" w:firstColumn="1" w:lastColumn="0" w:noHBand="0" w:noVBand="1"/>
      </w:tblPr>
      <w:tblGrid>
        <w:gridCol w:w="9072"/>
      </w:tblGrid>
      <w:tr w:rsidR="00143DBE" w:rsidRPr="00A66F03" w14:paraId="0A854D69" w14:textId="77777777" w:rsidTr="00047C95">
        <w:tc>
          <w:tcPr>
            <w:tcW w:w="0" w:type="auto"/>
            <w:tcBorders>
              <w:top w:val="nil"/>
              <w:left w:val="nil"/>
              <w:bottom w:val="nil"/>
              <w:right w:val="nil"/>
            </w:tcBorders>
            <w:shd w:val="clear" w:color="auto" w:fill="auto"/>
            <w:tcMar>
              <w:top w:w="0" w:type="dxa"/>
              <w:left w:w="0" w:type="dxa"/>
              <w:bottom w:w="0" w:type="dxa"/>
              <w:right w:w="0" w:type="dxa"/>
            </w:tcMar>
            <w:vAlign w:val="center"/>
            <w:hideMark/>
          </w:tcPr>
          <w:p w14:paraId="0AA71026" w14:textId="77777777" w:rsidR="00BC24DA" w:rsidRPr="00A66F03" w:rsidRDefault="00976636" w:rsidP="00B72629">
            <w:pPr>
              <w:spacing w:after="0" w:line="276" w:lineRule="auto"/>
              <w:jc w:val="both"/>
              <w:rPr>
                <w:rFonts w:ascii="Times New Roman" w:hAnsi="Times New Roman" w:cs="Times New Roman"/>
                <w:lang w:val="en-GB"/>
              </w:rPr>
            </w:pPr>
            <w:r w:rsidRPr="00A66F03">
              <w:rPr>
                <w:rFonts w:ascii="Times New Roman" w:hAnsi="Times New Roman" w:cs="Times New Roman"/>
                <w:lang w:val="en-GB"/>
              </w:rPr>
              <w:t xml:space="preserve">In recent years the situation on the labour market has changed significantly from the baselines set out in the 2019 Country Report for Slovenia published by the European Commission. In its Autumn Forecast </w:t>
            </w:r>
            <w:r w:rsidRPr="00A66F03">
              <w:rPr>
                <w:rFonts w:ascii="Times New Roman" w:hAnsi="Times New Roman" w:cs="Times New Roman"/>
                <w:lang w:val="en-GB"/>
              </w:rPr>
              <w:lastRenderedPageBreak/>
              <w:t xml:space="preserve">of </w:t>
            </w:r>
            <w:r w:rsidRPr="00A66F03">
              <w:rPr>
                <w:rFonts w:ascii="Times New Roman" w:hAnsi="Times New Roman" w:cs="Times New Roman"/>
                <w:lang w:val="en-GB"/>
              </w:rPr>
              <w:t>Economic Trends in 2021,</w:t>
            </w:r>
            <w:r w:rsidRPr="00A66F03">
              <w:rPr>
                <w:rStyle w:val="Sprotnaopomba-sklic"/>
                <w:rFonts w:ascii="Times New Roman" w:hAnsi="Times New Roman" w:cs="Times New Roman"/>
                <w:lang w:val="en-GB"/>
              </w:rPr>
              <w:footnoteReference w:id="104"/>
            </w:r>
            <w:r w:rsidRPr="00A66F03">
              <w:rPr>
                <w:rFonts w:ascii="Times New Roman" w:hAnsi="Times New Roman" w:cs="Times New Roman"/>
                <w:lang w:val="en-GB"/>
              </w:rPr>
              <w:t xml:space="preserve"> the Institute of Macroeconomic Analysis and Development highlights the following in relation to the labour market:</w:t>
            </w:r>
          </w:p>
          <w:p w14:paraId="46232818" w14:textId="77777777" w:rsidR="00BC24DA" w:rsidRPr="00A66F03" w:rsidRDefault="00976636" w:rsidP="00B72629">
            <w:pPr>
              <w:pStyle w:val="Odstavekseznama"/>
              <w:numPr>
                <w:ilvl w:val="0"/>
                <w:numId w:val="1"/>
              </w:numPr>
              <w:spacing w:after="0" w:line="276" w:lineRule="auto"/>
              <w:jc w:val="both"/>
              <w:rPr>
                <w:rFonts w:ascii="Times New Roman" w:hAnsi="Times New Roman" w:cs="Times New Roman"/>
              </w:rPr>
            </w:pPr>
            <w:r w:rsidRPr="00A66F03">
              <w:rPr>
                <w:rFonts w:ascii="Times New Roman" w:hAnsi="Times New Roman" w:cs="Times New Roman"/>
              </w:rPr>
              <w:t>After the positive trends on the labour market came to an end during the first wave of the epidemic, there was a su</w:t>
            </w:r>
            <w:r w:rsidRPr="00A66F03">
              <w:rPr>
                <w:rFonts w:ascii="Times New Roman" w:hAnsi="Times New Roman" w:cs="Times New Roman"/>
              </w:rPr>
              <w:t xml:space="preserve">stained rise in employment and a reduction in unemployment from the second half of 2020. </w:t>
            </w:r>
          </w:p>
          <w:p w14:paraId="4DC5F397" w14:textId="77777777" w:rsidR="00BC24DA" w:rsidRPr="00A66F03" w:rsidRDefault="00976636" w:rsidP="00B72629">
            <w:pPr>
              <w:pStyle w:val="Odstavekseznama"/>
              <w:numPr>
                <w:ilvl w:val="0"/>
                <w:numId w:val="1"/>
              </w:numPr>
              <w:spacing w:after="0" w:line="276" w:lineRule="auto"/>
              <w:jc w:val="both"/>
              <w:rPr>
                <w:rFonts w:ascii="Times New Roman" w:hAnsi="Times New Roman" w:cs="Times New Roman"/>
              </w:rPr>
            </w:pPr>
            <w:r w:rsidRPr="00A66F03">
              <w:rPr>
                <w:rFonts w:ascii="Times New Roman" w:hAnsi="Times New Roman" w:cs="Times New Roman"/>
              </w:rPr>
              <w:t xml:space="preserve">Amid growing demand for labour, certain sectors have seen renewed shortages of labour in recent months. </w:t>
            </w:r>
          </w:p>
          <w:p w14:paraId="3E1EBDA6" w14:textId="77777777" w:rsidR="00BC24DA" w:rsidRPr="00A66F03" w:rsidRDefault="00976636" w:rsidP="00B72629">
            <w:pPr>
              <w:numPr>
                <w:ilvl w:val="0"/>
                <w:numId w:val="17"/>
              </w:numPr>
              <w:spacing w:after="0" w:line="276" w:lineRule="auto"/>
              <w:jc w:val="both"/>
              <w:rPr>
                <w:rFonts w:ascii="Times New Roman" w:hAnsi="Times New Roman" w:cs="Times New Roman"/>
                <w:lang w:val="en-GB"/>
              </w:rPr>
            </w:pPr>
            <w:r w:rsidRPr="00A66F03">
              <w:rPr>
                <w:rFonts w:ascii="Times New Roman" w:hAnsi="Times New Roman" w:cs="Times New Roman"/>
                <w:lang w:val="en-GB"/>
              </w:rPr>
              <w:t>In some sectors, the vacancy rate has risen sharply in recent</w:t>
            </w:r>
            <w:r w:rsidRPr="00A66F03">
              <w:rPr>
                <w:rFonts w:ascii="Times New Roman" w:hAnsi="Times New Roman" w:cs="Times New Roman"/>
                <w:lang w:val="en-GB"/>
              </w:rPr>
              <w:t xml:space="preserve"> months and,</w:t>
            </w:r>
          </w:p>
          <w:p w14:paraId="3C5E6252" w14:textId="77777777" w:rsidR="00BC24DA" w:rsidRPr="00A66F03" w:rsidRDefault="00976636" w:rsidP="00B72629">
            <w:pPr>
              <w:numPr>
                <w:ilvl w:val="0"/>
                <w:numId w:val="17"/>
              </w:numPr>
              <w:spacing w:after="0" w:line="276" w:lineRule="auto"/>
              <w:jc w:val="both"/>
              <w:rPr>
                <w:rFonts w:ascii="Times New Roman" w:hAnsi="Times New Roman" w:cs="Times New Roman"/>
                <w:lang w:val="en-GB"/>
              </w:rPr>
            </w:pPr>
            <w:r w:rsidRPr="00A66F03">
              <w:rPr>
                <w:rFonts w:ascii="Times New Roman" w:hAnsi="Times New Roman" w:cs="Times New Roman"/>
                <w:lang w:val="en-GB"/>
              </w:rPr>
              <w:t>in some cases, a shortage of workers is hampering operations.</w:t>
            </w:r>
          </w:p>
          <w:p w14:paraId="0BEEB58A" w14:textId="77777777" w:rsidR="00BC24DA" w:rsidRPr="00A66F03" w:rsidRDefault="00976636" w:rsidP="00B72629">
            <w:pPr>
              <w:pStyle w:val="Odstavekseznama"/>
              <w:numPr>
                <w:ilvl w:val="0"/>
                <w:numId w:val="17"/>
              </w:numPr>
              <w:spacing w:after="0" w:line="276" w:lineRule="auto"/>
              <w:jc w:val="both"/>
              <w:rPr>
                <w:rFonts w:ascii="Times New Roman" w:hAnsi="Times New Roman" w:cs="Times New Roman"/>
              </w:rPr>
            </w:pPr>
            <w:r w:rsidRPr="00A66F03">
              <w:rPr>
                <w:rFonts w:ascii="Times New Roman" w:hAnsi="Times New Roman" w:cs="Times New Roman"/>
              </w:rPr>
              <w:t>For the remainder of this year, employment will continue to gradually rise and unemployment fall. The effect of the epidemic will continue to have a significant impact. The positive</w:t>
            </w:r>
            <w:r w:rsidRPr="00A66F03">
              <w:rPr>
                <w:rFonts w:ascii="Times New Roman" w:hAnsi="Times New Roman" w:cs="Times New Roman"/>
              </w:rPr>
              <w:t xml:space="preserve"> trends will continue over the next two years, but against a backdrop of demographic trends that will give rise to increasing constraints linked to the availability of labour. </w:t>
            </w:r>
          </w:p>
          <w:p w14:paraId="5FB72920" w14:textId="77777777" w:rsidR="00BC24DA" w:rsidRPr="00A66F03" w:rsidRDefault="00976636" w:rsidP="00B72629">
            <w:pPr>
              <w:numPr>
                <w:ilvl w:val="0"/>
                <w:numId w:val="17"/>
              </w:numPr>
              <w:spacing w:after="0" w:line="276" w:lineRule="auto"/>
              <w:jc w:val="both"/>
              <w:rPr>
                <w:rFonts w:ascii="Times New Roman" w:hAnsi="Times New Roman" w:cs="Times New Roman"/>
                <w:lang w:val="en-GB"/>
              </w:rPr>
            </w:pPr>
            <w:r w:rsidRPr="00A66F03">
              <w:rPr>
                <w:rFonts w:ascii="Times New Roman" w:hAnsi="Times New Roman" w:cs="Times New Roman"/>
                <w:lang w:val="en-GB"/>
              </w:rPr>
              <w:t xml:space="preserve">The short-term expectation is that there will be a further (but more moderate) </w:t>
            </w:r>
            <w:r w:rsidRPr="00A66F03">
              <w:rPr>
                <w:rFonts w:ascii="Times New Roman" w:hAnsi="Times New Roman" w:cs="Times New Roman"/>
                <w:lang w:val="en-GB"/>
              </w:rPr>
              <w:t>rise in the employment rate.</w:t>
            </w:r>
          </w:p>
          <w:p w14:paraId="10B1A118" w14:textId="77777777" w:rsidR="00BC24DA" w:rsidRPr="00A66F03" w:rsidRDefault="00976636" w:rsidP="00B72629">
            <w:pPr>
              <w:numPr>
                <w:ilvl w:val="0"/>
                <w:numId w:val="17"/>
              </w:numPr>
              <w:spacing w:after="0" w:line="276" w:lineRule="auto"/>
              <w:jc w:val="both"/>
              <w:rPr>
                <w:rFonts w:ascii="Times New Roman" w:hAnsi="Times New Roman" w:cs="Times New Roman"/>
                <w:lang w:val="en-GB"/>
              </w:rPr>
            </w:pPr>
            <w:r w:rsidRPr="00A66F03">
              <w:rPr>
                <w:rFonts w:ascii="Times New Roman" w:hAnsi="Times New Roman" w:cs="Times New Roman"/>
                <w:lang w:val="en-GB"/>
              </w:rPr>
              <w:t>Participation in the labour market is still high in the most active age group (30–54 years), which means that participation will rise in future among older workers in particular.</w:t>
            </w:r>
          </w:p>
          <w:p w14:paraId="097DE1D9" w14:textId="77777777" w:rsidR="00BC24DA" w:rsidRPr="00A66F03" w:rsidRDefault="00976636" w:rsidP="00B72629">
            <w:pPr>
              <w:numPr>
                <w:ilvl w:val="0"/>
                <w:numId w:val="17"/>
              </w:numPr>
              <w:spacing w:after="0" w:line="276" w:lineRule="auto"/>
              <w:jc w:val="both"/>
              <w:rPr>
                <w:rFonts w:ascii="Times New Roman" w:hAnsi="Times New Roman" w:cs="Times New Roman"/>
                <w:lang w:val="en-GB"/>
              </w:rPr>
            </w:pPr>
            <w:r w:rsidRPr="00A66F03">
              <w:rPr>
                <w:rFonts w:ascii="Times New Roman" w:hAnsi="Times New Roman" w:cs="Times New Roman"/>
                <w:lang w:val="en-GB"/>
              </w:rPr>
              <w:t xml:space="preserve">Adverse demographic trends (increase in the </w:t>
            </w:r>
            <w:r w:rsidRPr="00A66F03">
              <w:rPr>
                <w:rFonts w:ascii="Times New Roman" w:hAnsi="Times New Roman" w:cs="Times New Roman"/>
                <w:lang w:val="en-GB"/>
              </w:rPr>
              <w:t>share of the older population) will continue and will lead to labour shortages.</w:t>
            </w:r>
          </w:p>
          <w:p w14:paraId="3D4E0A4A" w14:textId="77777777" w:rsidR="00BC24DA" w:rsidRPr="00A66F03" w:rsidRDefault="00BC24DA" w:rsidP="00B72629">
            <w:pPr>
              <w:spacing w:after="0" w:line="276" w:lineRule="auto"/>
              <w:jc w:val="both"/>
              <w:rPr>
                <w:rFonts w:ascii="Times New Roman" w:hAnsi="Times New Roman" w:cs="Times New Roman"/>
                <w:lang w:val="en-GB"/>
              </w:rPr>
            </w:pPr>
          </w:p>
          <w:p w14:paraId="75ED8528" w14:textId="77777777" w:rsidR="00773D4A" w:rsidRPr="00A66F03" w:rsidRDefault="00976636" w:rsidP="00B72629">
            <w:pPr>
              <w:spacing w:after="0" w:line="276" w:lineRule="auto"/>
              <w:jc w:val="both"/>
              <w:rPr>
                <w:rFonts w:ascii="Times New Roman" w:hAnsi="Times New Roman" w:cs="Times New Roman"/>
                <w:lang w:val="en-GB"/>
              </w:rPr>
            </w:pPr>
            <w:r w:rsidRPr="00A66F03">
              <w:rPr>
                <w:rFonts w:ascii="Times New Roman" w:hAnsi="Times New Roman" w:cs="Times New Roman"/>
                <w:lang w:val="en-GB"/>
              </w:rPr>
              <w:t xml:space="preserve">Slovenia has included several labour market measures in the adopted RRP that formed the starting points for the Commission’s Investment Guidelines for Cohesion Policy Funding </w:t>
            </w:r>
            <w:r w:rsidRPr="00A66F03">
              <w:rPr>
                <w:rFonts w:ascii="Times New Roman" w:hAnsi="Times New Roman" w:cs="Times New Roman"/>
                <w:lang w:val="en-GB"/>
              </w:rPr>
              <w:t xml:space="preserve">for Slovenia 2021–2027. The key objective of the RRP in relation to the labour market is to strengthen its resilience, increase participation and improve the quality of jobs. This part of the </w:t>
            </w:r>
            <w:r w:rsidRPr="00A66F03">
              <w:rPr>
                <w:rFonts w:ascii="Times New Roman" w:hAnsi="Times New Roman" w:cs="Times New Roman"/>
                <w:b/>
                <w:bCs/>
                <w:lang w:val="en-GB"/>
              </w:rPr>
              <w:t>RRP</w:t>
            </w:r>
            <w:r w:rsidRPr="00A66F03">
              <w:rPr>
                <w:rFonts w:ascii="Times New Roman" w:hAnsi="Times New Roman" w:cs="Times New Roman"/>
                <w:lang w:val="en-GB"/>
              </w:rPr>
              <w:t xml:space="preserve"> defines the structural efforts or reforms and the associated</w:t>
            </w:r>
            <w:r w:rsidRPr="00A66F03">
              <w:rPr>
                <w:rFonts w:ascii="Times New Roman" w:hAnsi="Times New Roman" w:cs="Times New Roman"/>
                <w:lang w:val="en-GB"/>
              </w:rPr>
              <w:t xml:space="preserve"> investments. Investment alone (support for more flexible ways of organising work, adapting workplaces for people with disabilities in sheltered companies and employment centres, more flexible forms of work, faster entry of young people onto the labour mar</w:t>
            </w:r>
            <w:r w:rsidRPr="00A66F03">
              <w:rPr>
                <w:rFonts w:ascii="Times New Roman" w:hAnsi="Times New Roman" w:cs="Times New Roman"/>
                <w:lang w:val="en-GB"/>
              </w:rPr>
              <w:t xml:space="preserve">ket and the training and education of employees) </w:t>
            </w:r>
            <w:r w:rsidRPr="00A66F03">
              <w:rPr>
                <w:rFonts w:ascii="Times New Roman" w:hAnsi="Times New Roman" w:cs="Times New Roman"/>
                <w:b/>
                <w:bCs/>
                <w:lang w:val="en-GB"/>
              </w:rPr>
              <w:t>in this part amounts indicatively to EUR 56 million (Union contribution)</w:t>
            </w:r>
            <w:r w:rsidRPr="00A66F03">
              <w:rPr>
                <w:rFonts w:ascii="Times New Roman" w:hAnsi="Times New Roman" w:cs="Times New Roman"/>
                <w:lang w:val="en-GB"/>
              </w:rPr>
              <w:t>.</w:t>
            </w:r>
          </w:p>
          <w:p w14:paraId="341A4C4A" w14:textId="77777777" w:rsidR="00B72629" w:rsidRPr="00A66F03" w:rsidRDefault="00B72629" w:rsidP="00B72629">
            <w:pPr>
              <w:spacing w:after="0" w:line="276" w:lineRule="auto"/>
              <w:jc w:val="both"/>
              <w:rPr>
                <w:rFonts w:ascii="Times New Roman" w:hAnsi="Times New Roman" w:cs="Times New Roman"/>
                <w:lang w:val="en-GB"/>
              </w:rPr>
            </w:pPr>
          </w:p>
          <w:p w14:paraId="6FED76FD" w14:textId="77777777" w:rsidR="00941D23" w:rsidRPr="00A66F03" w:rsidRDefault="00976636" w:rsidP="00941D23">
            <w:pPr>
              <w:spacing w:after="0" w:line="276" w:lineRule="auto"/>
              <w:jc w:val="both"/>
              <w:rPr>
                <w:rFonts w:ascii="Times New Roman" w:hAnsi="Times New Roman" w:cs="Times New Roman"/>
                <w:lang w:val="en-GB"/>
              </w:rPr>
            </w:pPr>
            <w:r w:rsidRPr="00A66F03">
              <w:rPr>
                <w:rFonts w:ascii="Times New Roman" w:hAnsi="Times New Roman" w:cs="Times New Roman"/>
                <w:lang w:val="en-GB"/>
              </w:rPr>
              <w:t xml:space="preserve">The RRP envisages challenging systemic changes (e.g. changes to pensions and labour market legislation) that will help to extend </w:t>
            </w:r>
            <w:r w:rsidRPr="00A66F03">
              <w:rPr>
                <w:rFonts w:ascii="Times New Roman" w:hAnsi="Times New Roman" w:cs="Times New Roman"/>
                <w:lang w:val="en-GB"/>
              </w:rPr>
              <w:t>working lives and lead to greater integration into the labour market. The measures also stem from specific recommendations to the country and are necessary for the establishment of conditions that will extend working lives and lead to greater integration i</w:t>
            </w:r>
            <w:r w:rsidRPr="00A66F03">
              <w:rPr>
                <w:rFonts w:ascii="Times New Roman" w:hAnsi="Times New Roman" w:cs="Times New Roman"/>
                <w:lang w:val="en-GB"/>
              </w:rPr>
              <w:t>nto the labour market (safe and healthy workplaces, promotion and information-provision regarding the options for participating in the labour market with the aim of activating older people to a greater extent, ensuring high-quality jobs and strengthening t</w:t>
            </w:r>
            <w:r w:rsidRPr="00A66F03">
              <w:rPr>
                <w:rFonts w:ascii="Times New Roman" w:hAnsi="Times New Roman" w:cs="Times New Roman"/>
                <w:lang w:val="en-GB"/>
              </w:rPr>
              <w:t>he role of social partners in achieving this objective).</w:t>
            </w:r>
          </w:p>
          <w:p w14:paraId="03FACC63" w14:textId="77777777" w:rsidR="00D37E2A" w:rsidRPr="00A66F03" w:rsidRDefault="00D37E2A" w:rsidP="00B72629">
            <w:pPr>
              <w:spacing w:after="0" w:line="276" w:lineRule="auto"/>
              <w:jc w:val="both"/>
              <w:rPr>
                <w:rFonts w:ascii="Times New Roman" w:hAnsi="Times New Roman" w:cs="Times New Roman"/>
                <w:lang w:val="en-GB"/>
              </w:rPr>
            </w:pPr>
          </w:p>
          <w:p w14:paraId="477FAAD6" w14:textId="77777777" w:rsidR="00941D23" w:rsidRPr="00A66F03" w:rsidRDefault="00976636" w:rsidP="00941D23">
            <w:pPr>
              <w:spacing w:after="0" w:line="276" w:lineRule="auto"/>
              <w:jc w:val="both"/>
              <w:rPr>
                <w:rFonts w:ascii="Times New Roman" w:hAnsi="Times New Roman" w:cs="Times New Roman"/>
                <w:lang w:val="en-GB"/>
              </w:rPr>
            </w:pPr>
            <w:r w:rsidRPr="00A66F03">
              <w:rPr>
                <w:rFonts w:ascii="Times New Roman" w:hAnsi="Times New Roman" w:cs="Times New Roman"/>
                <w:lang w:val="en-GB"/>
              </w:rPr>
              <w:t>Active employment policy has been and will continue to be carried out with the help of national integral resources and cohesion policy resources. Resources from European cohesion policy (ESF+) measu</w:t>
            </w:r>
            <w:r w:rsidRPr="00A66F03">
              <w:rPr>
                <w:rFonts w:ascii="Times New Roman" w:hAnsi="Times New Roman" w:cs="Times New Roman"/>
                <w:lang w:val="en-GB"/>
              </w:rPr>
              <w:t xml:space="preserve">res in Slovenia will be steered mainly towards increasing involvement in lifelong learning, raising general and professional competencies (efforts to raise financial literacy are part of the RRP) and measures to address negative demographic trends (active </w:t>
            </w:r>
            <w:r w:rsidRPr="00A66F03">
              <w:rPr>
                <w:rFonts w:ascii="Times New Roman" w:hAnsi="Times New Roman" w:cs="Times New Roman"/>
                <w:lang w:val="en-GB"/>
              </w:rPr>
              <w:t>ageing, youth employment, etc.). In doing this we will be following the recommendation of Annex D by upgrading the knowledge and skills of the adult population and increasing overall participation in lifelong learning. Using ESF+ resources, we will further</w:t>
            </w:r>
            <w:r w:rsidRPr="00A66F03">
              <w:rPr>
                <w:rFonts w:ascii="Times New Roman" w:hAnsi="Times New Roman" w:cs="Times New Roman"/>
                <w:lang w:val="en-GB"/>
              </w:rPr>
              <w:t xml:space="preserve"> strengthen measures within Policy Objective 4, mainly by improving access to employment and carrying out measures for all jobseekers, and particularly the young (notably through implementation of </w:t>
            </w:r>
            <w:r w:rsidRPr="00A66F03">
              <w:rPr>
                <w:rFonts w:ascii="Times New Roman" w:hAnsi="Times New Roman" w:cs="Times New Roman"/>
                <w:lang w:val="en-GB"/>
              </w:rPr>
              <w:lastRenderedPageBreak/>
              <w:t>the youth guarantee), the long-term unemployed, deprived gr</w:t>
            </w:r>
            <w:r w:rsidRPr="00A66F03">
              <w:rPr>
                <w:rFonts w:ascii="Times New Roman" w:hAnsi="Times New Roman" w:cs="Times New Roman"/>
                <w:lang w:val="en-GB"/>
              </w:rPr>
              <w:t xml:space="preserve">oups on the labour market and inactive people, as well as by promoting self-employment and the social economy. Through the measures we will encourage workers, enterprises and entrepreneurs to adapt to the changes, and promote active and healthy ageing and </w:t>
            </w:r>
            <w:r w:rsidRPr="00A66F03">
              <w:rPr>
                <w:rFonts w:ascii="Times New Roman" w:hAnsi="Times New Roman" w:cs="Times New Roman"/>
                <w:lang w:val="en-GB"/>
              </w:rPr>
              <w:t>healthy and well-adapted working environments. We will promote lifelong learning, particularly through flexible options for upskilling and reskilling for all (taking account of entrepreneurial and digital skills), better anticipating changes and new skills</w:t>
            </w:r>
            <w:r w:rsidRPr="00A66F03">
              <w:rPr>
                <w:rFonts w:ascii="Times New Roman" w:hAnsi="Times New Roman" w:cs="Times New Roman"/>
                <w:lang w:val="en-GB"/>
              </w:rPr>
              <w:t xml:space="preserve"> requirements based on labour market needs, making it easier to change career and promoting professional mobility, modernising labour market institutions and services so that they are better able to assess and anticipate skills needs, and providing timely </w:t>
            </w:r>
            <w:r w:rsidRPr="00A66F03">
              <w:rPr>
                <w:rFonts w:ascii="Times New Roman" w:hAnsi="Times New Roman" w:cs="Times New Roman"/>
                <w:lang w:val="en-GB"/>
              </w:rPr>
              <w:t>and tailor-made assistance and support to labour market matching, transitions and mobility.</w:t>
            </w:r>
          </w:p>
          <w:p w14:paraId="07C9A86A" w14:textId="77777777" w:rsidR="005E0C88" w:rsidRPr="00A66F03" w:rsidRDefault="005E0C88" w:rsidP="00B72629">
            <w:pPr>
              <w:spacing w:after="0" w:line="276" w:lineRule="auto"/>
              <w:jc w:val="both"/>
              <w:rPr>
                <w:rFonts w:ascii="Times New Roman" w:hAnsi="Times New Roman" w:cs="Times New Roman"/>
                <w:lang w:val="en-GB"/>
              </w:rPr>
            </w:pPr>
          </w:p>
          <w:p w14:paraId="5E4EA7B9" w14:textId="77777777" w:rsidR="00631DA2" w:rsidRPr="00A66F03" w:rsidRDefault="00976636" w:rsidP="00B72629">
            <w:pPr>
              <w:spacing w:after="0" w:line="276" w:lineRule="auto"/>
              <w:jc w:val="both"/>
              <w:rPr>
                <w:rFonts w:ascii="Times New Roman" w:hAnsi="Times New Roman" w:cs="Times New Roman"/>
                <w:b/>
                <w:lang w:val="en-GB"/>
              </w:rPr>
            </w:pPr>
            <w:r w:rsidRPr="00A66F03">
              <w:rPr>
                <w:rFonts w:ascii="Times New Roman" w:hAnsi="Times New Roman" w:cs="Times New Roman"/>
                <w:b/>
                <w:bCs/>
                <w:lang w:val="en-GB"/>
              </w:rPr>
              <w:t>In this context, the proposal for a transfer of ESF+ resources to the ERDF constitutes a strengthening of the envisaged PO1 actions.</w:t>
            </w:r>
          </w:p>
        </w:tc>
      </w:tr>
    </w:tbl>
    <w:p w14:paraId="36F76985" w14:textId="77777777" w:rsidR="00D75BBC" w:rsidRPr="00A66F03" w:rsidRDefault="00D75BBC" w:rsidP="00B72629">
      <w:pPr>
        <w:shd w:val="clear" w:color="auto" w:fill="FFFFFF"/>
        <w:spacing w:after="0" w:line="276" w:lineRule="auto"/>
        <w:rPr>
          <w:rFonts w:ascii="Times New Roman" w:eastAsia="Times New Roman" w:hAnsi="Times New Roman" w:cs="Times New Roman"/>
          <w:bCs/>
          <w:color w:val="5B9BD5" w:themeColor="accent1"/>
          <w:sz w:val="27"/>
          <w:szCs w:val="27"/>
          <w:lang w:val="en-GB"/>
        </w:rPr>
      </w:pPr>
    </w:p>
    <w:p w14:paraId="4C97EBE2" w14:textId="77777777" w:rsidR="00AB155F" w:rsidRPr="00A66F03" w:rsidRDefault="00976636" w:rsidP="00B72629">
      <w:pPr>
        <w:pStyle w:val="Naslov2"/>
        <w:spacing w:before="0" w:line="276" w:lineRule="auto"/>
        <w:rPr>
          <w:rFonts w:eastAsia="Times New Roman" w:cs="Times New Roman"/>
          <w:lang w:val="en-GB"/>
        </w:rPr>
      </w:pPr>
      <w:bookmarkStart w:id="31" w:name="_Toc115336021"/>
      <w:r w:rsidRPr="00A66F03">
        <w:rPr>
          <w:rFonts w:eastAsia="Times New Roman" w:cs="Times New Roman"/>
          <w:lang w:val="en-GB"/>
        </w:rPr>
        <w:t xml:space="preserve">4.4 Transfer of ERDF and </w:t>
      </w:r>
      <w:r w:rsidRPr="00A66F03">
        <w:rPr>
          <w:rFonts w:eastAsia="Times New Roman" w:cs="Times New Roman"/>
          <w:lang w:val="en-GB"/>
        </w:rPr>
        <w:t>ESF+ resources as complementary support to the JTF, with justification</w:t>
      </w:r>
      <w:bookmarkEnd w:id="31"/>
      <w:r w:rsidRPr="00A66F03">
        <w:rPr>
          <w:rFonts w:eastAsia="Times New Roman" w:cs="Times New Roman"/>
          <w:lang w:val="en-GB"/>
        </w:rPr>
        <w:t> </w:t>
      </w:r>
    </w:p>
    <w:p w14:paraId="7B410B66" w14:textId="77777777" w:rsidR="00D75BBC" w:rsidRPr="00A66F03" w:rsidRDefault="00D75BBC" w:rsidP="00B72629">
      <w:pPr>
        <w:shd w:val="clear" w:color="auto" w:fill="FFFFFF"/>
        <w:spacing w:after="0" w:line="276" w:lineRule="auto"/>
        <w:jc w:val="both"/>
        <w:rPr>
          <w:rFonts w:ascii="Times New Roman" w:eastAsia="Times New Roman" w:hAnsi="Times New Roman" w:cs="Times New Roman"/>
          <w:b/>
          <w:bCs/>
          <w:color w:val="3366CC"/>
          <w:sz w:val="27"/>
          <w:szCs w:val="27"/>
          <w:lang w:val="en-GB"/>
        </w:rPr>
      </w:pPr>
    </w:p>
    <w:p w14:paraId="095F4124" w14:textId="77777777" w:rsidR="00D75BBC" w:rsidRPr="00A66F03" w:rsidRDefault="00976636" w:rsidP="00B72629">
      <w:pPr>
        <w:shd w:val="clear" w:color="auto" w:fill="FFFFFF"/>
        <w:spacing w:after="0" w:line="276" w:lineRule="auto"/>
        <w:jc w:val="both"/>
        <w:rPr>
          <w:rFonts w:ascii="Times New Roman" w:eastAsia="Times New Roman" w:hAnsi="Times New Roman" w:cs="Times New Roman"/>
          <w:bCs/>
          <w:lang w:val="en-GB"/>
        </w:rPr>
      </w:pPr>
      <w:r w:rsidRPr="00A66F03">
        <w:rPr>
          <w:rFonts w:ascii="Times New Roman" w:eastAsia="Times New Roman" w:hAnsi="Times New Roman" w:cs="Times New Roman"/>
          <w:lang w:val="en-GB"/>
        </w:rPr>
        <w:t>Transfer of ERDF and ESF+ resources as complementary support to the JTF is not envisaged.</w:t>
      </w:r>
    </w:p>
    <w:p w14:paraId="2652C9F0" w14:textId="77777777" w:rsidR="00EF27ED" w:rsidRPr="00A66F03" w:rsidRDefault="00EF27ED" w:rsidP="00B72629">
      <w:pPr>
        <w:shd w:val="clear" w:color="auto" w:fill="FFFFFF"/>
        <w:spacing w:after="0" w:line="276" w:lineRule="auto"/>
        <w:jc w:val="both"/>
        <w:rPr>
          <w:rFonts w:ascii="Times New Roman" w:eastAsia="Times New Roman" w:hAnsi="Times New Roman" w:cs="Times New Roman"/>
          <w:bCs/>
          <w:color w:val="444444"/>
          <w:sz w:val="24"/>
          <w:szCs w:val="24"/>
          <w:lang w:val="en-GB"/>
        </w:rPr>
      </w:pPr>
    </w:p>
    <w:p w14:paraId="5119B715" w14:textId="77777777" w:rsidR="00A76FF9" w:rsidRPr="00A66F03" w:rsidRDefault="00976636" w:rsidP="00B72629">
      <w:pPr>
        <w:pStyle w:val="Naslov2"/>
        <w:spacing w:before="0" w:line="276" w:lineRule="auto"/>
        <w:rPr>
          <w:rFonts w:eastAsia="Times New Roman" w:cs="Times New Roman"/>
          <w:lang w:val="en-GB"/>
        </w:rPr>
      </w:pPr>
      <w:bookmarkStart w:id="32" w:name="_Toc115336022"/>
      <w:r w:rsidRPr="00A66F03">
        <w:rPr>
          <w:rFonts w:eastAsia="Times New Roman" w:cs="Times New Roman"/>
          <w:lang w:val="en-GB"/>
        </w:rPr>
        <w:t xml:space="preserve">4.5 Transfers from European territorial cooperation (Interreg) to the investment for jobs </w:t>
      </w:r>
      <w:r w:rsidRPr="00A66F03">
        <w:rPr>
          <w:rFonts w:eastAsia="Times New Roman" w:cs="Times New Roman"/>
          <w:lang w:val="en-GB"/>
        </w:rPr>
        <w:t>and growth</w:t>
      </w:r>
      <w:bookmarkEnd w:id="32"/>
    </w:p>
    <w:p w14:paraId="629171A0" w14:textId="77777777" w:rsidR="00D75BBC" w:rsidRPr="00A66F03" w:rsidRDefault="00D75BBC" w:rsidP="00B72629">
      <w:pPr>
        <w:shd w:val="clear" w:color="auto" w:fill="FFFFFF"/>
        <w:spacing w:after="0" w:line="276" w:lineRule="auto"/>
        <w:jc w:val="both"/>
        <w:rPr>
          <w:rFonts w:ascii="Times New Roman" w:eastAsia="Times New Roman" w:hAnsi="Times New Roman" w:cs="Times New Roman"/>
          <w:bCs/>
          <w:color w:val="5B9BD5" w:themeColor="accent1"/>
          <w:sz w:val="27"/>
          <w:szCs w:val="27"/>
          <w:lang w:val="en-GB"/>
        </w:rPr>
      </w:pPr>
    </w:p>
    <w:p w14:paraId="00C0EE88" w14:textId="77777777" w:rsidR="00AB155F" w:rsidRPr="00A66F03" w:rsidRDefault="00976636" w:rsidP="00B72629">
      <w:pPr>
        <w:shd w:val="clear" w:color="auto" w:fill="FFFFFF"/>
        <w:spacing w:after="0" w:line="276" w:lineRule="auto"/>
        <w:jc w:val="both"/>
        <w:rPr>
          <w:rFonts w:ascii="Times New Roman" w:eastAsia="Times New Roman" w:hAnsi="Times New Roman" w:cs="Times New Roman"/>
          <w:bCs/>
          <w:lang w:val="en-GB"/>
        </w:rPr>
      </w:pPr>
      <w:r w:rsidRPr="00A66F03">
        <w:rPr>
          <w:rFonts w:ascii="Times New Roman" w:eastAsia="Times New Roman" w:hAnsi="Times New Roman" w:cs="Times New Roman"/>
          <w:lang w:val="en-GB"/>
        </w:rPr>
        <w:t xml:space="preserve">Transfers from European territorial cooperation (Interreg) to the investment for jobs and growth are not envisaged. </w:t>
      </w:r>
    </w:p>
    <w:p w14:paraId="048B7E00" w14:textId="77777777" w:rsidR="00362E9B" w:rsidRPr="00A66F03" w:rsidRDefault="00362E9B" w:rsidP="00B72629">
      <w:pPr>
        <w:shd w:val="clear" w:color="auto" w:fill="FFFFFF"/>
        <w:spacing w:after="0" w:line="276" w:lineRule="auto"/>
        <w:jc w:val="both"/>
        <w:rPr>
          <w:rFonts w:ascii="Times New Roman" w:eastAsia="Times New Roman" w:hAnsi="Times New Roman" w:cs="Times New Roman"/>
          <w:bCs/>
          <w:lang w:val="en-GB"/>
        </w:rPr>
      </w:pPr>
    </w:p>
    <w:p w14:paraId="766D6804" w14:textId="77777777" w:rsidR="00A76FF9" w:rsidRPr="00A66F03" w:rsidRDefault="00976636" w:rsidP="00B72629">
      <w:pPr>
        <w:pStyle w:val="Naslov1"/>
        <w:spacing w:before="0" w:line="276" w:lineRule="auto"/>
        <w:rPr>
          <w:rFonts w:eastAsia="Times New Roman" w:cs="Times New Roman"/>
          <w:lang w:val="en-GB"/>
        </w:rPr>
      </w:pPr>
      <w:bookmarkStart w:id="33" w:name="_Toc115336023"/>
      <w:r w:rsidRPr="00A66F03">
        <w:rPr>
          <w:rFonts w:eastAsia="Times New Roman" w:cs="Times New Roman"/>
          <w:bCs/>
          <w:lang w:val="en-GB"/>
        </w:rPr>
        <w:t>5.   Form of Union contribution for technical assistance</w:t>
      </w:r>
      <w:bookmarkEnd w:id="33"/>
    </w:p>
    <w:p w14:paraId="5E3C589F" w14:textId="77777777" w:rsidR="00A76FF9" w:rsidRPr="00A66F03" w:rsidRDefault="00A76FF9" w:rsidP="00B72629">
      <w:pPr>
        <w:shd w:val="clear" w:color="auto" w:fill="FFFFFF"/>
        <w:spacing w:after="0" w:line="276" w:lineRule="auto"/>
        <w:jc w:val="both"/>
        <w:rPr>
          <w:rFonts w:ascii="Times New Roman" w:eastAsia="Times New Roman" w:hAnsi="Times New Roman" w:cs="Times New Roman"/>
          <w:b/>
          <w:bCs/>
          <w:color w:val="444444"/>
          <w:sz w:val="27"/>
          <w:szCs w:val="27"/>
          <w:lang w:val="en-GB"/>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856"/>
        <w:gridCol w:w="4200"/>
      </w:tblGrid>
      <w:tr w:rsidR="00143DBE" w:rsidRPr="00A66F03" w14:paraId="63698AD8" w14:textId="77777777" w:rsidTr="00A76FF9">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4C20AD65" w14:textId="77777777" w:rsidR="00A76FF9" w:rsidRPr="00A66F03" w:rsidRDefault="00976636" w:rsidP="00B72629">
            <w:pPr>
              <w:spacing w:after="0" w:line="276" w:lineRule="auto"/>
              <w:rPr>
                <w:rFonts w:ascii="Times New Roman" w:eastAsia="Times New Roman" w:hAnsi="Times New Roman" w:cs="Times New Roman"/>
                <w:lang w:val="en-GB"/>
              </w:rPr>
            </w:pPr>
            <w:r w:rsidRPr="00A66F03">
              <w:rPr>
                <w:rFonts w:ascii="Times New Roman" w:eastAsia="Times New Roman" w:hAnsi="Times New Roman" w:cs="Times New Roman"/>
                <w:lang w:val="en-GB"/>
              </w:rPr>
              <w:t>Selection of form of Union contribution for technical assistance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07"/>
              <w:gridCol w:w="3978"/>
            </w:tblGrid>
            <w:tr w:rsidR="00143DBE" w:rsidRPr="00A66F03" w14:paraId="611F5CB2" w14:textId="77777777">
              <w:tc>
                <w:tcPr>
                  <w:tcW w:w="0" w:type="auto"/>
                  <w:shd w:val="clear" w:color="auto" w:fill="auto"/>
                  <w:hideMark/>
                </w:tcPr>
                <w:p w14:paraId="1CA8C92B" w14:textId="77777777" w:rsidR="00A76FF9" w:rsidRPr="00A66F03" w:rsidRDefault="00976636" w:rsidP="00B72629">
                  <w:pPr>
                    <w:spacing w:after="0" w:line="276" w:lineRule="auto"/>
                    <w:jc w:val="both"/>
                    <w:rPr>
                      <w:rFonts w:ascii="Times New Roman" w:eastAsia="Times New Roman" w:hAnsi="Times New Roman" w:cs="Times New Roman"/>
                      <w:sz w:val="24"/>
                      <w:szCs w:val="24"/>
                      <w:lang w:val="en-GB"/>
                    </w:rPr>
                  </w:pPr>
                  <w:r w:rsidRPr="00A66F03">
                    <w:rPr>
                      <w:rFonts w:ascii="Segoe UI Symbol" w:eastAsia="Times New Roman" w:hAnsi="Segoe UI Symbol" w:cs="Segoe UI Symbol"/>
                      <w:sz w:val="24"/>
                      <w:szCs w:val="24"/>
                      <w:lang w:val="en-GB"/>
                    </w:rPr>
                    <w:t>☐</w:t>
                  </w:r>
                </w:p>
              </w:tc>
              <w:tc>
                <w:tcPr>
                  <w:tcW w:w="0" w:type="auto"/>
                  <w:shd w:val="clear" w:color="auto" w:fill="auto"/>
                  <w:hideMark/>
                </w:tcPr>
                <w:p w14:paraId="123A496C" w14:textId="77777777" w:rsidR="00A76FF9" w:rsidRPr="00A66F03" w:rsidRDefault="00976636" w:rsidP="00B72629">
                  <w:pPr>
                    <w:spacing w:after="0" w:line="276" w:lineRule="auto"/>
                    <w:jc w:val="both"/>
                    <w:rPr>
                      <w:rFonts w:ascii="Times New Roman" w:eastAsia="Times New Roman" w:hAnsi="Times New Roman" w:cs="Times New Roman"/>
                      <w:sz w:val="24"/>
                      <w:szCs w:val="24"/>
                      <w:lang w:val="en-GB"/>
                    </w:rPr>
                  </w:pPr>
                  <w:r w:rsidRPr="00A66F03">
                    <w:rPr>
                      <w:rFonts w:ascii="Times New Roman" w:eastAsia="Times New Roman" w:hAnsi="Times New Roman" w:cs="Times New Roman"/>
                      <w:sz w:val="24"/>
                      <w:szCs w:val="24"/>
                      <w:lang w:val="en-GB"/>
                    </w:rPr>
                    <w:t xml:space="preserve">  Technical assistance pursuant to Article 36(4) </w:t>
                  </w:r>
                </w:p>
              </w:tc>
            </w:tr>
          </w:tbl>
          <w:p w14:paraId="0B33F5CE" w14:textId="77777777" w:rsidR="00A76FF9" w:rsidRPr="00A66F03" w:rsidRDefault="00A76FF9" w:rsidP="00B72629">
            <w:pPr>
              <w:spacing w:after="0" w:line="276" w:lineRule="auto"/>
              <w:rPr>
                <w:rFonts w:ascii="Times New Roman" w:eastAsia="Times New Roman" w:hAnsi="Times New Roman" w:cs="Times New Roman"/>
                <w:sz w:val="24"/>
                <w:szCs w:val="24"/>
                <w:lang w:val="en-GB"/>
              </w:rPr>
            </w:pPr>
          </w:p>
        </w:tc>
      </w:tr>
      <w:tr w:rsidR="00143DBE" w:rsidRPr="00A66F03" w14:paraId="1D405959" w14:textId="77777777" w:rsidTr="00A76FF9">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3006459" w14:textId="77777777" w:rsidR="00A76FF9" w:rsidRPr="00A66F03" w:rsidRDefault="00A76FF9" w:rsidP="00B72629">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6"/>
              <w:gridCol w:w="4179"/>
            </w:tblGrid>
            <w:tr w:rsidR="00143DBE" w:rsidRPr="00A66F03" w14:paraId="68CBB250" w14:textId="77777777" w:rsidTr="00EF71BA">
              <w:tc>
                <w:tcPr>
                  <w:tcW w:w="0" w:type="auto"/>
                  <w:shd w:val="clear" w:color="auto" w:fill="000000" w:themeFill="text1"/>
                  <w:hideMark/>
                </w:tcPr>
                <w:p w14:paraId="2116890B" w14:textId="77777777" w:rsidR="00A76FF9" w:rsidRPr="00A66F03" w:rsidRDefault="00A76FF9" w:rsidP="00B72629">
                  <w:pPr>
                    <w:pStyle w:val="Odstavekseznama"/>
                    <w:numPr>
                      <w:ilvl w:val="0"/>
                      <w:numId w:val="20"/>
                    </w:numPr>
                    <w:spacing w:after="0" w:line="276" w:lineRule="auto"/>
                    <w:jc w:val="both"/>
                    <w:rPr>
                      <w:rFonts w:ascii="Times New Roman" w:eastAsia="Times New Roman" w:hAnsi="Times New Roman" w:cs="Times New Roman"/>
                      <w:sz w:val="24"/>
                      <w:szCs w:val="24"/>
                    </w:rPr>
                  </w:pPr>
                </w:p>
              </w:tc>
              <w:tc>
                <w:tcPr>
                  <w:tcW w:w="0" w:type="auto"/>
                  <w:shd w:val="clear" w:color="auto" w:fill="auto"/>
                  <w:hideMark/>
                </w:tcPr>
                <w:p w14:paraId="7894353F" w14:textId="77777777" w:rsidR="00A76FF9" w:rsidRPr="00A66F03" w:rsidRDefault="00976636" w:rsidP="00B72629">
                  <w:pPr>
                    <w:pStyle w:val="Odstavekseznama"/>
                    <w:numPr>
                      <w:ilvl w:val="0"/>
                      <w:numId w:val="20"/>
                    </w:numPr>
                    <w:spacing w:after="0" w:line="276" w:lineRule="auto"/>
                    <w:ind w:left="357" w:hanging="357"/>
                    <w:jc w:val="both"/>
                    <w:rPr>
                      <w:rFonts w:ascii="Times New Roman" w:eastAsia="Times New Roman" w:hAnsi="Times New Roman" w:cs="Times New Roman"/>
                      <w:sz w:val="24"/>
                      <w:szCs w:val="24"/>
                    </w:rPr>
                  </w:pPr>
                  <w:r w:rsidRPr="00A66F03">
                    <w:rPr>
                      <w:rFonts w:ascii="Times New Roman" w:eastAsia="Times New Roman" w:hAnsi="Times New Roman" w:cs="Times New Roman"/>
                      <w:sz w:val="24"/>
                      <w:szCs w:val="24"/>
                    </w:rPr>
                    <w:t xml:space="preserve">Technical assistance pursuant to Article 36(5) </w:t>
                  </w:r>
                </w:p>
              </w:tc>
            </w:tr>
          </w:tbl>
          <w:p w14:paraId="69848DC9" w14:textId="77777777" w:rsidR="00A76FF9" w:rsidRPr="00A66F03" w:rsidRDefault="00A76FF9" w:rsidP="00B72629">
            <w:pPr>
              <w:spacing w:after="0" w:line="276" w:lineRule="auto"/>
              <w:rPr>
                <w:rFonts w:ascii="Times New Roman" w:eastAsia="Times New Roman" w:hAnsi="Times New Roman" w:cs="Times New Roman"/>
                <w:sz w:val="24"/>
                <w:szCs w:val="24"/>
                <w:lang w:val="en-GB"/>
              </w:rPr>
            </w:pPr>
          </w:p>
        </w:tc>
      </w:tr>
    </w:tbl>
    <w:p w14:paraId="48B07270" w14:textId="77777777" w:rsidR="00A76FF9" w:rsidRPr="00A66F03" w:rsidRDefault="00A76FF9" w:rsidP="00B72629">
      <w:pPr>
        <w:shd w:val="clear" w:color="auto" w:fill="FFFFFF"/>
        <w:spacing w:after="0" w:line="276" w:lineRule="auto"/>
        <w:rPr>
          <w:rFonts w:ascii="Times New Roman" w:eastAsia="Times New Roman" w:hAnsi="Times New Roman" w:cs="Times New Roman"/>
          <w:vanish/>
          <w:color w:val="444444"/>
          <w:sz w:val="27"/>
          <w:szCs w:val="27"/>
          <w:lang w:val="en-GB"/>
        </w:rPr>
      </w:pPr>
    </w:p>
    <w:p w14:paraId="34231AFD" w14:textId="77777777" w:rsidR="005A428A" w:rsidRPr="00A66F03" w:rsidRDefault="005A428A" w:rsidP="00B72629">
      <w:pPr>
        <w:shd w:val="clear" w:color="auto" w:fill="FFFFFF"/>
        <w:spacing w:after="0" w:line="276" w:lineRule="auto"/>
        <w:jc w:val="both"/>
        <w:rPr>
          <w:rFonts w:ascii="Times New Roman" w:eastAsia="Times New Roman" w:hAnsi="Times New Roman" w:cs="Times New Roman"/>
          <w:b/>
          <w:bCs/>
          <w:color w:val="5B9BD5" w:themeColor="accent1"/>
          <w:sz w:val="27"/>
          <w:szCs w:val="27"/>
          <w:lang w:val="en-GB"/>
        </w:rPr>
      </w:pPr>
    </w:p>
    <w:p w14:paraId="41CF2FC1" w14:textId="77777777" w:rsidR="00034463" w:rsidRPr="00A66F03" w:rsidRDefault="00976636" w:rsidP="00B72629">
      <w:pPr>
        <w:spacing w:after="0" w:line="276" w:lineRule="auto"/>
        <w:jc w:val="both"/>
        <w:rPr>
          <w:rFonts w:ascii="Times New Roman" w:eastAsia="Times New Roman" w:hAnsi="Times New Roman" w:cs="Times New Roman"/>
          <w:b/>
          <w:lang w:val="en-GB"/>
        </w:rPr>
      </w:pPr>
      <w:r w:rsidRPr="00A66F03">
        <w:rPr>
          <w:rFonts w:ascii="Times New Roman" w:eastAsia="Times New Roman" w:hAnsi="Times New Roman" w:cs="Times New Roman"/>
          <w:b/>
          <w:bCs/>
          <w:lang w:val="en-GB"/>
        </w:rPr>
        <w:t xml:space="preserve">Technical assistance will be implemented in accordance with Article 36(5) for all funds. </w:t>
      </w:r>
    </w:p>
    <w:p w14:paraId="4467E2C5" w14:textId="77777777" w:rsidR="00034463" w:rsidRPr="00A66F03" w:rsidRDefault="00034463" w:rsidP="00B72629">
      <w:pPr>
        <w:spacing w:after="0" w:line="276" w:lineRule="auto"/>
        <w:jc w:val="both"/>
        <w:rPr>
          <w:rFonts w:ascii="Times New Roman" w:eastAsia="Times New Roman" w:hAnsi="Times New Roman" w:cs="Times New Roman"/>
          <w:b/>
          <w:lang w:val="en-GB"/>
        </w:rPr>
      </w:pPr>
    </w:p>
    <w:p w14:paraId="6073695E" w14:textId="77777777" w:rsidR="00034463" w:rsidRPr="00A66F03" w:rsidRDefault="00976636" w:rsidP="00B72629">
      <w:pPr>
        <w:spacing w:after="0" w:line="276" w:lineRule="auto"/>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t>The implementation of technical support for the 2014–2020 programming period is well under way, but given the fragmentation of the activities, the management of technical assistance funds constitutes a disproportionate administrative burden for beneficiari</w:t>
      </w:r>
      <w:r w:rsidRPr="00A66F03">
        <w:rPr>
          <w:rFonts w:ascii="Times New Roman" w:eastAsia="Times New Roman" w:hAnsi="Times New Roman" w:cs="Times New Roman"/>
          <w:lang w:val="en-GB"/>
        </w:rPr>
        <w:t>es, making technical assistance more or less limited to participants in the management and control system. In order to diversify technical assistance, as well as strengthen the capacity of beneficiaries, reduce the administrative burden and simplify implem</w:t>
      </w:r>
      <w:r w:rsidRPr="00A66F03">
        <w:rPr>
          <w:rFonts w:ascii="Times New Roman" w:eastAsia="Times New Roman" w:hAnsi="Times New Roman" w:cs="Times New Roman"/>
          <w:lang w:val="en-GB"/>
        </w:rPr>
        <w:t>entation, Slovenia has decided to implement technical assistance resources at a flat rate in the 2021–2027 programming period, based on progress in programme implementation; this will bring us a step closer to results-oriented management, including the man</w:t>
      </w:r>
      <w:r w:rsidRPr="00A66F03">
        <w:rPr>
          <w:rFonts w:ascii="Times New Roman" w:eastAsia="Times New Roman" w:hAnsi="Times New Roman" w:cs="Times New Roman"/>
          <w:lang w:val="en-GB"/>
        </w:rPr>
        <w:t>agement of technical assistance itself. This means that technical assistance funds will be reimbursed at a flat rate (the percentages envisaged in EU Regulation 2021/1060) depending on the fund, the region and the eligible expenditure that Slovenia will in</w:t>
      </w:r>
      <w:r w:rsidRPr="00A66F03">
        <w:rPr>
          <w:rFonts w:ascii="Times New Roman" w:eastAsia="Times New Roman" w:hAnsi="Times New Roman" w:cs="Times New Roman"/>
          <w:lang w:val="en-GB"/>
        </w:rPr>
        <w:t xml:space="preserve">clude in the payment application and forward to the European Commission. </w:t>
      </w:r>
    </w:p>
    <w:p w14:paraId="469E3821" w14:textId="77777777" w:rsidR="00034463" w:rsidRPr="00A66F03" w:rsidRDefault="00034463" w:rsidP="00B72629">
      <w:pPr>
        <w:spacing w:after="0" w:line="276" w:lineRule="auto"/>
        <w:jc w:val="both"/>
        <w:rPr>
          <w:rFonts w:ascii="Times New Roman" w:eastAsia="Times New Roman" w:hAnsi="Times New Roman" w:cs="Times New Roman"/>
          <w:lang w:val="en-GB"/>
        </w:rPr>
      </w:pPr>
    </w:p>
    <w:p w14:paraId="3EDC22EE" w14:textId="77777777" w:rsidR="00034463" w:rsidRPr="00A66F03" w:rsidRDefault="00976636" w:rsidP="00B72629">
      <w:pPr>
        <w:spacing w:after="0" w:line="276" w:lineRule="auto"/>
        <w:jc w:val="both"/>
        <w:rPr>
          <w:rFonts w:ascii="Times New Roman" w:eastAsia="Times New Roman" w:hAnsi="Times New Roman" w:cs="Times New Roman"/>
          <w:lang w:val="en-GB"/>
        </w:rPr>
      </w:pPr>
      <w:r w:rsidRPr="00A66F03">
        <w:rPr>
          <w:rFonts w:ascii="Times New Roman" w:hAnsi="Times New Roman" w:cs="Times New Roman"/>
          <w:color w:val="000000"/>
          <w:lang w:val="en-GB"/>
        </w:rPr>
        <w:t>Technical assistance will be designed to ensure the effective implementation of all programmes under the Partnership Agreement. It will primarily focus on systemic tasks (ensuring t</w:t>
      </w:r>
      <w:r w:rsidRPr="00A66F03">
        <w:rPr>
          <w:rFonts w:ascii="Times New Roman" w:hAnsi="Times New Roman" w:cs="Times New Roman"/>
          <w:color w:val="000000"/>
          <w:lang w:val="en-GB"/>
        </w:rPr>
        <w:t>he functions of the managing authority, intermediate bodies, etc.), with attention also being paid to other European cohesion policy stakeholders, and in particular to increasing administrative capacity in the context of territorial approaches or in the co</w:t>
      </w:r>
      <w:r w:rsidRPr="00A66F03">
        <w:rPr>
          <w:rFonts w:ascii="Times New Roman" w:hAnsi="Times New Roman" w:cs="Times New Roman"/>
          <w:color w:val="000000"/>
          <w:lang w:val="en-GB"/>
        </w:rPr>
        <w:t>ntext of the envisaged innovations in the 2021–2027 programming period.</w:t>
      </w:r>
      <w:r w:rsidRPr="00A66F03">
        <w:rPr>
          <w:rFonts w:ascii="Times New Roman" w:hAnsi="Times New Roman" w:cs="Times New Roman"/>
          <w:lang w:val="en-GB"/>
        </w:rPr>
        <w:t xml:space="preserve"> With the help of technical assistance funds in the following areas, Slovenia will develop programmes that contribute to the better and more effective implementation of European cohesio</w:t>
      </w:r>
      <w:r w:rsidRPr="00A66F03">
        <w:rPr>
          <w:rFonts w:ascii="Times New Roman" w:hAnsi="Times New Roman" w:cs="Times New Roman"/>
          <w:lang w:val="en-GB"/>
        </w:rPr>
        <w:t xml:space="preserve">n funds: </w:t>
      </w:r>
    </w:p>
    <w:p w14:paraId="1E34CF3E" w14:textId="77777777" w:rsidR="00034463" w:rsidRPr="00A66F03" w:rsidRDefault="00976636" w:rsidP="00B72629">
      <w:pPr>
        <w:pStyle w:val="Odstavekseznama"/>
        <w:numPr>
          <w:ilvl w:val="0"/>
          <w:numId w:val="3"/>
        </w:numPr>
        <w:spacing w:after="0" w:line="276" w:lineRule="auto"/>
        <w:rPr>
          <w:rFonts w:ascii="Times New Roman" w:eastAsia="Times New Roman" w:hAnsi="Times New Roman" w:cs="Times New Roman"/>
        </w:rPr>
      </w:pPr>
      <w:r w:rsidRPr="00A66F03">
        <w:rPr>
          <w:rFonts w:ascii="Times New Roman" w:eastAsia="Times New Roman" w:hAnsi="Times New Roman" w:cs="Times New Roman"/>
        </w:rPr>
        <w:t>training and education;</w:t>
      </w:r>
    </w:p>
    <w:p w14:paraId="6AFF3BA3" w14:textId="77777777" w:rsidR="00034463" w:rsidRPr="00A66F03" w:rsidRDefault="00976636" w:rsidP="00B72629">
      <w:pPr>
        <w:pStyle w:val="Odstavekseznama"/>
        <w:numPr>
          <w:ilvl w:val="0"/>
          <w:numId w:val="3"/>
        </w:numPr>
        <w:spacing w:after="0" w:line="276" w:lineRule="auto"/>
        <w:rPr>
          <w:rFonts w:ascii="Times New Roman" w:eastAsia="Times New Roman" w:hAnsi="Times New Roman" w:cs="Times New Roman"/>
        </w:rPr>
      </w:pPr>
      <w:r w:rsidRPr="00A66F03">
        <w:rPr>
          <w:rFonts w:ascii="Times New Roman" w:eastAsia="Times New Roman" w:hAnsi="Times New Roman" w:cs="Times New Roman"/>
        </w:rPr>
        <w:t>study and evaluation;</w:t>
      </w:r>
    </w:p>
    <w:p w14:paraId="5C9FCC4E" w14:textId="77777777" w:rsidR="00034463" w:rsidRPr="00A66F03" w:rsidRDefault="00976636" w:rsidP="00B72629">
      <w:pPr>
        <w:pStyle w:val="Odstavekseznama"/>
        <w:numPr>
          <w:ilvl w:val="0"/>
          <w:numId w:val="3"/>
        </w:numPr>
        <w:spacing w:after="0" w:line="276" w:lineRule="auto"/>
        <w:rPr>
          <w:rFonts w:ascii="Times New Roman" w:eastAsia="Times New Roman" w:hAnsi="Times New Roman" w:cs="Times New Roman"/>
        </w:rPr>
      </w:pPr>
      <w:r w:rsidRPr="00A66F03">
        <w:rPr>
          <w:rFonts w:ascii="Times New Roman" w:eastAsia="Times New Roman" w:hAnsi="Times New Roman" w:cs="Times New Roman"/>
        </w:rPr>
        <w:t>information systems;</w:t>
      </w:r>
    </w:p>
    <w:p w14:paraId="796DC258" w14:textId="77777777" w:rsidR="00034463" w:rsidRPr="00A66F03" w:rsidRDefault="00976636" w:rsidP="00B72629">
      <w:pPr>
        <w:pStyle w:val="Odstavekseznama"/>
        <w:numPr>
          <w:ilvl w:val="0"/>
          <w:numId w:val="3"/>
        </w:numPr>
        <w:spacing w:after="0" w:line="276" w:lineRule="auto"/>
        <w:jc w:val="both"/>
        <w:rPr>
          <w:rFonts w:ascii="Times New Roman" w:hAnsi="Times New Roman" w:cs="Times New Roman"/>
        </w:rPr>
      </w:pPr>
      <w:r w:rsidRPr="00A66F03">
        <w:rPr>
          <w:rFonts w:ascii="Times New Roman" w:eastAsia="Times New Roman" w:hAnsi="Times New Roman" w:cs="Times New Roman"/>
        </w:rPr>
        <w:t xml:space="preserve">communications activities (more detailed in the paragraph below); </w:t>
      </w:r>
    </w:p>
    <w:p w14:paraId="02C5AD66" w14:textId="77777777" w:rsidR="00034463" w:rsidRPr="00A66F03" w:rsidRDefault="00976636" w:rsidP="00B72629">
      <w:pPr>
        <w:pStyle w:val="Odstavekseznama"/>
        <w:numPr>
          <w:ilvl w:val="0"/>
          <w:numId w:val="3"/>
        </w:numPr>
        <w:spacing w:after="0" w:line="276" w:lineRule="auto"/>
        <w:rPr>
          <w:rFonts w:ascii="Times New Roman" w:eastAsia="Times New Roman" w:hAnsi="Times New Roman" w:cs="Times New Roman"/>
        </w:rPr>
      </w:pPr>
      <w:r w:rsidRPr="00A66F03">
        <w:rPr>
          <w:rFonts w:ascii="Times New Roman" w:eastAsia="Times New Roman" w:hAnsi="Times New Roman" w:cs="Times New Roman"/>
        </w:rPr>
        <w:t>the strengthening of administrative and technical capacity for the effective implementation of ESI funds;</w:t>
      </w:r>
    </w:p>
    <w:p w14:paraId="7499C63E" w14:textId="77777777" w:rsidR="00034463" w:rsidRPr="00A66F03" w:rsidRDefault="00976636" w:rsidP="00B72629">
      <w:pPr>
        <w:pStyle w:val="Odstavekseznama"/>
        <w:numPr>
          <w:ilvl w:val="0"/>
          <w:numId w:val="3"/>
        </w:numPr>
        <w:spacing w:after="0" w:line="276" w:lineRule="auto"/>
        <w:rPr>
          <w:rFonts w:ascii="Times New Roman" w:eastAsia="Times New Roman" w:hAnsi="Times New Roman" w:cs="Times New Roman"/>
        </w:rPr>
      </w:pPr>
      <w:r w:rsidRPr="00A66F03">
        <w:rPr>
          <w:rFonts w:ascii="Times New Roman" w:eastAsia="Times New Roman" w:hAnsi="Times New Roman" w:cs="Times New Roman"/>
        </w:rPr>
        <w:t xml:space="preserve">other </w:t>
      </w:r>
      <w:r w:rsidRPr="00A66F03">
        <w:rPr>
          <w:rFonts w:ascii="Times New Roman" w:eastAsia="Times New Roman" w:hAnsi="Times New Roman" w:cs="Times New Roman"/>
        </w:rPr>
        <w:t>support areas to ensure the smooth implementation of European cohesion policy tasks;</w:t>
      </w:r>
    </w:p>
    <w:p w14:paraId="4A572E76" w14:textId="77777777" w:rsidR="00034463" w:rsidRPr="00A66F03" w:rsidRDefault="00976636" w:rsidP="00B72629">
      <w:pPr>
        <w:pStyle w:val="Odstavekseznama"/>
        <w:numPr>
          <w:ilvl w:val="0"/>
          <w:numId w:val="3"/>
        </w:numPr>
        <w:spacing w:after="0" w:line="276" w:lineRule="auto"/>
        <w:jc w:val="both"/>
        <w:rPr>
          <w:rFonts w:ascii="Times New Roman" w:eastAsia="Times New Roman" w:hAnsi="Times New Roman" w:cs="Times New Roman"/>
        </w:rPr>
      </w:pPr>
      <w:r w:rsidRPr="00A66F03">
        <w:rPr>
          <w:rFonts w:ascii="Times New Roman" w:eastAsia="Times New Roman" w:hAnsi="Times New Roman" w:cs="Times New Roman"/>
        </w:rPr>
        <w:t>support areas for actions designed to strengthen the capacity of all actors involved in the use of European cohesion policy funds for the effective management and use of t</w:t>
      </w:r>
      <w:r w:rsidRPr="00A66F03">
        <w:rPr>
          <w:rFonts w:ascii="Times New Roman" w:eastAsia="Times New Roman" w:hAnsi="Times New Roman" w:cs="Times New Roman"/>
        </w:rPr>
        <w:t>he funds;</w:t>
      </w:r>
    </w:p>
    <w:p w14:paraId="0D9E520B" w14:textId="77777777" w:rsidR="00034463" w:rsidRPr="00A66F03" w:rsidRDefault="00976636" w:rsidP="00B72629">
      <w:pPr>
        <w:pStyle w:val="Odstavekseznama"/>
        <w:numPr>
          <w:ilvl w:val="0"/>
          <w:numId w:val="3"/>
        </w:numPr>
        <w:spacing w:after="0" w:line="276" w:lineRule="auto"/>
        <w:jc w:val="both"/>
        <w:rPr>
          <w:rFonts w:ascii="Times New Roman" w:eastAsia="Times New Roman" w:hAnsi="Times New Roman" w:cs="Times New Roman"/>
        </w:rPr>
      </w:pPr>
      <w:r w:rsidRPr="00A66F03">
        <w:rPr>
          <w:rFonts w:ascii="Times New Roman" w:eastAsia="Times New Roman" w:hAnsi="Times New Roman" w:cs="Times New Roman"/>
        </w:rPr>
        <w:t>other costs incurred on the basis of ‘ad hoc’ needs during the implementation of the programming period, actions relating to previous and subsequent programming periods that are necessary for the effective implementation of European cohesion poli</w:t>
      </w:r>
      <w:r w:rsidRPr="00A66F03">
        <w:rPr>
          <w:rFonts w:ascii="Times New Roman" w:eastAsia="Times New Roman" w:hAnsi="Times New Roman" w:cs="Times New Roman"/>
        </w:rPr>
        <w:t>cy, and the costs necessary to ensure synergies and complementarity between different sources of funding, chiefly in relation to the European territorial cooperation objective and the areas to be financed by the EAFRD and the EMFAF, as well as the resource</w:t>
      </w:r>
      <w:r w:rsidRPr="00A66F03">
        <w:rPr>
          <w:rFonts w:ascii="Times New Roman" w:eastAsia="Times New Roman" w:hAnsi="Times New Roman" w:cs="Times New Roman"/>
        </w:rPr>
        <w:t>s under the RRP and the resources to finance the Just Transition plans (Just Transition Fund, Just Transition Mechanism).</w:t>
      </w:r>
    </w:p>
    <w:p w14:paraId="0DBE1610" w14:textId="77777777" w:rsidR="005F6B29" w:rsidRPr="00A66F03" w:rsidRDefault="005F6B29" w:rsidP="00B72629">
      <w:pPr>
        <w:pStyle w:val="Odstavekseznama"/>
        <w:spacing w:after="0" w:line="276" w:lineRule="auto"/>
        <w:jc w:val="both"/>
        <w:rPr>
          <w:rFonts w:ascii="Times New Roman" w:eastAsia="Times New Roman" w:hAnsi="Times New Roman" w:cs="Times New Roman"/>
        </w:rPr>
      </w:pPr>
    </w:p>
    <w:p w14:paraId="506121C7" w14:textId="77777777" w:rsidR="005F6B29" w:rsidRPr="00A66F03" w:rsidRDefault="00976636" w:rsidP="00B72629">
      <w:pPr>
        <w:spacing w:after="0" w:line="276" w:lineRule="auto"/>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t xml:space="preserve">Technical assistance will also be used to finance activities that are carried out outside the area of eligibility insofar as these activities prove beneficial for the eligible area (e.g. training abroad, exchange of best practices, etc.). </w:t>
      </w:r>
    </w:p>
    <w:p w14:paraId="3959B173" w14:textId="77777777" w:rsidR="005F6B29" w:rsidRPr="00A66F03" w:rsidRDefault="005F6B29" w:rsidP="00B72629">
      <w:pPr>
        <w:spacing w:after="0" w:line="276" w:lineRule="auto"/>
        <w:jc w:val="both"/>
        <w:rPr>
          <w:rFonts w:ascii="Times New Roman" w:eastAsia="Times New Roman" w:hAnsi="Times New Roman" w:cs="Times New Roman"/>
          <w:lang w:val="en-GB"/>
        </w:rPr>
      </w:pPr>
    </w:p>
    <w:p w14:paraId="40F960AB" w14:textId="77777777" w:rsidR="005F6B29" w:rsidRPr="00A66F03" w:rsidRDefault="00976636" w:rsidP="00B72629">
      <w:pPr>
        <w:spacing w:after="0" w:line="276" w:lineRule="auto"/>
        <w:jc w:val="both"/>
        <w:rPr>
          <w:rFonts w:ascii="Times New Roman" w:eastAsia="Times New Roman" w:hAnsi="Times New Roman" w:cs="Times New Roman"/>
          <w:lang w:val="en-GB"/>
        </w:rPr>
      </w:pPr>
      <w:r w:rsidRPr="00A66F03">
        <w:rPr>
          <w:rFonts w:ascii="Times New Roman" w:eastAsia="Times New Roman" w:hAnsi="Times New Roman" w:cs="Times New Roman"/>
          <w:lang w:val="en-GB"/>
        </w:rPr>
        <w:t xml:space="preserve">The funding of </w:t>
      </w:r>
      <w:r w:rsidRPr="00A66F03">
        <w:rPr>
          <w:rFonts w:ascii="Times New Roman" w:eastAsia="Times New Roman" w:hAnsi="Times New Roman" w:cs="Times New Roman"/>
          <w:lang w:val="en-GB"/>
        </w:rPr>
        <w:t>support activities (financing of secretariats, project preparation, etc.) for content for other entities (businesses, NGOs, social partners, other civil society organisations, etc.) with a view to improving administrative capacity will, as a rule, come fro</w:t>
      </w:r>
      <w:r w:rsidRPr="00A66F03">
        <w:rPr>
          <w:rFonts w:ascii="Times New Roman" w:eastAsia="Times New Roman" w:hAnsi="Times New Roman" w:cs="Times New Roman"/>
          <w:lang w:val="en-GB"/>
        </w:rPr>
        <w:t>m substantive policy objectives and specific objectives (and not separately from technical assistance).</w:t>
      </w:r>
    </w:p>
    <w:p w14:paraId="39FE5C6F" w14:textId="77777777" w:rsidR="005F6B29" w:rsidRPr="00A66F03" w:rsidRDefault="005F6B29" w:rsidP="00B72629">
      <w:pPr>
        <w:spacing w:after="0" w:line="276" w:lineRule="auto"/>
        <w:jc w:val="both"/>
        <w:rPr>
          <w:rFonts w:ascii="Times New Roman" w:eastAsia="Times New Roman" w:hAnsi="Times New Roman" w:cs="Times New Roman"/>
          <w:lang w:val="en-GB"/>
        </w:rPr>
      </w:pPr>
    </w:p>
    <w:p w14:paraId="6E2CDFC5" w14:textId="77777777" w:rsidR="005F6B29" w:rsidRPr="00A66F03" w:rsidRDefault="00976636" w:rsidP="00B72629">
      <w:pPr>
        <w:shd w:val="clear" w:color="auto" w:fill="FFFFFF"/>
        <w:spacing w:after="0" w:line="276" w:lineRule="auto"/>
        <w:jc w:val="both"/>
        <w:rPr>
          <w:rFonts w:ascii="Times New Roman" w:eastAsia="Times New Roman" w:hAnsi="Times New Roman" w:cs="Times New Roman"/>
          <w:b/>
          <w:bCs/>
          <w:color w:val="5B9BD5" w:themeColor="accent1"/>
          <w:sz w:val="27"/>
          <w:szCs w:val="27"/>
          <w:lang w:val="en-GB"/>
        </w:rPr>
      </w:pPr>
      <w:r w:rsidRPr="00A66F03">
        <w:rPr>
          <w:rFonts w:ascii="Times New Roman" w:eastAsia="Times New Roman" w:hAnsi="Times New Roman" w:cs="Times New Roman"/>
          <w:lang w:val="en-GB"/>
        </w:rPr>
        <w:t>Each fund may support actions/areas of technical assistance eligible under any other fund.</w:t>
      </w:r>
    </w:p>
    <w:p w14:paraId="4A91736A" w14:textId="77777777" w:rsidR="005F6B29" w:rsidRPr="00A66F03" w:rsidRDefault="005F6B29" w:rsidP="00B72629">
      <w:pPr>
        <w:autoSpaceDE w:val="0"/>
        <w:autoSpaceDN w:val="0"/>
        <w:adjustRightInd w:val="0"/>
        <w:spacing w:after="0" w:line="276" w:lineRule="auto"/>
        <w:rPr>
          <w:rFonts w:ascii="Times New Roman" w:eastAsia="Times New Roman" w:hAnsi="Times New Roman" w:cs="Times New Roman"/>
          <w:b/>
          <w:lang w:val="en-GB"/>
        </w:rPr>
      </w:pPr>
    </w:p>
    <w:p w14:paraId="4905843F" w14:textId="77777777" w:rsidR="005F6B29" w:rsidRPr="00A66F03" w:rsidRDefault="00976636" w:rsidP="00B72629">
      <w:pPr>
        <w:autoSpaceDE w:val="0"/>
        <w:autoSpaceDN w:val="0"/>
        <w:adjustRightInd w:val="0"/>
        <w:spacing w:after="0" w:line="276" w:lineRule="auto"/>
        <w:rPr>
          <w:rFonts w:ascii="Times New Roman" w:hAnsi="Times New Roman" w:cs="Times New Roman"/>
          <w:color w:val="000000"/>
          <w:lang w:val="en-GB"/>
        </w:rPr>
      </w:pPr>
      <w:r w:rsidRPr="00A66F03">
        <w:rPr>
          <w:rFonts w:ascii="Times New Roman" w:eastAsia="Times New Roman" w:hAnsi="Times New Roman" w:cs="Times New Roman"/>
          <w:b/>
          <w:bCs/>
          <w:lang w:val="en-GB"/>
        </w:rPr>
        <w:t>Communication activities</w:t>
      </w:r>
    </w:p>
    <w:p w14:paraId="73AF3D73" w14:textId="77777777" w:rsidR="005F6B29" w:rsidRPr="00A66F03" w:rsidRDefault="00976636" w:rsidP="00B72629">
      <w:pPr>
        <w:autoSpaceDE w:val="0"/>
        <w:autoSpaceDN w:val="0"/>
        <w:adjustRightInd w:val="0"/>
        <w:spacing w:after="0" w:line="276" w:lineRule="auto"/>
        <w:rPr>
          <w:rFonts w:ascii="Times New Roman" w:hAnsi="Times New Roman" w:cs="Times New Roman"/>
          <w:color w:val="000000"/>
          <w:lang w:val="en-GB"/>
        </w:rPr>
      </w:pPr>
      <w:r w:rsidRPr="00A66F03">
        <w:rPr>
          <w:rFonts w:ascii="Times New Roman" w:hAnsi="Times New Roman" w:cs="Times New Roman"/>
          <w:color w:val="000000"/>
          <w:lang w:val="en-GB"/>
        </w:rPr>
        <w:t xml:space="preserve">Slovenia will implement the visibility, transparency and communication activities for the ESI funds in accordance with the provisions of Articles 46–50 of Regulation (EU) 2021/1060. </w:t>
      </w:r>
    </w:p>
    <w:p w14:paraId="24D55971" w14:textId="77777777" w:rsidR="005F6B29" w:rsidRPr="00A66F03" w:rsidRDefault="00976636" w:rsidP="00294B2B">
      <w:pPr>
        <w:autoSpaceDE w:val="0"/>
        <w:autoSpaceDN w:val="0"/>
        <w:adjustRightInd w:val="0"/>
        <w:spacing w:after="0" w:line="276" w:lineRule="auto"/>
        <w:jc w:val="both"/>
        <w:rPr>
          <w:rFonts w:ascii="Times New Roman" w:hAnsi="Times New Roman" w:cs="Times New Roman"/>
          <w:color w:val="000000"/>
          <w:lang w:val="en-GB"/>
        </w:rPr>
      </w:pPr>
      <w:r w:rsidRPr="00A66F03">
        <w:rPr>
          <w:rFonts w:ascii="Times New Roman" w:hAnsi="Times New Roman" w:cs="Times New Roman"/>
          <w:color w:val="000000"/>
          <w:lang w:val="en-GB"/>
        </w:rPr>
        <w:t>Activities will be carried out in a coordinated and targeted manner throu</w:t>
      </w:r>
      <w:r w:rsidRPr="00A66F03">
        <w:rPr>
          <w:rFonts w:ascii="Times New Roman" w:hAnsi="Times New Roman" w:cs="Times New Roman"/>
          <w:color w:val="000000"/>
          <w:lang w:val="en-GB"/>
        </w:rPr>
        <w:t>gh the INFORM-SI National Communication Network, which comprises programming communications officers of all ESI funds, including Interreg programmes, and communications officers at intermediate bodies and cohesion regions, with the operation of the network</w:t>
      </w:r>
      <w:r w:rsidRPr="00A66F03">
        <w:rPr>
          <w:rFonts w:ascii="Times New Roman" w:hAnsi="Times New Roman" w:cs="Times New Roman"/>
          <w:color w:val="000000"/>
          <w:lang w:val="en-GB"/>
        </w:rPr>
        <w:t xml:space="preserve"> being steered by the national communications coordinator. </w:t>
      </w:r>
    </w:p>
    <w:p w14:paraId="27D516D9" w14:textId="77777777" w:rsidR="005F6B29" w:rsidRPr="00A66F03" w:rsidRDefault="00976636" w:rsidP="00B72629">
      <w:pPr>
        <w:spacing w:after="0" w:line="276" w:lineRule="auto"/>
        <w:jc w:val="both"/>
        <w:rPr>
          <w:rFonts w:ascii="Times New Roman" w:eastAsia="Times New Roman" w:hAnsi="Times New Roman" w:cs="Times New Roman"/>
          <w:lang w:val="en-GB"/>
        </w:rPr>
      </w:pPr>
      <w:r w:rsidRPr="00A66F03">
        <w:rPr>
          <w:rFonts w:ascii="Times New Roman" w:hAnsi="Times New Roman" w:cs="Times New Roman"/>
          <w:color w:val="000000"/>
          <w:lang w:val="en-GB"/>
        </w:rPr>
        <w:t>The national INFORM-Sl network will meet regularly, at least twice a year, and sometimes with the participation of other stakeholders (European Commission Representation, European Parliament Repre</w:t>
      </w:r>
      <w:r w:rsidRPr="00A66F03">
        <w:rPr>
          <w:rFonts w:ascii="Times New Roman" w:hAnsi="Times New Roman" w:cs="Times New Roman"/>
          <w:color w:val="000000"/>
          <w:lang w:val="en-GB"/>
        </w:rPr>
        <w:t>sentation in Slovenia, Europe Direct points, RRF Communicators and other programmes). Communication of ESI funds will take place through common communication channels: the revamped evropskasredstva.si portal and social networks (e.g. Facebook, Instagram an</w:t>
      </w:r>
      <w:r w:rsidRPr="00A66F03">
        <w:rPr>
          <w:rFonts w:ascii="Times New Roman" w:hAnsi="Times New Roman" w:cs="Times New Roman"/>
          <w:color w:val="000000"/>
          <w:lang w:val="en-GB"/>
        </w:rPr>
        <w:t xml:space="preserve">d LinkedIn). Particular </w:t>
      </w:r>
      <w:r w:rsidRPr="00A66F03">
        <w:rPr>
          <w:rFonts w:ascii="Times New Roman" w:hAnsi="Times New Roman" w:cs="Times New Roman"/>
          <w:color w:val="000000"/>
          <w:lang w:val="en-GB"/>
        </w:rPr>
        <w:lastRenderedPageBreak/>
        <w:t xml:space="preserve">attention will be paid in this regard to the green transition and the blue economy, taking into account the guidelines contained in the European Commission Communication for a Sustainable Blue Economy. The National network will use </w:t>
      </w:r>
      <w:r w:rsidRPr="00A66F03">
        <w:rPr>
          <w:rFonts w:ascii="Times New Roman" w:hAnsi="Times New Roman" w:cs="Times New Roman"/>
          <w:color w:val="000000"/>
          <w:lang w:val="en-GB"/>
        </w:rPr>
        <w:t>the national communication strategy for its operation and for the operationalisation of the implementation of the sectoral annual communication plans. The first phase will focus on communicating and providing information on opportunities of the new program</w:t>
      </w:r>
      <w:r w:rsidRPr="00A66F03">
        <w:rPr>
          <w:rFonts w:ascii="Times New Roman" w:hAnsi="Times New Roman" w:cs="Times New Roman"/>
          <w:color w:val="000000"/>
          <w:lang w:val="en-GB"/>
        </w:rPr>
        <w:t>ming period and the second phase on ‘good story ambassadors’ for the projects that have been implemented.</w:t>
      </w:r>
    </w:p>
    <w:p w14:paraId="34DA51A8" w14:textId="77777777" w:rsidR="00182468" w:rsidRPr="00A66F03" w:rsidRDefault="00182468" w:rsidP="00B72629">
      <w:pPr>
        <w:autoSpaceDE w:val="0"/>
        <w:autoSpaceDN w:val="0"/>
        <w:adjustRightInd w:val="0"/>
        <w:spacing w:after="0" w:line="276" w:lineRule="auto"/>
        <w:rPr>
          <w:rFonts w:ascii="Times New Roman" w:hAnsi="Times New Roman" w:cs="Times New Roman"/>
          <w:color w:val="000000"/>
          <w:sz w:val="20"/>
          <w:szCs w:val="20"/>
          <w:lang w:val="en-GB"/>
        </w:rPr>
      </w:pPr>
    </w:p>
    <w:p w14:paraId="367B772B" w14:textId="77777777" w:rsidR="00D4364D" w:rsidRPr="00A66F03" w:rsidRDefault="00976636" w:rsidP="00182468">
      <w:pPr>
        <w:autoSpaceDE w:val="0"/>
        <w:autoSpaceDN w:val="0"/>
        <w:adjustRightInd w:val="0"/>
        <w:spacing w:after="0" w:line="276" w:lineRule="auto"/>
        <w:jc w:val="both"/>
        <w:rPr>
          <w:rFonts w:ascii="Times New Roman" w:hAnsi="Times New Roman" w:cs="Times New Roman"/>
          <w:color w:val="000000"/>
          <w:lang w:val="en-GB"/>
        </w:rPr>
      </w:pPr>
      <w:r w:rsidRPr="00A66F03">
        <w:rPr>
          <w:rFonts w:ascii="Times New Roman" w:hAnsi="Times New Roman" w:cs="Times New Roman"/>
          <w:color w:val="000000"/>
          <w:lang w:val="en-GB"/>
        </w:rPr>
        <w:t>The e-MA information system, which Slovenia uses for the implementation of ECP 2014–2020, will be upgraded in line with changes to EU legislation and</w:t>
      </w:r>
      <w:r w:rsidRPr="00A66F03">
        <w:rPr>
          <w:rFonts w:ascii="Times New Roman" w:hAnsi="Times New Roman" w:cs="Times New Roman"/>
          <w:color w:val="000000"/>
          <w:lang w:val="en-GB"/>
        </w:rPr>
        <w:t xml:space="preserve"> optimised to ensure smooth implementation of ECP 2021–2027. Upgrading and optimisation procedures are already under way. </w:t>
      </w:r>
    </w:p>
    <w:p w14:paraId="39977DFE" w14:textId="77777777" w:rsidR="00362E9B" w:rsidRPr="00A66F03" w:rsidRDefault="00362E9B" w:rsidP="00B72629">
      <w:pPr>
        <w:shd w:val="clear" w:color="auto" w:fill="FFFFFF"/>
        <w:spacing w:after="0" w:line="276" w:lineRule="auto"/>
        <w:jc w:val="both"/>
        <w:rPr>
          <w:rFonts w:ascii="Times New Roman" w:eastAsia="Times New Roman" w:hAnsi="Times New Roman" w:cs="Times New Roman"/>
          <w:b/>
          <w:bCs/>
          <w:color w:val="5B9BD5" w:themeColor="accent1"/>
          <w:sz w:val="27"/>
          <w:szCs w:val="27"/>
          <w:lang w:val="en-GB"/>
        </w:rPr>
      </w:pPr>
    </w:p>
    <w:p w14:paraId="03C95D28" w14:textId="77777777" w:rsidR="00A76FF9" w:rsidRPr="00A66F03" w:rsidRDefault="00976636" w:rsidP="00B72629">
      <w:pPr>
        <w:pStyle w:val="Naslov1"/>
        <w:spacing w:before="0" w:line="276" w:lineRule="auto"/>
        <w:rPr>
          <w:rFonts w:eastAsia="Times New Roman" w:cs="Times New Roman"/>
          <w:lang w:val="en-GB"/>
        </w:rPr>
      </w:pPr>
      <w:bookmarkStart w:id="34" w:name="_Toc115336024"/>
      <w:r w:rsidRPr="00A66F03">
        <w:rPr>
          <w:rFonts w:eastAsia="Times New Roman" w:cs="Times New Roman"/>
          <w:bCs/>
          <w:lang w:val="en-GB"/>
        </w:rPr>
        <w:t>6.   Thematic concentration</w:t>
      </w:r>
      <w:bookmarkEnd w:id="34"/>
    </w:p>
    <w:p w14:paraId="5F077FE0" w14:textId="77777777" w:rsidR="00A76FF9" w:rsidRPr="00A66F03" w:rsidRDefault="00A76FF9" w:rsidP="00B72629">
      <w:pPr>
        <w:shd w:val="clear" w:color="auto" w:fill="FFFFFF"/>
        <w:spacing w:after="0" w:line="276" w:lineRule="auto"/>
        <w:jc w:val="both"/>
        <w:rPr>
          <w:rFonts w:ascii="Times New Roman" w:eastAsia="Times New Roman" w:hAnsi="Times New Roman" w:cs="Times New Roman"/>
          <w:bCs/>
          <w:color w:val="5B9BD5" w:themeColor="accent1"/>
          <w:sz w:val="27"/>
          <w:szCs w:val="27"/>
          <w:lang w:val="en-GB"/>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952"/>
        <w:gridCol w:w="7104"/>
      </w:tblGrid>
      <w:tr w:rsidR="00143DBE" w:rsidRPr="00A66F03" w14:paraId="47CE758E" w14:textId="77777777" w:rsidTr="005A428A">
        <w:tc>
          <w:tcPr>
            <w:tcW w:w="0" w:type="auto"/>
            <w:vMerge w:val="restart"/>
            <w:tcBorders>
              <w:top w:val="single" w:sz="6" w:space="0" w:color="000000"/>
              <w:left w:val="single" w:sz="6" w:space="0" w:color="000000"/>
              <w:bottom w:val="single" w:sz="4" w:space="0" w:color="auto"/>
              <w:right w:val="single" w:sz="6" w:space="0" w:color="000000"/>
            </w:tcBorders>
            <w:shd w:val="clear" w:color="auto" w:fill="auto"/>
            <w:hideMark/>
          </w:tcPr>
          <w:p w14:paraId="3DC1A4FE" w14:textId="77777777" w:rsidR="00A76FF9" w:rsidRPr="00A66F03" w:rsidRDefault="00976636" w:rsidP="00B72629">
            <w:pPr>
              <w:spacing w:after="0" w:line="276" w:lineRule="auto"/>
              <w:rPr>
                <w:rFonts w:ascii="Times New Roman" w:eastAsia="Times New Roman" w:hAnsi="Times New Roman" w:cs="Times New Roman"/>
                <w:lang w:val="en-GB"/>
              </w:rPr>
            </w:pPr>
            <w:r w:rsidRPr="00A66F03">
              <w:rPr>
                <w:rFonts w:ascii="Times New Roman" w:eastAsia="Times New Roman" w:hAnsi="Times New Roman" w:cs="Times New Roman"/>
                <w:lang w:val="en-GB"/>
              </w:rPr>
              <w:t>Member State decides to:</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73"/>
              <w:gridCol w:w="6816"/>
            </w:tblGrid>
            <w:tr w:rsidR="00143DBE" w:rsidRPr="00A66F03" w14:paraId="78043850" w14:textId="77777777">
              <w:tc>
                <w:tcPr>
                  <w:tcW w:w="0" w:type="auto"/>
                  <w:shd w:val="clear" w:color="auto" w:fill="auto"/>
                  <w:hideMark/>
                </w:tcPr>
                <w:p w14:paraId="48E37E56" w14:textId="77777777" w:rsidR="00A76FF9" w:rsidRPr="00A66F03" w:rsidRDefault="00976636" w:rsidP="00B72629">
                  <w:pPr>
                    <w:spacing w:after="0" w:line="276" w:lineRule="auto"/>
                    <w:jc w:val="both"/>
                    <w:rPr>
                      <w:rFonts w:ascii="Times New Roman" w:eastAsia="Times New Roman" w:hAnsi="Times New Roman" w:cs="Times New Roman"/>
                      <w:sz w:val="24"/>
                      <w:szCs w:val="24"/>
                      <w:lang w:val="en-GB"/>
                    </w:rPr>
                  </w:pPr>
                  <w:r w:rsidRPr="00A66F03">
                    <w:rPr>
                      <w:rFonts w:ascii="Segoe UI Symbol" w:eastAsia="Times New Roman" w:hAnsi="Segoe UI Symbol" w:cs="Segoe UI Symbol"/>
                      <w:sz w:val="24"/>
                      <w:szCs w:val="24"/>
                      <w:lang w:val="en-GB"/>
                    </w:rPr>
                    <w:t>☐</w:t>
                  </w:r>
                </w:p>
              </w:tc>
              <w:tc>
                <w:tcPr>
                  <w:tcW w:w="0" w:type="auto"/>
                  <w:shd w:val="clear" w:color="auto" w:fill="auto"/>
                  <w:hideMark/>
                </w:tcPr>
                <w:p w14:paraId="5A728FD1" w14:textId="77777777" w:rsidR="00A76FF9" w:rsidRPr="00A66F03" w:rsidRDefault="00976636" w:rsidP="00B72629">
                  <w:pPr>
                    <w:spacing w:after="0" w:line="276" w:lineRule="auto"/>
                    <w:jc w:val="both"/>
                    <w:rPr>
                      <w:rFonts w:ascii="Times New Roman" w:eastAsia="Times New Roman" w:hAnsi="Times New Roman" w:cs="Times New Roman"/>
                      <w:sz w:val="24"/>
                      <w:szCs w:val="24"/>
                      <w:lang w:val="en-GB"/>
                    </w:rPr>
                  </w:pPr>
                  <w:r w:rsidRPr="00A66F03">
                    <w:rPr>
                      <w:rFonts w:ascii="Times New Roman" w:eastAsia="Times New Roman" w:hAnsi="Times New Roman" w:cs="Times New Roman"/>
                      <w:sz w:val="24"/>
                      <w:szCs w:val="24"/>
                      <w:lang w:val="en-GB"/>
                    </w:rPr>
                    <w:t xml:space="preserve">  comply with thematic concentration at national level</w:t>
                  </w:r>
                </w:p>
              </w:tc>
            </w:tr>
          </w:tbl>
          <w:p w14:paraId="54F14AC6" w14:textId="77777777" w:rsidR="00A76FF9" w:rsidRPr="00A66F03" w:rsidRDefault="00A76FF9" w:rsidP="00B72629">
            <w:pPr>
              <w:spacing w:after="0" w:line="276" w:lineRule="auto"/>
              <w:rPr>
                <w:rFonts w:ascii="Times New Roman" w:eastAsia="Times New Roman" w:hAnsi="Times New Roman" w:cs="Times New Roman"/>
                <w:sz w:val="24"/>
                <w:szCs w:val="24"/>
                <w:lang w:val="en-GB"/>
              </w:rPr>
            </w:pPr>
          </w:p>
        </w:tc>
      </w:tr>
      <w:tr w:rsidR="00143DBE" w:rsidRPr="00A66F03" w14:paraId="3F8E56E8" w14:textId="77777777" w:rsidTr="005A428A">
        <w:tc>
          <w:tcPr>
            <w:tcW w:w="0" w:type="auto"/>
            <w:vMerge/>
            <w:tcBorders>
              <w:top w:val="single" w:sz="6" w:space="0" w:color="000000"/>
              <w:left w:val="single" w:sz="6" w:space="0" w:color="000000"/>
              <w:bottom w:val="single" w:sz="4" w:space="0" w:color="auto"/>
              <w:right w:val="single" w:sz="6" w:space="0" w:color="000000"/>
            </w:tcBorders>
            <w:shd w:val="clear" w:color="auto" w:fill="auto"/>
            <w:vAlign w:val="center"/>
            <w:hideMark/>
          </w:tcPr>
          <w:p w14:paraId="5680AA71" w14:textId="77777777" w:rsidR="00A76FF9" w:rsidRPr="00A66F03" w:rsidRDefault="00A76FF9" w:rsidP="00B72629">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7"/>
              <w:gridCol w:w="7082"/>
            </w:tblGrid>
            <w:tr w:rsidR="00143DBE" w:rsidRPr="00A66F03" w14:paraId="6252156C" w14:textId="77777777" w:rsidTr="00EF71BA">
              <w:tc>
                <w:tcPr>
                  <w:tcW w:w="0" w:type="auto"/>
                  <w:shd w:val="clear" w:color="auto" w:fill="000000" w:themeFill="text1"/>
                  <w:hideMark/>
                </w:tcPr>
                <w:p w14:paraId="2117936F" w14:textId="77777777" w:rsidR="00A76FF9" w:rsidRPr="00A66F03" w:rsidRDefault="00A76FF9" w:rsidP="00B72629">
                  <w:pPr>
                    <w:pStyle w:val="Odstavekseznama"/>
                    <w:numPr>
                      <w:ilvl w:val="0"/>
                      <w:numId w:val="20"/>
                    </w:numPr>
                    <w:spacing w:after="0" w:line="276" w:lineRule="auto"/>
                    <w:jc w:val="both"/>
                    <w:rPr>
                      <w:rFonts w:ascii="Times New Roman" w:eastAsia="Times New Roman" w:hAnsi="Times New Roman" w:cs="Times New Roman"/>
                      <w:sz w:val="24"/>
                      <w:szCs w:val="24"/>
                    </w:rPr>
                  </w:pPr>
                </w:p>
              </w:tc>
              <w:tc>
                <w:tcPr>
                  <w:tcW w:w="0" w:type="auto"/>
                  <w:shd w:val="clear" w:color="auto" w:fill="auto"/>
                  <w:hideMark/>
                </w:tcPr>
                <w:p w14:paraId="207FCFC2" w14:textId="77777777" w:rsidR="00A76FF9" w:rsidRPr="00A66F03" w:rsidRDefault="00976636" w:rsidP="00B72629">
                  <w:pPr>
                    <w:pStyle w:val="Odstavekseznama"/>
                    <w:numPr>
                      <w:ilvl w:val="0"/>
                      <w:numId w:val="20"/>
                    </w:numPr>
                    <w:spacing w:after="0" w:line="276" w:lineRule="auto"/>
                    <w:ind w:left="357" w:hanging="357"/>
                    <w:jc w:val="both"/>
                    <w:rPr>
                      <w:rFonts w:ascii="Times New Roman" w:eastAsia="Times New Roman" w:hAnsi="Times New Roman" w:cs="Times New Roman"/>
                      <w:sz w:val="24"/>
                      <w:szCs w:val="24"/>
                    </w:rPr>
                  </w:pPr>
                  <w:r w:rsidRPr="00A66F03">
                    <w:rPr>
                      <w:rFonts w:ascii="Times New Roman" w:eastAsia="Times New Roman" w:hAnsi="Times New Roman" w:cs="Times New Roman"/>
                      <w:sz w:val="24"/>
                      <w:szCs w:val="24"/>
                    </w:rPr>
                    <w:t xml:space="preserve">comply with </w:t>
                  </w:r>
                  <w:r w:rsidRPr="00A66F03">
                    <w:rPr>
                      <w:rFonts w:ascii="Times New Roman" w:eastAsia="Times New Roman" w:hAnsi="Times New Roman" w:cs="Times New Roman"/>
                      <w:sz w:val="24"/>
                      <w:szCs w:val="24"/>
                    </w:rPr>
                    <w:t>thematic concentration at category of region level</w:t>
                  </w:r>
                </w:p>
              </w:tc>
            </w:tr>
          </w:tbl>
          <w:p w14:paraId="020CC92C" w14:textId="77777777" w:rsidR="00A76FF9" w:rsidRPr="00A66F03" w:rsidRDefault="00A76FF9" w:rsidP="00B72629">
            <w:pPr>
              <w:spacing w:after="0" w:line="276" w:lineRule="auto"/>
              <w:rPr>
                <w:rFonts w:ascii="Times New Roman" w:eastAsia="Times New Roman" w:hAnsi="Times New Roman" w:cs="Times New Roman"/>
                <w:sz w:val="24"/>
                <w:szCs w:val="24"/>
                <w:lang w:val="en-GB"/>
              </w:rPr>
            </w:pPr>
          </w:p>
        </w:tc>
      </w:tr>
      <w:tr w:rsidR="00143DBE" w:rsidRPr="00A66F03" w14:paraId="23419756" w14:textId="77777777" w:rsidTr="005A428A">
        <w:tc>
          <w:tcPr>
            <w:tcW w:w="0" w:type="auto"/>
            <w:vMerge/>
            <w:tcBorders>
              <w:top w:val="single" w:sz="6" w:space="0" w:color="000000"/>
              <w:left w:val="single" w:sz="6" w:space="0" w:color="000000"/>
              <w:bottom w:val="single" w:sz="4" w:space="0" w:color="auto"/>
              <w:right w:val="single" w:sz="6" w:space="0" w:color="000000"/>
            </w:tcBorders>
            <w:shd w:val="clear" w:color="auto" w:fill="auto"/>
            <w:vAlign w:val="center"/>
            <w:hideMark/>
          </w:tcPr>
          <w:p w14:paraId="52A8C56B" w14:textId="77777777" w:rsidR="00A76FF9" w:rsidRPr="00A66F03" w:rsidRDefault="00A76FF9" w:rsidP="00B72629">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07"/>
              <w:gridCol w:w="6882"/>
            </w:tblGrid>
            <w:tr w:rsidR="00143DBE" w:rsidRPr="00A66F03" w14:paraId="181CCF34" w14:textId="77777777">
              <w:tc>
                <w:tcPr>
                  <w:tcW w:w="0" w:type="auto"/>
                  <w:shd w:val="clear" w:color="auto" w:fill="auto"/>
                  <w:hideMark/>
                </w:tcPr>
                <w:p w14:paraId="2FAA8120" w14:textId="77777777" w:rsidR="00A76FF9" w:rsidRPr="00A66F03" w:rsidRDefault="00976636" w:rsidP="00B72629">
                  <w:pPr>
                    <w:spacing w:after="0" w:line="276" w:lineRule="auto"/>
                    <w:jc w:val="both"/>
                    <w:rPr>
                      <w:rFonts w:ascii="Times New Roman" w:eastAsia="Times New Roman" w:hAnsi="Times New Roman" w:cs="Times New Roman"/>
                      <w:sz w:val="24"/>
                      <w:szCs w:val="24"/>
                      <w:lang w:val="en-GB"/>
                    </w:rPr>
                  </w:pPr>
                  <w:r w:rsidRPr="00A66F03">
                    <w:rPr>
                      <w:rFonts w:ascii="Segoe UI Symbol" w:eastAsia="Times New Roman" w:hAnsi="Segoe UI Symbol" w:cs="Segoe UI Symbol"/>
                      <w:sz w:val="24"/>
                      <w:szCs w:val="24"/>
                      <w:lang w:val="en-GB"/>
                    </w:rPr>
                    <w:t>☐</w:t>
                  </w:r>
                </w:p>
              </w:tc>
              <w:tc>
                <w:tcPr>
                  <w:tcW w:w="0" w:type="auto"/>
                  <w:shd w:val="clear" w:color="auto" w:fill="auto"/>
                  <w:hideMark/>
                </w:tcPr>
                <w:p w14:paraId="3B2867A4" w14:textId="77777777" w:rsidR="00A76FF9" w:rsidRPr="00A66F03" w:rsidRDefault="00976636" w:rsidP="00B72629">
                  <w:pPr>
                    <w:spacing w:after="0" w:line="276" w:lineRule="auto"/>
                    <w:jc w:val="both"/>
                    <w:rPr>
                      <w:rFonts w:ascii="Times New Roman" w:eastAsia="Times New Roman" w:hAnsi="Times New Roman" w:cs="Times New Roman"/>
                      <w:sz w:val="24"/>
                      <w:szCs w:val="24"/>
                      <w:lang w:val="en-GB"/>
                    </w:rPr>
                  </w:pPr>
                  <w:r w:rsidRPr="00A66F03">
                    <w:rPr>
                      <w:rFonts w:ascii="Times New Roman" w:eastAsia="Times New Roman" w:hAnsi="Times New Roman" w:cs="Times New Roman"/>
                      <w:sz w:val="24"/>
                      <w:szCs w:val="24"/>
                      <w:lang w:val="en-GB"/>
                    </w:rPr>
                    <w:t xml:space="preserve">  take into account Cohesion Fund resources for the purpose of thematic concentration</w:t>
                  </w:r>
                </w:p>
              </w:tc>
            </w:tr>
          </w:tbl>
          <w:p w14:paraId="2445C274" w14:textId="77777777" w:rsidR="00A76FF9" w:rsidRPr="00A66F03" w:rsidRDefault="00A76FF9" w:rsidP="00B72629">
            <w:pPr>
              <w:spacing w:after="0" w:line="276" w:lineRule="auto"/>
              <w:rPr>
                <w:rFonts w:ascii="Times New Roman" w:eastAsia="Times New Roman" w:hAnsi="Times New Roman" w:cs="Times New Roman"/>
                <w:sz w:val="24"/>
                <w:szCs w:val="24"/>
                <w:lang w:val="en-GB"/>
              </w:rPr>
            </w:pPr>
          </w:p>
        </w:tc>
      </w:tr>
    </w:tbl>
    <w:p w14:paraId="265784C0" w14:textId="77777777" w:rsidR="00A76FF9" w:rsidRPr="00A66F03" w:rsidRDefault="00A76FF9" w:rsidP="00B72629">
      <w:pPr>
        <w:shd w:val="clear" w:color="auto" w:fill="FFFFFF"/>
        <w:spacing w:after="0" w:line="276" w:lineRule="auto"/>
        <w:jc w:val="both"/>
        <w:rPr>
          <w:rFonts w:ascii="Times New Roman" w:eastAsia="Times New Roman" w:hAnsi="Times New Roman" w:cs="Times New Roman"/>
          <w:b/>
          <w:bCs/>
          <w:color w:val="444444"/>
          <w:sz w:val="27"/>
          <w:szCs w:val="27"/>
          <w:lang w:val="en-GB"/>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260"/>
        <w:gridCol w:w="3545"/>
        <w:gridCol w:w="3251"/>
      </w:tblGrid>
      <w:tr w:rsidR="00143DBE" w:rsidRPr="00A66F03" w14:paraId="53930216" w14:textId="77777777" w:rsidTr="00A27B47">
        <w:tc>
          <w:tcPr>
            <w:tcW w:w="1248"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068C90AC" w14:textId="77777777" w:rsidR="00A76FF9" w:rsidRPr="00A66F03" w:rsidRDefault="00976636" w:rsidP="00B72629">
            <w:pPr>
              <w:spacing w:after="0" w:line="276" w:lineRule="auto"/>
              <w:rPr>
                <w:rFonts w:ascii="Times New Roman" w:eastAsia="Times New Roman" w:hAnsi="Times New Roman" w:cs="Times New Roman"/>
                <w:lang w:val="en-GB"/>
              </w:rPr>
            </w:pPr>
            <w:r w:rsidRPr="00A66F03">
              <w:rPr>
                <w:rFonts w:ascii="Times New Roman" w:eastAsia="Times New Roman" w:hAnsi="Times New Roman" w:cs="Times New Roman"/>
                <w:lang w:val="en-GB"/>
              </w:rPr>
              <w:t>Member State complies with thematic concentration requirement</w:t>
            </w:r>
          </w:p>
        </w:tc>
        <w:tc>
          <w:tcPr>
            <w:tcW w:w="1957" w:type="pct"/>
            <w:tcBorders>
              <w:top w:val="single" w:sz="6" w:space="0" w:color="000000"/>
              <w:left w:val="single" w:sz="6" w:space="0" w:color="000000"/>
              <w:bottom w:val="single" w:sz="6" w:space="0" w:color="000000"/>
              <w:right w:val="single" w:sz="6" w:space="0" w:color="000000"/>
            </w:tcBorders>
            <w:shd w:val="clear" w:color="auto" w:fill="auto"/>
            <w:hideMark/>
          </w:tcPr>
          <w:p w14:paraId="5996BE92" w14:textId="77777777" w:rsidR="00A91930" w:rsidRPr="00A66F03" w:rsidRDefault="00976636" w:rsidP="00A91930">
            <w:pPr>
              <w:spacing w:after="0" w:line="276" w:lineRule="auto"/>
              <w:rPr>
                <w:rFonts w:ascii="Times New Roman" w:eastAsia="Times New Roman" w:hAnsi="Times New Roman" w:cs="Times New Roman"/>
                <w:lang w:val="en-GB"/>
              </w:rPr>
            </w:pPr>
            <w:r w:rsidRPr="00A66F03">
              <w:rPr>
                <w:rFonts w:ascii="Helv" w:hAnsi="Helv"/>
                <w:color w:val="000000"/>
                <w:sz w:val="20"/>
                <w:szCs w:val="20"/>
                <w:lang w:val="en-GB"/>
              </w:rPr>
              <w:t>31.59</w:t>
            </w:r>
            <w:r w:rsidRPr="00A66F03">
              <w:rPr>
                <w:rFonts w:ascii="Times New Roman" w:hAnsi="Times New Roman"/>
                <w:lang w:val="en-GB"/>
              </w:rPr>
              <w:t>% social inclusion</w:t>
            </w:r>
          </w:p>
          <w:p w14:paraId="0719C7B3" w14:textId="77777777" w:rsidR="00A76FF9" w:rsidRPr="00A66F03" w:rsidRDefault="00976636" w:rsidP="00B72629">
            <w:pPr>
              <w:spacing w:after="0" w:line="276" w:lineRule="auto"/>
              <w:rPr>
                <w:rFonts w:ascii="Times New Roman" w:eastAsia="Times New Roman" w:hAnsi="Times New Roman" w:cs="Times New Roman"/>
                <w:lang w:val="en-GB"/>
              </w:rPr>
            </w:pPr>
            <w:r w:rsidRPr="00A66F03">
              <w:rPr>
                <w:rFonts w:ascii="Times New Roman" w:eastAsia="Times New Roman" w:hAnsi="Times New Roman" w:cs="Times New Roman"/>
                <w:lang w:val="en-GB"/>
              </w:rPr>
              <w:t xml:space="preserve">Programmed under </w:t>
            </w:r>
            <w:r w:rsidRPr="00A66F03">
              <w:rPr>
                <w:rFonts w:ascii="Times New Roman" w:eastAsia="Times New Roman" w:hAnsi="Times New Roman" w:cs="Times New Roman"/>
                <w:lang w:val="en-GB"/>
              </w:rPr>
              <w:t>specific objectives (h)–(l) of Article 4 ESF+ Regulation</w:t>
            </w:r>
          </w:p>
        </w:tc>
        <w:tc>
          <w:tcPr>
            <w:tcW w:w="1795" w:type="pct"/>
            <w:tcBorders>
              <w:top w:val="single" w:sz="6" w:space="0" w:color="000000"/>
              <w:left w:val="single" w:sz="6" w:space="0" w:color="000000"/>
              <w:bottom w:val="single" w:sz="6" w:space="0" w:color="000000"/>
              <w:right w:val="single" w:sz="6" w:space="0" w:color="000000"/>
            </w:tcBorders>
            <w:shd w:val="clear" w:color="auto" w:fill="auto"/>
            <w:hideMark/>
          </w:tcPr>
          <w:p w14:paraId="030EDDA5" w14:textId="77777777" w:rsidR="00A76FF9" w:rsidRPr="00A66F03" w:rsidRDefault="00976636" w:rsidP="00B72629">
            <w:pPr>
              <w:spacing w:after="0" w:line="276" w:lineRule="auto"/>
              <w:rPr>
                <w:rFonts w:ascii="Times New Roman" w:eastAsia="Times New Roman" w:hAnsi="Times New Roman" w:cs="Times New Roman"/>
                <w:lang w:val="en-GB"/>
              </w:rPr>
            </w:pPr>
            <w:r w:rsidRPr="00A66F03">
              <w:rPr>
                <w:rFonts w:ascii="Times New Roman" w:eastAsia="Times New Roman" w:hAnsi="Times New Roman" w:cs="Times New Roman"/>
                <w:lang w:val="en-GB"/>
              </w:rPr>
              <w:t>Planned ESF+ programmes</w:t>
            </w:r>
          </w:p>
          <w:p w14:paraId="6C59BE95" w14:textId="77777777" w:rsidR="008C381D" w:rsidRPr="00A66F03" w:rsidRDefault="008C381D" w:rsidP="00B72629">
            <w:pPr>
              <w:spacing w:after="0" w:line="276" w:lineRule="auto"/>
              <w:rPr>
                <w:rFonts w:ascii="Times New Roman" w:eastAsia="Times New Roman" w:hAnsi="Times New Roman" w:cs="Times New Roman"/>
                <w:lang w:val="en-GB"/>
              </w:rPr>
            </w:pPr>
          </w:p>
          <w:p w14:paraId="49F14A73" w14:textId="77777777" w:rsidR="008C381D" w:rsidRPr="00A66F03" w:rsidRDefault="00976636" w:rsidP="00B72629">
            <w:pPr>
              <w:spacing w:after="0" w:line="276" w:lineRule="auto"/>
              <w:rPr>
                <w:rFonts w:ascii="Times New Roman" w:eastAsia="Times New Roman" w:hAnsi="Times New Roman" w:cs="Times New Roman"/>
                <w:lang w:val="en-GB"/>
              </w:rPr>
            </w:pPr>
            <w:r w:rsidRPr="00A66F03">
              <w:rPr>
                <w:rFonts w:ascii="Times New Roman" w:eastAsia="Times New Roman" w:hAnsi="Times New Roman" w:cs="Times New Roman"/>
                <w:lang w:val="en-GB"/>
              </w:rPr>
              <w:t>1 ECP programme 2021–2027</w:t>
            </w:r>
          </w:p>
          <w:p w14:paraId="48C1F2F8" w14:textId="77777777" w:rsidR="00A76FF9" w:rsidRPr="00A66F03" w:rsidRDefault="00A76FF9" w:rsidP="00B72629">
            <w:pPr>
              <w:spacing w:after="0" w:line="276" w:lineRule="auto"/>
              <w:rPr>
                <w:rFonts w:ascii="Times New Roman" w:eastAsia="Times New Roman" w:hAnsi="Times New Roman" w:cs="Times New Roman"/>
                <w:lang w:val="en-GB"/>
              </w:rPr>
            </w:pPr>
          </w:p>
        </w:tc>
      </w:tr>
      <w:tr w:rsidR="00143DBE" w:rsidRPr="00A66F03" w14:paraId="56906329" w14:textId="77777777" w:rsidTr="00A27B47">
        <w:tc>
          <w:tcPr>
            <w:tcW w:w="1248"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9C3F8B5" w14:textId="77777777" w:rsidR="00A76FF9" w:rsidRPr="00A66F03" w:rsidRDefault="00A76FF9" w:rsidP="00B72629">
            <w:pPr>
              <w:spacing w:after="0" w:line="276" w:lineRule="auto"/>
              <w:rPr>
                <w:rFonts w:ascii="Times New Roman" w:eastAsia="Times New Roman" w:hAnsi="Times New Roman" w:cs="Times New Roman"/>
                <w:lang w:val="en-GB"/>
              </w:rPr>
            </w:pPr>
          </w:p>
        </w:tc>
        <w:tc>
          <w:tcPr>
            <w:tcW w:w="1957" w:type="pct"/>
            <w:tcBorders>
              <w:top w:val="single" w:sz="6" w:space="0" w:color="000000"/>
              <w:left w:val="single" w:sz="6" w:space="0" w:color="000000"/>
              <w:bottom w:val="single" w:sz="6" w:space="0" w:color="000000"/>
              <w:right w:val="single" w:sz="6" w:space="0" w:color="000000"/>
            </w:tcBorders>
            <w:shd w:val="clear" w:color="auto" w:fill="auto"/>
            <w:hideMark/>
          </w:tcPr>
          <w:p w14:paraId="7E29151C" w14:textId="77777777" w:rsidR="00A76FF9" w:rsidRPr="00A66F03" w:rsidRDefault="00976636" w:rsidP="00B72629">
            <w:pPr>
              <w:spacing w:after="0" w:line="276" w:lineRule="auto"/>
              <w:rPr>
                <w:rFonts w:ascii="Times New Roman" w:eastAsia="Times New Roman" w:hAnsi="Times New Roman" w:cs="Times New Roman"/>
                <w:lang w:val="en-GB"/>
              </w:rPr>
            </w:pPr>
            <w:r w:rsidRPr="00A66F03">
              <w:rPr>
                <w:rFonts w:ascii="Helv" w:hAnsi="Helv"/>
                <w:color w:val="000000"/>
                <w:sz w:val="20"/>
                <w:szCs w:val="20"/>
                <w:lang w:val="en-GB"/>
              </w:rPr>
              <w:t>4.42</w:t>
            </w:r>
            <w:r w:rsidRPr="00A66F03">
              <w:rPr>
                <w:rFonts w:ascii="Times New Roman" w:hAnsi="Times New Roman"/>
                <w:lang w:val="en-GB"/>
              </w:rPr>
              <w:t>% support to the most deprived</w:t>
            </w:r>
          </w:p>
          <w:p w14:paraId="091BDFD1" w14:textId="77777777" w:rsidR="00A76FF9" w:rsidRPr="00A66F03" w:rsidRDefault="00976636" w:rsidP="00B72629">
            <w:pPr>
              <w:spacing w:after="0" w:line="276" w:lineRule="auto"/>
              <w:rPr>
                <w:rFonts w:ascii="Times New Roman" w:eastAsia="Times New Roman" w:hAnsi="Times New Roman" w:cs="Times New Roman"/>
                <w:lang w:val="en-GB"/>
              </w:rPr>
            </w:pPr>
            <w:r w:rsidRPr="00A66F03">
              <w:rPr>
                <w:rFonts w:ascii="Times New Roman" w:eastAsia="Times New Roman" w:hAnsi="Times New Roman" w:cs="Times New Roman"/>
                <w:lang w:val="en-GB"/>
              </w:rPr>
              <w:t>Programmed under specific objective (m) and in duly justified cases (l) of Article 4 ESF+ Regulation</w:t>
            </w:r>
          </w:p>
        </w:tc>
        <w:tc>
          <w:tcPr>
            <w:tcW w:w="1795" w:type="pct"/>
            <w:tcBorders>
              <w:top w:val="single" w:sz="6" w:space="0" w:color="000000"/>
              <w:left w:val="single" w:sz="6" w:space="0" w:color="000000"/>
              <w:bottom w:val="single" w:sz="6" w:space="0" w:color="000000"/>
              <w:right w:val="single" w:sz="6" w:space="0" w:color="000000"/>
            </w:tcBorders>
            <w:shd w:val="clear" w:color="auto" w:fill="auto"/>
            <w:hideMark/>
          </w:tcPr>
          <w:p w14:paraId="0D660628" w14:textId="77777777" w:rsidR="00A76FF9" w:rsidRPr="00A66F03" w:rsidRDefault="00976636" w:rsidP="00B72629">
            <w:pPr>
              <w:spacing w:after="0" w:line="276" w:lineRule="auto"/>
              <w:rPr>
                <w:rFonts w:ascii="Times New Roman" w:eastAsia="Times New Roman" w:hAnsi="Times New Roman" w:cs="Times New Roman"/>
                <w:lang w:val="en-GB"/>
              </w:rPr>
            </w:pPr>
            <w:r w:rsidRPr="00A66F03">
              <w:rPr>
                <w:rFonts w:ascii="Times New Roman" w:eastAsia="Times New Roman" w:hAnsi="Times New Roman" w:cs="Times New Roman"/>
                <w:lang w:val="en-GB"/>
              </w:rPr>
              <w:t xml:space="preserve">Planned </w:t>
            </w:r>
            <w:r w:rsidRPr="00A66F03">
              <w:rPr>
                <w:rFonts w:ascii="Times New Roman" w:eastAsia="Times New Roman" w:hAnsi="Times New Roman" w:cs="Times New Roman"/>
                <w:lang w:val="en-GB"/>
              </w:rPr>
              <w:t>ESF+ programmes</w:t>
            </w:r>
          </w:p>
          <w:p w14:paraId="1E06ECF9" w14:textId="77777777" w:rsidR="008C381D" w:rsidRPr="00A66F03" w:rsidRDefault="008C381D" w:rsidP="00B72629">
            <w:pPr>
              <w:spacing w:after="0" w:line="276" w:lineRule="auto"/>
              <w:rPr>
                <w:rFonts w:ascii="Times New Roman" w:eastAsia="Times New Roman" w:hAnsi="Times New Roman" w:cs="Times New Roman"/>
                <w:lang w:val="en-GB"/>
              </w:rPr>
            </w:pPr>
          </w:p>
          <w:p w14:paraId="0ABDC807" w14:textId="77777777" w:rsidR="008C381D" w:rsidRPr="00A66F03" w:rsidRDefault="00976636" w:rsidP="00B72629">
            <w:pPr>
              <w:spacing w:after="0" w:line="276" w:lineRule="auto"/>
              <w:rPr>
                <w:rFonts w:ascii="Times New Roman" w:eastAsia="Times New Roman" w:hAnsi="Times New Roman" w:cs="Times New Roman"/>
                <w:lang w:val="en-GB"/>
              </w:rPr>
            </w:pPr>
            <w:r w:rsidRPr="00A66F03">
              <w:rPr>
                <w:rFonts w:ascii="Times New Roman" w:eastAsia="Times New Roman" w:hAnsi="Times New Roman" w:cs="Times New Roman"/>
                <w:lang w:val="en-GB"/>
              </w:rPr>
              <w:t>1 ECP programme 2021–2027</w:t>
            </w:r>
          </w:p>
          <w:p w14:paraId="2DAF7788" w14:textId="77777777" w:rsidR="00570E02" w:rsidRPr="00A66F03" w:rsidRDefault="00570E02" w:rsidP="00B72629">
            <w:pPr>
              <w:spacing w:after="0" w:line="276" w:lineRule="auto"/>
              <w:rPr>
                <w:rFonts w:ascii="Times New Roman" w:eastAsia="Times New Roman" w:hAnsi="Times New Roman" w:cs="Times New Roman"/>
                <w:lang w:val="en-GB"/>
              </w:rPr>
            </w:pPr>
          </w:p>
          <w:p w14:paraId="3F895EB8" w14:textId="77777777" w:rsidR="00570E02" w:rsidRPr="00A66F03" w:rsidRDefault="00976636" w:rsidP="00B72629">
            <w:pPr>
              <w:spacing w:after="0" w:line="276" w:lineRule="auto"/>
              <w:rPr>
                <w:rFonts w:ascii="Times New Roman" w:eastAsia="Times New Roman" w:hAnsi="Times New Roman" w:cs="Times New Roman"/>
                <w:lang w:val="en-GB"/>
              </w:rPr>
            </w:pPr>
            <w:r w:rsidRPr="00A66F03">
              <w:rPr>
                <w:rFonts w:ascii="Times New Roman" w:eastAsia="Times New Roman" w:hAnsi="Times New Roman" w:cs="Times New Roman"/>
                <w:lang w:val="en-GB"/>
              </w:rPr>
              <w:t>2 Programme to Eliminate Material Deprivation in Slovenia 2021–2027 (specific objective m).</w:t>
            </w:r>
          </w:p>
          <w:p w14:paraId="1403892B" w14:textId="77777777" w:rsidR="00570E02" w:rsidRPr="00A66F03" w:rsidRDefault="00570E02" w:rsidP="00B72629">
            <w:pPr>
              <w:spacing w:after="0" w:line="276" w:lineRule="auto"/>
              <w:rPr>
                <w:rFonts w:ascii="Times New Roman" w:eastAsia="Times New Roman" w:hAnsi="Times New Roman" w:cs="Times New Roman"/>
                <w:lang w:val="en-GB"/>
              </w:rPr>
            </w:pPr>
          </w:p>
          <w:p w14:paraId="66B205AB" w14:textId="77777777" w:rsidR="00A76FF9" w:rsidRPr="00A66F03" w:rsidRDefault="00A76FF9" w:rsidP="00B72629">
            <w:pPr>
              <w:spacing w:after="0" w:line="276" w:lineRule="auto"/>
              <w:rPr>
                <w:rFonts w:ascii="Times New Roman" w:eastAsia="Times New Roman" w:hAnsi="Times New Roman" w:cs="Times New Roman"/>
                <w:lang w:val="en-GB"/>
              </w:rPr>
            </w:pPr>
          </w:p>
        </w:tc>
      </w:tr>
      <w:tr w:rsidR="00143DBE" w:rsidRPr="00A66F03" w14:paraId="26D2D8B8" w14:textId="77777777" w:rsidTr="00A27B47">
        <w:tc>
          <w:tcPr>
            <w:tcW w:w="1248"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390743" w14:textId="77777777" w:rsidR="00A76FF9" w:rsidRPr="00A66F03" w:rsidRDefault="00A76FF9" w:rsidP="00B72629">
            <w:pPr>
              <w:spacing w:after="0" w:line="276" w:lineRule="auto"/>
              <w:rPr>
                <w:rFonts w:ascii="Times New Roman" w:eastAsia="Times New Roman" w:hAnsi="Times New Roman" w:cs="Times New Roman"/>
                <w:lang w:val="en-GB"/>
              </w:rPr>
            </w:pPr>
          </w:p>
        </w:tc>
        <w:tc>
          <w:tcPr>
            <w:tcW w:w="1957" w:type="pct"/>
            <w:tcBorders>
              <w:top w:val="single" w:sz="6" w:space="0" w:color="000000"/>
              <w:left w:val="single" w:sz="6" w:space="0" w:color="000000"/>
              <w:bottom w:val="single" w:sz="6" w:space="0" w:color="000000"/>
              <w:right w:val="single" w:sz="6" w:space="0" w:color="000000"/>
            </w:tcBorders>
            <w:shd w:val="clear" w:color="auto" w:fill="auto"/>
            <w:hideMark/>
          </w:tcPr>
          <w:p w14:paraId="32D8A0B5" w14:textId="77777777" w:rsidR="00A76FF9" w:rsidRPr="00A66F03" w:rsidRDefault="00976636" w:rsidP="00B72629">
            <w:pPr>
              <w:spacing w:after="0" w:line="276" w:lineRule="auto"/>
              <w:rPr>
                <w:rFonts w:ascii="Times New Roman" w:eastAsia="Times New Roman" w:hAnsi="Times New Roman" w:cs="Times New Roman"/>
                <w:lang w:val="en-GB"/>
              </w:rPr>
            </w:pPr>
            <w:r w:rsidRPr="00A66F03">
              <w:rPr>
                <w:rFonts w:ascii="Times New Roman" w:eastAsia="Times New Roman" w:hAnsi="Times New Roman" w:cs="Times New Roman"/>
                <w:lang w:val="en-GB"/>
              </w:rPr>
              <w:t>... % support to youth employment</w:t>
            </w:r>
          </w:p>
          <w:p w14:paraId="3B9A13E6" w14:textId="77777777" w:rsidR="00A76FF9" w:rsidRPr="00A66F03" w:rsidRDefault="00976636" w:rsidP="00B72629">
            <w:pPr>
              <w:spacing w:after="0" w:line="276" w:lineRule="auto"/>
              <w:rPr>
                <w:rFonts w:ascii="Times New Roman" w:eastAsia="Times New Roman" w:hAnsi="Times New Roman" w:cs="Times New Roman"/>
                <w:lang w:val="en-GB"/>
              </w:rPr>
            </w:pPr>
            <w:r w:rsidRPr="00A66F03">
              <w:rPr>
                <w:rFonts w:ascii="Times New Roman" w:eastAsia="Times New Roman" w:hAnsi="Times New Roman" w:cs="Times New Roman"/>
                <w:lang w:val="en-GB"/>
              </w:rPr>
              <w:t>Programmed under specific objectives (a), (f) and (l) of Article 4 ESF+ Regulation</w:t>
            </w:r>
          </w:p>
          <w:p w14:paraId="20FA37B9" w14:textId="77777777" w:rsidR="00585E95" w:rsidRPr="00A66F03" w:rsidRDefault="00585E95" w:rsidP="00B72629">
            <w:pPr>
              <w:spacing w:after="0" w:line="276" w:lineRule="auto"/>
              <w:rPr>
                <w:rFonts w:ascii="Times New Roman" w:eastAsia="Times New Roman" w:hAnsi="Times New Roman" w:cs="Times New Roman"/>
                <w:lang w:val="en-GB"/>
              </w:rPr>
            </w:pPr>
          </w:p>
          <w:p w14:paraId="3A386D87" w14:textId="77777777" w:rsidR="00585E95" w:rsidRPr="00A66F03" w:rsidRDefault="00976636" w:rsidP="00B72629">
            <w:pPr>
              <w:spacing w:after="0" w:line="276" w:lineRule="auto"/>
              <w:rPr>
                <w:rFonts w:ascii="Times New Roman" w:eastAsia="Times New Roman" w:hAnsi="Times New Roman" w:cs="Times New Roman"/>
                <w:lang w:val="en-GB"/>
              </w:rPr>
            </w:pPr>
            <w:r w:rsidRPr="00A66F03">
              <w:rPr>
                <w:rFonts w:ascii="Times New Roman" w:eastAsia="Times New Roman" w:hAnsi="Times New Roman" w:cs="Times New Roman"/>
                <w:i/>
                <w:iCs/>
                <w:lang w:val="en-GB"/>
              </w:rPr>
              <w:t>Not applicable to Slovenia.</w:t>
            </w:r>
          </w:p>
        </w:tc>
        <w:tc>
          <w:tcPr>
            <w:tcW w:w="1795" w:type="pct"/>
            <w:tcBorders>
              <w:top w:val="single" w:sz="6" w:space="0" w:color="000000"/>
              <w:left w:val="single" w:sz="6" w:space="0" w:color="000000"/>
              <w:bottom w:val="single" w:sz="6" w:space="0" w:color="000000"/>
              <w:right w:val="single" w:sz="6" w:space="0" w:color="000000"/>
            </w:tcBorders>
            <w:shd w:val="clear" w:color="auto" w:fill="auto"/>
            <w:hideMark/>
          </w:tcPr>
          <w:p w14:paraId="21CEAC29" w14:textId="77777777" w:rsidR="00A76FF9" w:rsidRPr="00A66F03" w:rsidRDefault="00976636" w:rsidP="00B72629">
            <w:pPr>
              <w:spacing w:after="0" w:line="276" w:lineRule="auto"/>
              <w:rPr>
                <w:rFonts w:ascii="Times New Roman" w:eastAsia="Times New Roman" w:hAnsi="Times New Roman" w:cs="Times New Roman"/>
                <w:lang w:val="en-GB"/>
              </w:rPr>
            </w:pPr>
            <w:r w:rsidRPr="00A66F03">
              <w:rPr>
                <w:rFonts w:ascii="Times New Roman" w:eastAsia="Times New Roman" w:hAnsi="Times New Roman" w:cs="Times New Roman"/>
                <w:lang w:val="en-GB"/>
              </w:rPr>
              <w:t>Planned ESF+ programmes</w:t>
            </w:r>
          </w:p>
          <w:p w14:paraId="10AF6BC0" w14:textId="77777777" w:rsidR="008C381D" w:rsidRPr="00A66F03" w:rsidRDefault="008C381D" w:rsidP="00B72629">
            <w:pPr>
              <w:spacing w:after="0" w:line="276" w:lineRule="auto"/>
              <w:rPr>
                <w:rFonts w:ascii="Times New Roman" w:eastAsia="Times New Roman" w:hAnsi="Times New Roman" w:cs="Times New Roman"/>
                <w:lang w:val="en-GB"/>
              </w:rPr>
            </w:pPr>
          </w:p>
          <w:p w14:paraId="34C569D6" w14:textId="77777777" w:rsidR="008C381D" w:rsidRPr="00A66F03" w:rsidRDefault="00976636" w:rsidP="00B72629">
            <w:pPr>
              <w:spacing w:after="0" w:line="276" w:lineRule="auto"/>
              <w:rPr>
                <w:rFonts w:ascii="Times New Roman" w:eastAsia="Times New Roman" w:hAnsi="Times New Roman" w:cs="Times New Roman"/>
                <w:lang w:val="en-GB"/>
              </w:rPr>
            </w:pPr>
            <w:r w:rsidRPr="00A66F03">
              <w:rPr>
                <w:rFonts w:ascii="Times New Roman" w:eastAsia="Times New Roman" w:hAnsi="Times New Roman" w:cs="Times New Roman"/>
                <w:lang w:val="en-GB"/>
              </w:rPr>
              <w:t>1 ECP programme 2021–2027</w:t>
            </w:r>
          </w:p>
          <w:p w14:paraId="1479FC5B" w14:textId="77777777" w:rsidR="00A76FF9" w:rsidRPr="00A66F03" w:rsidRDefault="00A76FF9" w:rsidP="00B72629">
            <w:pPr>
              <w:spacing w:after="0" w:line="276" w:lineRule="auto"/>
              <w:rPr>
                <w:rFonts w:ascii="Times New Roman" w:eastAsia="Times New Roman" w:hAnsi="Times New Roman" w:cs="Times New Roman"/>
                <w:lang w:val="en-GB"/>
              </w:rPr>
            </w:pPr>
          </w:p>
        </w:tc>
      </w:tr>
      <w:tr w:rsidR="00143DBE" w:rsidRPr="00A66F03" w14:paraId="711E23A4" w14:textId="77777777" w:rsidTr="00A27B47">
        <w:tc>
          <w:tcPr>
            <w:tcW w:w="1248"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01D0E463" w14:textId="77777777" w:rsidR="00A76FF9" w:rsidRPr="00A66F03" w:rsidRDefault="00976636" w:rsidP="00B72629">
            <w:pPr>
              <w:spacing w:after="0" w:line="276" w:lineRule="auto"/>
              <w:jc w:val="both"/>
              <w:rPr>
                <w:rFonts w:ascii="Times New Roman" w:eastAsia="Times New Roman" w:hAnsi="Times New Roman" w:cs="Times New Roman"/>
                <w:sz w:val="24"/>
                <w:szCs w:val="24"/>
                <w:lang w:val="en-GB"/>
              </w:rPr>
            </w:pPr>
            <w:r w:rsidRPr="00A66F03">
              <w:rPr>
                <w:rFonts w:ascii="Times New Roman" w:eastAsia="Times New Roman" w:hAnsi="Times New Roman" w:cs="Times New Roman"/>
                <w:sz w:val="24"/>
                <w:szCs w:val="24"/>
                <w:lang w:val="en-GB"/>
              </w:rPr>
              <w:t> </w:t>
            </w:r>
          </w:p>
        </w:tc>
        <w:tc>
          <w:tcPr>
            <w:tcW w:w="1957" w:type="pct"/>
            <w:tcBorders>
              <w:top w:val="single" w:sz="6" w:space="0" w:color="000000"/>
              <w:left w:val="single" w:sz="6" w:space="0" w:color="000000"/>
              <w:bottom w:val="single" w:sz="6" w:space="0" w:color="000000"/>
              <w:right w:val="single" w:sz="6" w:space="0" w:color="000000"/>
            </w:tcBorders>
            <w:shd w:val="clear" w:color="auto" w:fill="auto"/>
            <w:hideMark/>
          </w:tcPr>
          <w:p w14:paraId="45D65FC3" w14:textId="77777777" w:rsidR="00A76FF9" w:rsidRPr="00A66F03" w:rsidRDefault="00976636" w:rsidP="00B72629">
            <w:pPr>
              <w:spacing w:after="0" w:line="276" w:lineRule="auto"/>
              <w:rPr>
                <w:rFonts w:ascii="Times New Roman" w:eastAsia="Times New Roman" w:hAnsi="Times New Roman" w:cs="Times New Roman"/>
                <w:lang w:val="en-GB"/>
              </w:rPr>
            </w:pPr>
            <w:r w:rsidRPr="00A66F03">
              <w:rPr>
                <w:rFonts w:ascii="Times New Roman" w:eastAsia="Times New Roman" w:hAnsi="Times New Roman" w:cs="Times New Roman"/>
                <w:lang w:val="en-GB"/>
              </w:rPr>
              <w:t>...% support to tackling child poverty</w:t>
            </w:r>
          </w:p>
          <w:p w14:paraId="4C24A5B7" w14:textId="77777777" w:rsidR="00A76FF9" w:rsidRPr="00A66F03" w:rsidRDefault="00976636" w:rsidP="00B72629">
            <w:pPr>
              <w:spacing w:after="0" w:line="276" w:lineRule="auto"/>
              <w:rPr>
                <w:rFonts w:ascii="Times New Roman" w:eastAsia="Times New Roman" w:hAnsi="Times New Roman" w:cs="Times New Roman"/>
                <w:lang w:val="en-GB"/>
              </w:rPr>
            </w:pPr>
            <w:r w:rsidRPr="00A66F03">
              <w:rPr>
                <w:rFonts w:ascii="Times New Roman" w:eastAsia="Times New Roman" w:hAnsi="Times New Roman" w:cs="Times New Roman"/>
                <w:lang w:val="en-GB"/>
              </w:rPr>
              <w:t>Programmed under specific objectives (f), (h)–(l) of Article 4 ESF+ Regulation</w:t>
            </w:r>
          </w:p>
          <w:p w14:paraId="34F64136" w14:textId="77777777" w:rsidR="00585E95" w:rsidRPr="00A66F03" w:rsidRDefault="00585E95" w:rsidP="00B72629">
            <w:pPr>
              <w:spacing w:after="0" w:line="276" w:lineRule="auto"/>
              <w:rPr>
                <w:rFonts w:ascii="Times New Roman" w:eastAsia="Times New Roman" w:hAnsi="Times New Roman" w:cs="Times New Roman"/>
                <w:lang w:val="en-GB"/>
              </w:rPr>
            </w:pPr>
          </w:p>
          <w:p w14:paraId="66308563" w14:textId="77777777" w:rsidR="00585E95" w:rsidRPr="00A66F03" w:rsidRDefault="00976636" w:rsidP="00B72629">
            <w:pPr>
              <w:spacing w:after="0" w:line="276" w:lineRule="auto"/>
              <w:rPr>
                <w:rFonts w:ascii="Times New Roman" w:eastAsia="Times New Roman" w:hAnsi="Times New Roman" w:cs="Times New Roman"/>
                <w:lang w:val="en-GB"/>
              </w:rPr>
            </w:pPr>
            <w:r w:rsidRPr="00A66F03">
              <w:rPr>
                <w:rFonts w:ascii="Times New Roman" w:eastAsia="Times New Roman" w:hAnsi="Times New Roman" w:cs="Times New Roman"/>
                <w:i/>
                <w:iCs/>
                <w:lang w:val="en-GB"/>
              </w:rPr>
              <w:t>Not applicable to Slovenia.</w:t>
            </w:r>
          </w:p>
        </w:tc>
        <w:tc>
          <w:tcPr>
            <w:tcW w:w="1795" w:type="pct"/>
            <w:tcBorders>
              <w:top w:val="single" w:sz="6" w:space="0" w:color="000000"/>
              <w:left w:val="single" w:sz="6" w:space="0" w:color="000000"/>
              <w:bottom w:val="single" w:sz="6" w:space="0" w:color="000000"/>
              <w:right w:val="single" w:sz="6" w:space="0" w:color="000000"/>
            </w:tcBorders>
            <w:shd w:val="clear" w:color="auto" w:fill="auto"/>
            <w:hideMark/>
          </w:tcPr>
          <w:p w14:paraId="6E7A1FD2" w14:textId="77777777" w:rsidR="00A76FF9" w:rsidRPr="00A66F03" w:rsidRDefault="00976636" w:rsidP="00B72629">
            <w:pPr>
              <w:spacing w:after="0" w:line="276" w:lineRule="auto"/>
              <w:rPr>
                <w:rFonts w:ascii="Times New Roman" w:eastAsia="Times New Roman" w:hAnsi="Times New Roman" w:cs="Times New Roman"/>
                <w:lang w:val="en-GB"/>
              </w:rPr>
            </w:pPr>
            <w:r w:rsidRPr="00A66F03">
              <w:rPr>
                <w:rFonts w:ascii="Times New Roman" w:eastAsia="Times New Roman" w:hAnsi="Times New Roman" w:cs="Times New Roman"/>
                <w:lang w:val="en-GB"/>
              </w:rPr>
              <w:t>Planned ESF+ programmes</w:t>
            </w:r>
          </w:p>
          <w:p w14:paraId="5E23BAF7" w14:textId="77777777" w:rsidR="008C381D" w:rsidRPr="00A66F03" w:rsidRDefault="008C381D" w:rsidP="00B72629">
            <w:pPr>
              <w:spacing w:after="0" w:line="276" w:lineRule="auto"/>
              <w:rPr>
                <w:rFonts w:ascii="Times New Roman" w:eastAsia="Times New Roman" w:hAnsi="Times New Roman" w:cs="Times New Roman"/>
                <w:lang w:val="en-GB"/>
              </w:rPr>
            </w:pPr>
          </w:p>
          <w:p w14:paraId="1BC8835A" w14:textId="77777777" w:rsidR="008C381D" w:rsidRPr="00A66F03" w:rsidRDefault="00976636" w:rsidP="00B72629">
            <w:pPr>
              <w:spacing w:after="0" w:line="276" w:lineRule="auto"/>
              <w:rPr>
                <w:rFonts w:ascii="Times New Roman" w:eastAsia="Times New Roman" w:hAnsi="Times New Roman" w:cs="Times New Roman"/>
                <w:lang w:val="en-GB"/>
              </w:rPr>
            </w:pPr>
            <w:r w:rsidRPr="00A66F03">
              <w:rPr>
                <w:rFonts w:ascii="Times New Roman" w:eastAsia="Times New Roman" w:hAnsi="Times New Roman" w:cs="Times New Roman"/>
                <w:lang w:val="en-GB"/>
              </w:rPr>
              <w:t>1 ECP programme 2021–2027</w:t>
            </w:r>
          </w:p>
          <w:p w14:paraId="7663E391" w14:textId="77777777" w:rsidR="00A76FF9" w:rsidRPr="00A66F03" w:rsidRDefault="00A76FF9" w:rsidP="00B72629">
            <w:pPr>
              <w:spacing w:after="0" w:line="276" w:lineRule="auto"/>
              <w:rPr>
                <w:rFonts w:ascii="Times New Roman" w:eastAsia="Times New Roman" w:hAnsi="Times New Roman" w:cs="Times New Roman"/>
                <w:lang w:val="en-GB"/>
              </w:rPr>
            </w:pPr>
          </w:p>
        </w:tc>
      </w:tr>
      <w:tr w:rsidR="00143DBE" w:rsidRPr="00A66F03" w14:paraId="4ACE7827" w14:textId="77777777" w:rsidTr="00A27B47">
        <w:tc>
          <w:tcPr>
            <w:tcW w:w="1248"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4A2F0F" w14:textId="77777777" w:rsidR="00A76FF9" w:rsidRPr="00A66F03" w:rsidRDefault="00A76FF9" w:rsidP="00B72629">
            <w:pPr>
              <w:spacing w:after="0" w:line="276" w:lineRule="auto"/>
              <w:rPr>
                <w:rFonts w:ascii="Times New Roman" w:eastAsia="Times New Roman" w:hAnsi="Times New Roman" w:cs="Times New Roman"/>
                <w:sz w:val="24"/>
                <w:szCs w:val="24"/>
                <w:lang w:val="en-GB"/>
              </w:rPr>
            </w:pPr>
          </w:p>
        </w:tc>
        <w:tc>
          <w:tcPr>
            <w:tcW w:w="1957" w:type="pct"/>
            <w:tcBorders>
              <w:top w:val="single" w:sz="6" w:space="0" w:color="000000"/>
              <w:left w:val="single" w:sz="6" w:space="0" w:color="000000"/>
              <w:bottom w:val="single" w:sz="6" w:space="0" w:color="000000"/>
              <w:right w:val="single" w:sz="6" w:space="0" w:color="000000"/>
            </w:tcBorders>
            <w:shd w:val="clear" w:color="auto" w:fill="auto"/>
            <w:hideMark/>
          </w:tcPr>
          <w:p w14:paraId="34FC1C41" w14:textId="77777777" w:rsidR="00A76FF9" w:rsidRPr="00A66F03" w:rsidRDefault="00976636" w:rsidP="00B72629">
            <w:pPr>
              <w:spacing w:after="0" w:line="276" w:lineRule="auto"/>
              <w:rPr>
                <w:rFonts w:ascii="Times New Roman" w:eastAsia="Times New Roman" w:hAnsi="Times New Roman" w:cs="Times New Roman"/>
                <w:lang w:val="en-GB"/>
              </w:rPr>
            </w:pPr>
            <w:r w:rsidRPr="00A66F03">
              <w:rPr>
                <w:rFonts w:ascii="Times New Roman" w:eastAsia="Times New Roman" w:hAnsi="Times New Roman" w:cs="Times New Roman"/>
                <w:lang w:val="en-GB"/>
              </w:rPr>
              <w:t>1.8% capacity building of social partners and NGOs</w:t>
            </w:r>
          </w:p>
          <w:p w14:paraId="46D4C03B" w14:textId="77777777" w:rsidR="00883E08" w:rsidRPr="00A66F03" w:rsidRDefault="00976636" w:rsidP="00B72629">
            <w:pPr>
              <w:spacing w:after="0" w:line="276" w:lineRule="auto"/>
              <w:rPr>
                <w:rFonts w:ascii="Times New Roman" w:eastAsia="Times New Roman" w:hAnsi="Times New Roman" w:cs="Times New Roman"/>
                <w:lang w:val="en-GB"/>
              </w:rPr>
            </w:pPr>
            <w:r w:rsidRPr="00A66F03">
              <w:rPr>
                <w:rFonts w:ascii="Times New Roman" w:eastAsia="Times New Roman" w:hAnsi="Times New Roman" w:cs="Times New Roman"/>
                <w:lang w:val="en-GB"/>
              </w:rPr>
              <w:lastRenderedPageBreak/>
              <w:t>Programmed under all specific objectives except (m) of Article 4 ESF+ Regulation</w:t>
            </w:r>
          </w:p>
          <w:p w14:paraId="6ADF705F" w14:textId="77777777" w:rsidR="00883E08" w:rsidRPr="00A66F03" w:rsidRDefault="00883E08" w:rsidP="00B72629">
            <w:pPr>
              <w:spacing w:after="0" w:line="276" w:lineRule="auto"/>
              <w:rPr>
                <w:rFonts w:ascii="Times New Roman" w:eastAsia="Times New Roman" w:hAnsi="Times New Roman" w:cs="Times New Roman"/>
                <w:lang w:val="en-GB"/>
              </w:rPr>
            </w:pPr>
          </w:p>
          <w:p w14:paraId="18E6DDA8" w14:textId="77777777" w:rsidR="00883E08" w:rsidRPr="00A66F03" w:rsidRDefault="00883E08" w:rsidP="00B72629">
            <w:pPr>
              <w:spacing w:after="0" w:line="276" w:lineRule="auto"/>
              <w:rPr>
                <w:rFonts w:ascii="Times New Roman" w:eastAsia="Times New Roman" w:hAnsi="Times New Roman" w:cs="Times New Roman"/>
                <w:i/>
                <w:lang w:val="en-GB"/>
              </w:rPr>
            </w:pPr>
          </w:p>
        </w:tc>
        <w:tc>
          <w:tcPr>
            <w:tcW w:w="1795" w:type="pct"/>
            <w:tcBorders>
              <w:top w:val="single" w:sz="6" w:space="0" w:color="000000"/>
              <w:left w:val="single" w:sz="6" w:space="0" w:color="000000"/>
              <w:bottom w:val="single" w:sz="6" w:space="0" w:color="000000"/>
              <w:right w:val="single" w:sz="6" w:space="0" w:color="000000"/>
            </w:tcBorders>
            <w:shd w:val="clear" w:color="auto" w:fill="auto"/>
            <w:hideMark/>
          </w:tcPr>
          <w:p w14:paraId="6BD2344B" w14:textId="77777777" w:rsidR="00A76FF9" w:rsidRPr="00A66F03" w:rsidRDefault="00976636" w:rsidP="00B72629">
            <w:pPr>
              <w:spacing w:after="0" w:line="276" w:lineRule="auto"/>
              <w:rPr>
                <w:rFonts w:ascii="Times New Roman" w:eastAsia="Times New Roman" w:hAnsi="Times New Roman" w:cs="Times New Roman"/>
                <w:lang w:val="en-GB"/>
              </w:rPr>
            </w:pPr>
            <w:r w:rsidRPr="00A66F03">
              <w:rPr>
                <w:rFonts w:ascii="Times New Roman" w:eastAsia="Times New Roman" w:hAnsi="Times New Roman" w:cs="Times New Roman"/>
                <w:lang w:val="en-GB"/>
              </w:rPr>
              <w:lastRenderedPageBreak/>
              <w:t>Planned ESF+ programmes</w:t>
            </w:r>
          </w:p>
          <w:p w14:paraId="7A2D1F46" w14:textId="77777777" w:rsidR="008C381D" w:rsidRPr="00A66F03" w:rsidRDefault="008C381D" w:rsidP="00B72629">
            <w:pPr>
              <w:spacing w:after="0" w:line="276" w:lineRule="auto"/>
              <w:rPr>
                <w:rFonts w:ascii="Times New Roman" w:eastAsia="Times New Roman" w:hAnsi="Times New Roman" w:cs="Times New Roman"/>
                <w:lang w:val="en-GB"/>
              </w:rPr>
            </w:pPr>
          </w:p>
          <w:p w14:paraId="3015AE5A" w14:textId="77777777" w:rsidR="00A76FF9" w:rsidRPr="00A66F03" w:rsidRDefault="00976636" w:rsidP="00B72629">
            <w:pPr>
              <w:spacing w:after="0" w:line="276" w:lineRule="auto"/>
              <w:rPr>
                <w:rFonts w:ascii="Times New Roman" w:hAnsi="Times New Roman" w:cs="Times New Roman"/>
                <w:sz w:val="18"/>
                <w:szCs w:val="18"/>
                <w:lang w:val="en-GB"/>
              </w:rPr>
            </w:pPr>
            <w:r w:rsidRPr="00A66F03">
              <w:rPr>
                <w:rFonts w:ascii="Times New Roman" w:eastAsia="Times New Roman" w:hAnsi="Times New Roman" w:cs="Times New Roman"/>
                <w:lang w:val="en-GB"/>
              </w:rPr>
              <w:t>1 ECP programme 2021–2027</w:t>
            </w:r>
          </w:p>
        </w:tc>
      </w:tr>
    </w:tbl>
    <w:p w14:paraId="6DE4589E" w14:textId="77777777" w:rsidR="00CC3019" w:rsidRPr="00A66F03" w:rsidRDefault="00CC3019" w:rsidP="00B72629">
      <w:pPr>
        <w:pStyle w:val="Naslov1"/>
        <w:spacing w:before="0" w:line="276" w:lineRule="auto"/>
        <w:rPr>
          <w:rFonts w:eastAsia="Times New Roman" w:cs="Times New Roman"/>
          <w:lang w:val="en-GB"/>
        </w:rPr>
      </w:pPr>
    </w:p>
    <w:p w14:paraId="6C28872D" w14:textId="77777777" w:rsidR="006F31AD" w:rsidRPr="00A66F03" w:rsidRDefault="006F31AD" w:rsidP="006F31AD">
      <w:pPr>
        <w:rPr>
          <w:lang w:val="en-GB"/>
        </w:rPr>
      </w:pPr>
    </w:p>
    <w:p w14:paraId="69D6CB32" w14:textId="77777777" w:rsidR="00CC3019" w:rsidRPr="00A66F03" w:rsidRDefault="00CC3019" w:rsidP="00B72629">
      <w:pPr>
        <w:pStyle w:val="Naslov1"/>
        <w:spacing w:before="0" w:line="276" w:lineRule="auto"/>
        <w:rPr>
          <w:rFonts w:eastAsia="Times New Roman" w:cs="Times New Roman"/>
          <w:lang w:val="en-GB"/>
        </w:rPr>
      </w:pPr>
    </w:p>
    <w:p w14:paraId="703E351F" w14:textId="77777777" w:rsidR="00A76FF9" w:rsidRPr="00A66F03" w:rsidRDefault="00976636" w:rsidP="00B72629">
      <w:pPr>
        <w:pStyle w:val="Naslov1"/>
        <w:spacing w:before="0" w:line="276" w:lineRule="auto"/>
        <w:rPr>
          <w:rFonts w:eastAsia="Times New Roman" w:cs="Times New Roman"/>
          <w:lang w:val="en-GB"/>
        </w:rPr>
      </w:pPr>
      <w:bookmarkStart w:id="35" w:name="_Toc115336025"/>
      <w:r w:rsidRPr="00A66F03">
        <w:rPr>
          <w:rFonts w:eastAsia="Times New Roman" w:cs="Times New Roman"/>
          <w:bCs/>
          <w:lang w:val="en-GB"/>
        </w:rPr>
        <w:t>7.   Preliminary financial allocation</w:t>
      </w:r>
      <w:r w:rsidRPr="00A66F03">
        <w:rPr>
          <w:rFonts w:eastAsia="Times New Roman" w:cs="Times New Roman"/>
          <w:bCs/>
          <w:lang w:val="en-GB"/>
        </w:rPr>
        <w:t xml:space="preserve"> from each fund covered by the Partnership Agreement, by policy objective, JTF-specific objective and technical assistance, at national and where appropriate regional level</w:t>
      </w:r>
      <w:bookmarkEnd w:id="35"/>
    </w:p>
    <w:p w14:paraId="1D88DF0C" w14:textId="77777777" w:rsidR="00FD735F" w:rsidRPr="00A66F03" w:rsidRDefault="00FD735F" w:rsidP="00B72629">
      <w:pPr>
        <w:shd w:val="clear" w:color="auto" w:fill="FFFFFF"/>
        <w:spacing w:after="0" w:line="276" w:lineRule="auto"/>
        <w:rPr>
          <w:rFonts w:ascii="Times New Roman" w:eastAsia="Times New Roman" w:hAnsi="Times New Roman" w:cs="Times New Roman"/>
          <w:b/>
          <w:bCs/>
          <w:color w:val="444444"/>
          <w:sz w:val="27"/>
          <w:szCs w:val="27"/>
          <w:lang w:val="en-GB"/>
        </w:rPr>
        <w:sectPr w:rsidR="00FD735F" w:rsidRPr="00A66F03" w:rsidSect="0098468A">
          <w:footerReference w:type="default" r:id="rId9"/>
          <w:pgSz w:w="11906" w:h="16838"/>
          <w:pgMar w:top="1417" w:right="1417" w:bottom="1417" w:left="1417" w:header="708" w:footer="708" w:gutter="0"/>
          <w:pgNumType w:start="1"/>
          <w:cols w:space="708"/>
          <w:docGrid w:linePitch="360"/>
        </w:sectPr>
      </w:pPr>
    </w:p>
    <w:p w14:paraId="26E1A1B5" w14:textId="77777777" w:rsidR="00A91930" w:rsidRPr="00A66F03" w:rsidRDefault="00976636" w:rsidP="00A91930">
      <w:pPr>
        <w:shd w:val="clear" w:color="auto" w:fill="FFFFFF"/>
        <w:spacing w:after="0" w:line="276" w:lineRule="auto"/>
        <w:rPr>
          <w:rFonts w:ascii="Times New Roman" w:eastAsia="Times New Roman" w:hAnsi="Times New Roman" w:cs="Times New Roman"/>
          <w:color w:val="444444"/>
          <w:sz w:val="24"/>
          <w:szCs w:val="24"/>
          <w:lang w:val="en-GB"/>
        </w:rPr>
      </w:pPr>
      <w:r w:rsidRPr="00A66F03">
        <w:rPr>
          <w:rFonts w:ascii="Times New Roman" w:eastAsia="Times New Roman" w:hAnsi="Times New Roman" w:cs="Times New Roman"/>
          <w:color w:val="444444"/>
          <w:sz w:val="24"/>
          <w:szCs w:val="24"/>
          <w:lang w:val="en-GB"/>
        </w:rPr>
        <w:lastRenderedPageBreak/>
        <w:t>Table 8: Preliminary financial allocation from ERDF, Cohesion Fund, JTF, ESF+, EMFAF by policy objective, JTF-specific objective and technical assistance</w:t>
      </w:r>
    </w:p>
    <w:p w14:paraId="39056822" w14:textId="77777777" w:rsidR="00F54C7E" w:rsidRPr="00A66F03" w:rsidRDefault="00F54C7E" w:rsidP="00A91930">
      <w:pPr>
        <w:shd w:val="clear" w:color="auto" w:fill="FFFFFF"/>
        <w:spacing w:after="0" w:line="276" w:lineRule="auto"/>
        <w:rPr>
          <w:rFonts w:ascii="Times New Roman" w:eastAsia="Times New Roman" w:hAnsi="Times New Roman" w:cs="Times New Roman"/>
          <w:color w:val="444444"/>
          <w:sz w:val="24"/>
          <w:szCs w:val="24"/>
          <w:lang w:val="en-GB"/>
        </w:rPr>
      </w:pPr>
    </w:p>
    <w:tbl>
      <w:tblPr>
        <w:tblW w:w="5000" w:type="pct"/>
        <w:tblCellMar>
          <w:left w:w="70" w:type="dxa"/>
          <w:right w:w="70" w:type="dxa"/>
        </w:tblCellMar>
        <w:tblLook w:val="04A0" w:firstRow="1" w:lastRow="0" w:firstColumn="1" w:lastColumn="0" w:noHBand="0" w:noVBand="1"/>
      </w:tblPr>
      <w:tblGrid>
        <w:gridCol w:w="1355"/>
        <w:gridCol w:w="776"/>
        <w:gridCol w:w="776"/>
        <w:gridCol w:w="1144"/>
        <w:gridCol w:w="1144"/>
        <w:gridCol w:w="1144"/>
        <w:gridCol w:w="1144"/>
        <w:gridCol w:w="1147"/>
        <w:gridCol w:w="1144"/>
        <w:gridCol w:w="775"/>
        <w:gridCol w:w="1147"/>
        <w:gridCol w:w="1144"/>
        <w:gridCol w:w="1144"/>
      </w:tblGrid>
      <w:tr w:rsidR="00143DBE" w:rsidRPr="00A66F03" w14:paraId="31FA3268" w14:textId="77777777" w:rsidTr="00874C8B">
        <w:trPr>
          <w:trHeight w:val="450"/>
        </w:trPr>
        <w:tc>
          <w:tcPr>
            <w:tcW w:w="48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F78AFDA" w14:textId="77777777" w:rsidR="00DA4369" w:rsidRPr="00A66F03" w:rsidRDefault="00976636" w:rsidP="00CF4DEE">
            <w:pPr>
              <w:spacing w:after="0" w:line="240" w:lineRule="auto"/>
              <w:jc w:val="center"/>
              <w:rPr>
                <w:rFonts w:ascii="Calibri" w:eastAsia="Times New Roman" w:hAnsi="Calibri" w:cs="Calibri"/>
                <w:b/>
                <w:bCs/>
                <w:color w:val="000000"/>
                <w:sz w:val="14"/>
                <w:szCs w:val="16"/>
                <w:lang w:val="en-GB"/>
              </w:rPr>
            </w:pPr>
            <w:r w:rsidRPr="00A66F03">
              <w:rPr>
                <w:rFonts w:ascii="Calibri" w:eastAsia="Times New Roman" w:hAnsi="Calibri" w:cs="Calibri"/>
                <w:b/>
                <w:bCs/>
                <w:color w:val="000000"/>
                <w:sz w:val="14"/>
                <w:szCs w:val="16"/>
                <w:lang w:val="en-GB"/>
              </w:rPr>
              <w:t xml:space="preserve">Policy objectives, JTF-specific objectives or technical </w:t>
            </w:r>
            <w:r w:rsidRPr="00A66F03">
              <w:rPr>
                <w:rFonts w:ascii="Calibri" w:eastAsia="Times New Roman" w:hAnsi="Calibri" w:cs="Calibri"/>
                <w:b/>
                <w:bCs/>
                <w:color w:val="000000"/>
                <w:sz w:val="14"/>
                <w:szCs w:val="16"/>
                <w:lang w:val="en-GB"/>
              </w:rPr>
              <w:t>assistance</w:t>
            </w:r>
          </w:p>
        </w:tc>
        <w:tc>
          <w:tcPr>
            <w:tcW w:w="963"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3FF0D51" w14:textId="77777777" w:rsidR="00DA4369" w:rsidRPr="00A66F03" w:rsidRDefault="00976636" w:rsidP="00CF4DEE">
            <w:pPr>
              <w:spacing w:after="0" w:line="240" w:lineRule="auto"/>
              <w:jc w:val="center"/>
              <w:rPr>
                <w:rFonts w:ascii="Calibri" w:eastAsia="Times New Roman" w:hAnsi="Calibri" w:cs="Calibri"/>
                <w:b/>
                <w:bCs/>
                <w:color w:val="000000"/>
                <w:sz w:val="14"/>
                <w:szCs w:val="16"/>
                <w:lang w:val="en-GB"/>
              </w:rPr>
            </w:pPr>
            <w:r w:rsidRPr="00A66F03">
              <w:rPr>
                <w:rFonts w:ascii="Calibri" w:eastAsia="Times New Roman" w:hAnsi="Calibri" w:cs="Calibri"/>
                <w:b/>
                <w:bCs/>
                <w:color w:val="000000"/>
                <w:sz w:val="14"/>
                <w:szCs w:val="16"/>
                <w:lang w:val="en-GB"/>
              </w:rPr>
              <w:t>ERDF</w:t>
            </w:r>
          </w:p>
        </w:tc>
        <w:tc>
          <w:tcPr>
            <w:tcW w:w="40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AAED570" w14:textId="77777777" w:rsidR="00DA4369" w:rsidRPr="00A66F03" w:rsidRDefault="00976636" w:rsidP="00CF4DEE">
            <w:pPr>
              <w:spacing w:after="0" w:line="240" w:lineRule="auto"/>
              <w:jc w:val="center"/>
              <w:rPr>
                <w:rFonts w:ascii="Calibri" w:eastAsia="Times New Roman" w:hAnsi="Calibri" w:cs="Calibri"/>
                <w:b/>
                <w:bCs/>
                <w:color w:val="000000"/>
                <w:sz w:val="14"/>
                <w:szCs w:val="16"/>
                <w:lang w:val="en-GB"/>
              </w:rPr>
            </w:pPr>
            <w:r w:rsidRPr="00A66F03">
              <w:rPr>
                <w:rFonts w:ascii="Calibri" w:eastAsia="Times New Roman" w:hAnsi="Calibri" w:cs="Calibri"/>
                <w:b/>
                <w:bCs/>
                <w:color w:val="000000"/>
                <w:sz w:val="14"/>
                <w:szCs w:val="16"/>
                <w:lang w:val="en-GB"/>
              </w:rPr>
              <w:t>Cohesion Fund allocation at national level</w:t>
            </w:r>
          </w:p>
        </w:tc>
        <w:tc>
          <w:tcPr>
            <w:tcW w:w="1228"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03EEAA7" w14:textId="77777777" w:rsidR="00DA4369" w:rsidRPr="00A66F03" w:rsidRDefault="00976636" w:rsidP="00CF4DEE">
            <w:pPr>
              <w:spacing w:after="0" w:line="240" w:lineRule="auto"/>
              <w:jc w:val="center"/>
              <w:rPr>
                <w:rFonts w:ascii="Calibri" w:eastAsia="Times New Roman" w:hAnsi="Calibri" w:cs="Calibri"/>
                <w:b/>
                <w:bCs/>
                <w:color w:val="000000"/>
                <w:sz w:val="14"/>
                <w:szCs w:val="16"/>
                <w:lang w:val="en-GB"/>
              </w:rPr>
            </w:pPr>
            <w:r w:rsidRPr="00A66F03">
              <w:rPr>
                <w:rFonts w:ascii="Calibri" w:eastAsia="Times New Roman" w:hAnsi="Calibri" w:cs="Calibri"/>
                <w:b/>
                <w:bCs/>
                <w:color w:val="000000"/>
                <w:sz w:val="14"/>
                <w:szCs w:val="16"/>
                <w:lang w:val="en-GB"/>
              </w:rPr>
              <w:t>JTF</w:t>
            </w:r>
          </w:p>
        </w:tc>
        <w:tc>
          <w:tcPr>
            <w:tcW w:w="1096"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8BCCEA7" w14:textId="77777777" w:rsidR="00DA4369" w:rsidRPr="00A66F03" w:rsidRDefault="00976636" w:rsidP="00CF4DEE">
            <w:pPr>
              <w:spacing w:after="0" w:line="240" w:lineRule="auto"/>
              <w:jc w:val="center"/>
              <w:rPr>
                <w:rFonts w:ascii="Calibri" w:eastAsia="Times New Roman" w:hAnsi="Calibri" w:cs="Calibri"/>
                <w:b/>
                <w:bCs/>
                <w:color w:val="000000"/>
                <w:sz w:val="14"/>
                <w:szCs w:val="16"/>
                <w:lang w:val="en-GB"/>
              </w:rPr>
            </w:pPr>
            <w:r w:rsidRPr="00A66F03">
              <w:rPr>
                <w:rFonts w:ascii="Calibri" w:eastAsia="Times New Roman" w:hAnsi="Calibri" w:cs="Calibri"/>
                <w:b/>
                <w:bCs/>
                <w:color w:val="000000"/>
                <w:sz w:val="14"/>
                <w:szCs w:val="16"/>
                <w:lang w:val="en-GB"/>
              </w:rPr>
              <w:t>ESF+</w:t>
            </w:r>
          </w:p>
        </w:tc>
        <w:tc>
          <w:tcPr>
            <w:tcW w:w="40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E50A92C" w14:textId="77777777" w:rsidR="00DA4369" w:rsidRPr="00A66F03" w:rsidRDefault="00976636" w:rsidP="00CF4DEE">
            <w:pPr>
              <w:spacing w:after="0" w:line="240" w:lineRule="auto"/>
              <w:jc w:val="center"/>
              <w:rPr>
                <w:rFonts w:ascii="Calibri" w:eastAsia="Times New Roman" w:hAnsi="Calibri" w:cs="Calibri"/>
                <w:b/>
                <w:bCs/>
                <w:color w:val="000000"/>
                <w:sz w:val="14"/>
                <w:szCs w:val="16"/>
                <w:lang w:val="en-GB"/>
              </w:rPr>
            </w:pPr>
            <w:r w:rsidRPr="00A66F03">
              <w:rPr>
                <w:rFonts w:ascii="Calibri" w:eastAsia="Times New Roman" w:hAnsi="Calibri" w:cs="Calibri"/>
                <w:b/>
                <w:bCs/>
                <w:color w:val="000000"/>
                <w:sz w:val="14"/>
                <w:szCs w:val="16"/>
                <w:lang w:val="en-GB"/>
              </w:rPr>
              <w:t>EMFAF allocation at national level</w:t>
            </w:r>
          </w:p>
        </w:tc>
        <w:tc>
          <w:tcPr>
            <w:tcW w:w="40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776C1EB" w14:textId="77777777" w:rsidR="00DA4369" w:rsidRPr="00A66F03" w:rsidRDefault="00976636" w:rsidP="00CF4DEE">
            <w:pPr>
              <w:spacing w:after="0" w:line="240" w:lineRule="auto"/>
              <w:jc w:val="center"/>
              <w:rPr>
                <w:rFonts w:ascii="Calibri" w:eastAsia="Times New Roman" w:hAnsi="Calibri" w:cs="Calibri"/>
                <w:b/>
                <w:bCs/>
                <w:color w:val="000000"/>
                <w:sz w:val="14"/>
                <w:szCs w:val="16"/>
                <w:lang w:val="en-GB"/>
              </w:rPr>
            </w:pPr>
            <w:r w:rsidRPr="00A66F03">
              <w:rPr>
                <w:rFonts w:ascii="Calibri" w:eastAsia="Times New Roman" w:hAnsi="Calibri" w:cs="Calibri"/>
                <w:b/>
                <w:bCs/>
                <w:color w:val="000000"/>
                <w:sz w:val="14"/>
                <w:szCs w:val="16"/>
                <w:lang w:val="en-GB"/>
              </w:rPr>
              <w:t>Total</w:t>
            </w:r>
          </w:p>
        </w:tc>
      </w:tr>
      <w:tr w:rsidR="00143DBE" w:rsidRPr="00A66F03" w14:paraId="3F047CD8" w14:textId="77777777" w:rsidTr="00874C8B">
        <w:trPr>
          <w:trHeight w:val="450"/>
        </w:trPr>
        <w:tc>
          <w:tcPr>
            <w:tcW w:w="484" w:type="pct"/>
            <w:vMerge/>
            <w:tcBorders>
              <w:top w:val="single" w:sz="8" w:space="0" w:color="auto"/>
              <w:left w:val="single" w:sz="8" w:space="0" w:color="auto"/>
              <w:bottom w:val="single" w:sz="8" w:space="0" w:color="000000"/>
              <w:right w:val="single" w:sz="8" w:space="0" w:color="auto"/>
            </w:tcBorders>
            <w:vAlign w:val="center"/>
            <w:hideMark/>
          </w:tcPr>
          <w:p w14:paraId="666C980B" w14:textId="77777777" w:rsidR="00DA4369" w:rsidRPr="00A66F03" w:rsidRDefault="00DA4369" w:rsidP="00CF4DEE">
            <w:pPr>
              <w:spacing w:after="0" w:line="240" w:lineRule="auto"/>
              <w:rPr>
                <w:rFonts w:ascii="Calibri" w:eastAsia="Times New Roman" w:hAnsi="Calibri" w:cs="Calibri"/>
                <w:b/>
                <w:bCs/>
                <w:color w:val="000000"/>
                <w:sz w:val="14"/>
                <w:szCs w:val="16"/>
                <w:lang w:val="en-GB"/>
              </w:rPr>
            </w:pPr>
          </w:p>
        </w:tc>
        <w:tc>
          <w:tcPr>
            <w:tcW w:w="963" w:type="pct"/>
            <w:gridSpan w:val="3"/>
            <w:vMerge/>
            <w:tcBorders>
              <w:top w:val="single" w:sz="8" w:space="0" w:color="auto"/>
              <w:left w:val="single" w:sz="8" w:space="0" w:color="auto"/>
              <w:bottom w:val="single" w:sz="8" w:space="0" w:color="000000"/>
              <w:right w:val="single" w:sz="8" w:space="0" w:color="000000"/>
            </w:tcBorders>
            <w:vAlign w:val="center"/>
            <w:hideMark/>
          </w:tcPr>
          <w:p w14:paraId="6F11DD26" w14:textId="77777777" w:rsidR="00DA4369" w:rsidRPr="00A66F03" w:rsidRDefault="00DA4369" w:rsidP="00CF4DEE">
            <w:pPr>
              <w:spacing w:after="0" w:line="240" w:lineRule="auto"/>
              <w:rPr>
                <w:rFonts w:ascii="Calibri" w:eastAsia="Times New Roman" w:hAnsi="Calibri" w:cs="Calibri"/>
                <w:b/>
                <w:bCs/>
                <w:color w:val="000000"/>
                <w:sz w:val="14"/>
                <w:szCs w:val="16"/>
                <w:lang w:val="en-GB"/>
              </w:rPr>
            </w:pPr>
          </w:p>
        </w:tc>
        <w:tc>
          <w:tcPr>
            <w:tcW w:w="409" w:type="pct"/>
            <w:vMerge/>
            <w:tcBorders>
              <w:top w:val="single" w:sz="8" w:space="0" w:color="auto"/>
              <w:left w:val="single" w:sz="8" w:space="0" w:color="auto"/>
              <w:bottom w:val="single" w:sz="8" w:space="0" w:color="000000"/>
              <w:right w:val="single" w:sz="8" w:space="0" w:color="auto"/>
            </w:tcBorders>
            <w:vAlign w:val="center"/>
            <w:hideMark/>
          </w:tcPr>
          <w:p w14:paraId="1B5DDE03" w14:textId="77777777" w:rsidR="00DA4369" w:rsidRPr="00A66F03" w:rsidRDefault="00DA4369" w:rsidP="00CF4DEE">
            <w:pPr>
              <w:spacing w:after="0" w:line="240" w:lineRule="auto"/>
              <w:rPr>
                <w:rFonts w:ascii="Calibri" w:eastAsia="Times New Roman" w:hAnsi="Calibri" w:cs="Calibri"/>
                <w:b/>
                <w:bCs/>
                <w:color w:val="000000"/>
                <w:sz w:val="14"/>
                <w:szCs w:val="16"/>
                <w:lang w:val="en-GB"/>
              </w:rPr>
            </w:pPr>
          </w:p>
        </w:tc>
        <w:tc>
          <w:tcPr>
            <w:tcW w:w="1228" w:type="pct"/>
            <w:gridSpan w:val="3"/>
            <w:vMerge/>
            <w:tcBorders>
              <w:top w:val="single" w:sz="8" w:space="0" w:color="auto"/>
              <w:left w:val="single" w:sz="8" w:space="0" w:color="auto"/>
              <w:bottom w:val="single" w:sz="8" w:space="0" w:color="000000"/>
              <w:right w:val="single" w:sz="8" w:space="0" w:color="000000"/>
            </w:tcBorders>
            <w:vAlign w:val="center"/>
            <w:hideMark/>
          </w:tcPr>
          <w:p w14:paraId="7B1ADF72" w14:textId="77777777" w:rsidR="00DA4369" w:rsidRPr="00A66F03" w:rsidRDefault="00DA4369" w:rsidP="00CF4DEE">
            <w:pPr>
              <w:spacing w:after="0" w:line="240" w:lineRule="auto"/>
              <w:rPr>
                <w:rFonts w:ascii="Calibri" w:eastAsia="Times New Roman" w:hAnsi="Calibri" w:cs="Calibri"/>
                <w:b/>
                <w:bCs/>
                <w:color w:val="000000"/>
                <w:sz w:val="14"/>
                <w:szCs w:val="16"/>
                <w:lang w:val="en-GB"/>
              </w:rPr>
            </w:pPr>
          </w:p>
        </w:tc>
        <w:tc>
          <w:tcPr>
            <w:tcW w:w="1096" w:type="pct"/>
            <w:gridSpan w:val="3"/>
            <w:vMerge/>
            <w:tcBorders>
              <w:top w:val="single" w:sz="8" w:space="0" w:color="auto"/>
              <w:left w:val="single" w:sz="8" w:space="0" w:color="auto"/>
              <w:bottom w:val="single" w:sz="8" w:space="0" w:color="000000"/>
              <w:right w:val="single" w:sz="8" w:space="0" w:color="000000"/>
            </w:tcBorders>
            <w:vAlign w:val="center"/>
            <w:hideMark/>
          </w:tcPr>
          <w:p w14:paraId="50FB07C2" w14:textId="77777777" w:rsidR="00DA4369" w:rsidRPr="00A66F03" w:rsidRDefault="00DA4369" w:rsidP="00CF4DEE">
            <w:pPr>
              <w:spacing w:after="0" w:line="240" w:lineRule="auto"/>
              <w:rPr>
                <w:rFonts w:ascii="Calibri" w:eastAsia="Times New Roman" w:hAnsi="Calibri" w:cs="Calibri"/>
                <w:b/>
                <w:bCs/>
                <w:color w:val="000000"/>
                <w:sz w:val="14"/>
                <w:szCs w:val="16"/>
                <w:lang w:val="en-GB"/>
              </w:rPr>
            </w:pPr>
          </w:p>
        </w:tc>
        <w:tc>
          <w:tcPr>
            <w:tcW w:w="409" w:type="pct"/>
            <w:vMerge/>
            <w:tcBorders>
              <w:top w:val="single" w:sz="8" w:space="0" w:color="auto"/>
              <w:left w:val="single" w:sz="8" w:space="0" w:color="auto"/>
              <w:bottom w:val="single" w:sz="8" w:space="0" w:color="000000"/>
              <w:right w:val="single" w:sz="8" w:space="0" w:color="auto"/>
            </w:tcBorders>
            <w:vAlign w:val="center"/>
            <w:hideMark/>
          </w:tcPr>
          <w:p w14:paraId="49657451" w14:textId="77777777" w:rsidR="00DA4369" w:rsidRPr="00A66F03" w:rsidRDefault="00DA4369" w:rsidP="00CF4DEE">
            <w:pPr>
              <w:spacing w:after="0" w:line="240" w:lineRule="auto"/>
              <w:rPr>
                <w:rFonts w:ascii="Calibri" w:eastAsia="Times New Roman" w:hAnsi="Calibri" w:cs="Calibri"/>
                <w:b/>
                <w:bCs/>
                <w:color w:val="000000"/>
                <w:sz w:val="14"/>
                <w:szCs w:val="16"/>
                <w:lang w:val="en-GB"/>
              </w:rPr>
            </w:pPr>
          </w:p>
        </w:tc>
        <w:tc>
          <w:tcPr>
            <w:tcW w:w="409" w:type="pct"/>
            <w:vMerge/>
            <w:tcBorders>
              <w:top w:val="single" w:sz="8" w:space="0" w:color="auto"/>
              <w:left w:val="single" w:sz="8" w:space="0" w:color="auto"/>
              <w:bottom w:val="single" w:sz="8" w:space="0" w:color="000000"/>
              <w:right w:val="single" w:sz="8" w:space="0" w:color="auto"/>
            </w:tcBorders>
            <w:vAlign w:val="center"/>
            <w:hideMark/>
          </w:tcPr>
          <w:p w14:paraId="542C3545" w14:textId="77777777" w:rsidR="00DA4369" w:rsidRPr="00A66F03" w:rsidRDefault="00DA4369" w:rsidP="00CF4DEE">
            <w:pPr>
              <w:spacing w:after="0" w:line="240" w:lineRule="auto"/>
              <w:rPr>
                <w:rFonts w:ascii="Calibri" w:eastAsia="Times New Roman" w:hAnsi="Calibri" w:cs="Calibri"/>
                <w:b/>
                <w:bCs/>
                <w:color w:val="000000"/>
                <w:sz w:val="14"/>
                <w:szCs w:val="16"/>
                <w:lang w:val="en-GB"/>
              </w:rPr>
            </w:pPr>
          </w:p>
        </w:tc>
      </w:tr>
      <w:tr w:rsidR="00143DBE" w:rsidRPr="00A66F03" w14:paraId="4556A8A8" w14:textId="77777777" w:rsidTr="00874C8B">
        <w:tc>
          <w:tcPr>
            <w:tcW w:w="484" w:type="pct"/>
            <w:vMerge/>
            <w:tcBorders>
              <w:top w:val="single" w:sz="8" w:space="0" w:color="auto"/>
              <w:left w:val="single" w:sz="8" w:space="0" w:color="auto"/>
              <w:bottom w:val="single" w:sz="8" w:space="0" w:color="000000"/>
              <w:right w:val="single" w:sz="8" w:space="0" w:color="auto"/>
            </w:tcBorders>
            <w:vAlign w:val="center"/>
            <w:hideMark/>
          </w:tcPr>
          <w:p w14:paraId="2A365013" w14:textId="77777777" w:rsidR="00DA4369" w:rsidRPr="00A66F03" w:rsidRDefault="00DA4369" w:rsidP="00CF4DEE">
            <w:pPr>
              <w:spacing w:after="0" w:line="240" w:lineRule="auto"/>
              <w:rPr>
                <w:rFonts w:ascii="Calibri" w:eastAsia="Times New Roman" w:hAnsi="Calibri" w:cs="Calibri"/>
                <w:b/>
                <w:bCs/>
                <w:color w:val="000000"/>
                <w:sz w:val="14"/>
                <w:szCs w:val="16"/>
                <w:lang w:val="en-GB"/>
              </w:rPr>
            </w:pPr>
          </w:p>
        </w:tc>
        <w:tc>
          <w:tcPr>
            <w:tcW w:w="277" w:type="pct"/>
            <w:tcBorders>
              <w:top w:val="nil"/>
              <w:left w:val="nil"/>
              <w:bottom w:val="single" w:sz="8" w:space="0" w:color="auto"/>
              <w:right w:val="single" w:sz="8" w:space="0" w:color="auto"/>
            </w:tcBorders>
            <w:shd w:val="clear" w:color="auto" w:fill="auto"/>
            <w:vAlign w:val="center"/>
            <w:hideMark/>
          </w:tcPr>
          <w:p w14:paraId="00AAA812" w14:textId="77777777" w:rsidR="00DA4369" w:rsidRPr="00A66F03" w:rsidRDefault="00976636" w:rsidP="00CF4DEE">
            <w:pPr>
              <w:spacing w:after="0" w:line="240" w:lineRule="auto"/>
              <w:jc w:val="center"/>
              <w:rPr>
                <w:rFonts w:ascii="Calibri" w:eastAsia="Times New Roman" w:hAnsi="Calibri" w:cs="Calibri"/>
                <w:b/>
                <w:bCs/>
                <w:i/>
                <w:iCs/>
                <w:color w:val="000000"/>
                <w:sz w:val="14"/>
                <w:szCs w:val="16"/>
                <w:lang w:val="en-GB"/>
              </w:rPr>
            </w:pPr>
            <w:r w:rsidRPr="00A66F03">
              <w:rPr>
                <w:rFonts w:ascii="Calibri" w:eastAsia="Times New Roman" w:hAnsi="Calibri" w:cs="Calibri"/>
                <w:b/>
                <w:bCs/>
                <w:i/>
                <w:iCs/>
                <w:color w:val="000000"/>
                <w:sz w:val="14"/>
                <w:szCs w:val="16"/>
                <w:lang w:val="en-GB"/>
              </w:rPr>
              <w:t>Allocation at national level</w:t>
            </w:r>
          </w:p>
        </w:tc>
        <w:tc>
          <w:tcPr>
            <w:tcW w:w="277" w:type="pct"/>
            <w:tcBorders>
              <w:top w:val="nil"/>
              <w:left w:val="nil"/>
              <w:bottom w:val="single" w:sz="8" w:space="0" w:color="auto"/>
              <w:right w:val="single" w:sz="8" w:space="0" w:color="auto"/>
            </w:tcBorders>
            <w:shd w:val="clear" w:color="auto" w:fill="auto"/>
            <w:vAlign w:val="center"/>
            <w:hideMark/>
          </w:tcPr>
          <w:p w14:paraId="2DFE72BD" w14:textId="77777777" w:rsidR="00DA4369" w:rsidRPr="00A66F03" w:rsidRDefault="00976636" w:rsidP="00CF4DEE">
            <w:pPr>
              <w:spacing w:after="0" w:line="240" w:lineRule="auto"/>
              <w:jc w:val="center"/>
              <w:rPr>
                <w:rFonts w:ascii="Calibri" w:eastAsia="Times New Roman" w:hAnsi="Calibri" w:cs="Calibri"/>
                <w:b/>
                <w:bCs/>
                <w:i/>
                <w:iCs/>
                <w:color w:val="000000"/>
                <w:sz w:val="14"/>
                <w:szCs w:val="16"/>
                <w:lang w:val="en-GB"/>
              </w:rPr>
            </w:pPr>
            <w:r w:rsidRPr="00A66F03">
              <w:rPr>
                <w:rFonts w:ascii="Calibri" w:eastAsia="Times New Roman" w:hAnsi="Calibri" w:cs="Calibri"/>
                <w:b/>
                <w:bCs/>
                <w:i/>
                <w:iCs/>
                <w:color w:val="000000"/>
                <w:sz w:val="14"/>
                <w:szCs w:val="16"/>
                <w:lang w:val="en-GB"/>
              </w:rPr>
              <w:t>Category of region</w:t>
            </w:r>
          </w:p>
        </w:tc>
        <w:tc>
          <w:tcPr>
            <w:tcW w:w="409" w:type="pct"/>
            <w:tcBorders>
              <w:top w:val="nil"/>
              <w:left w:val="nil"/>
              <w:bottom w:val="single" w:sz="8" w:space="0" w:color="auto"/>
              <w:right w:val="single" w:sz="8" w:space="0" w:color="auto"/>
            </w:tcBorders>
            <w:shd w:val="clear" w:color="auto" w:fill="auto"/>
            <w:vAlign w:val="center"/>
            <w:hideMark/>
          </w:tcPr>
          <w:p w14:paraId="158478FB" w14:textId="77777777" w:rsidR="00DA4369" w:rsidRPr="00A66F03" w:rsidRDefault="00976636" w:rsidP="00CF4DEE">
            <w:pPr>
              <w:spacing w:after="0" w:line="240" w:lineRule="auto"/>
              <w:jc w:val="center"/>
              <w:rPr>
                <w:rFonts w:ascii="Calibri" w:eastAsia="Times New Roman" w:hAnsi="Calibri" w:cs="Calibri"/>
                <w:b/>
                <w:bCs/>
                <w:i/>
                <w:iCs/>
                <w:color w:val="000000"/>
                <w:sz w:val="14"/>
                <w:szCs w:val="16"/>
                <w:lang w:val="en-GB"/>
              </w:rPr>
            </w:pPr>
            <w:r w:rsidRPr="00A66F03">
              <w:rPr>
                <w:rFonts w:ascii="Calibri" w:eastAsia="Times New Roman" w:hAnsi="Calibri" w:cs="Calibri"/>
                <w:b/>
                <w:bCs/>
                <w:i/>
                <w:iCs/>
                <w:color w:val="000000"/>
                <w:sz w:val="14"/>
                <w:szCs w:val="16"/>
                <w:lang w:val="en-GB"/>
              </w:rPr>
              <w:t>Allocation by category of region</w:t>
            </w:r>
          </w:p>
        </w:tc>
        <w:tc>
          <w:tcPr>
            <w:tcW w:w="409" w:type="pct"/>
            <w:vMerge/>
            <w:tcBorders>
              <w:top w:val="single" w:sz="8" w:space="0" w:color="auto"/>
              <w:left w:val="single" w:sz="8" w:space="0" w:color="auto"/>
              <w:bottom w:val="single" w:sz="8" w:space="0" w:color="000000"/>
              <w:right w:val="single" w:sz="8" w:space="0" w:color="auto"/>
            </w:tcBorders>
            <w:vAlign w:val="center"/>
            <w:hideMark/>
          </w:tcPr>
          <w:p w14:paraId="1621FCA1" w14:textId="77777777" w:rsidR="00DA4369" w:rsidRPr="00A66F03" w:rsidRDefault="00DA4369" w:rsidP="00CF4DEE">
            <w:pPr>
              <w:spacing w:after="0" w:line="240" w:lineRule="auto"/>
              <w:rPr>
                <w:rFonts w:ascii="Calibri" w:eastAsia="Times New Roman" w:hAnsi="Calibri" w:cs="Calibri"/>
                <w:b/>
                <w:bCs/>
                <w:color w:val="000000"/>
                <w:sz w:val="14"/>
                <w:szCs w:val="16"/>
                <w:lang w:val="en-GB"/>
              </w:rPr>
            </w:pPr>
          </w:p>
        </w:tc>
        <w:tc>
          <w:tcPr>
            <w:tcW w:w="409" w:type="pct"/>
            <w:tcBorders>
              <w:top w:val="nil"/>
              <w:left w:val="nil"/>
              <w:bottom w:val="single" w:sz="8" w:space="0" w:color="auto"/>
              <w:right w:val="single" w:sz="8" w:space="0" w:color="auto"/>
            </w:tcBorders>
            <w:shd w:val="clear" w:color="auto" w:fill="auto"/>
            <w:vAlign w:val="center"/>
            <w:hideMark/>
          </w:tcPr>
          <w:p w14:paraId="30E57A9A" w14:textId="77777777" w:rsidR="00DA4369" w:rsidRPr="00A66F03" w:rsidRDefault="00976636" w:rsidP="00CF4DEE">
            <w:pPr>
              <w:spacing w:after="0" w:line="240" w:lineRule="auto"/>
              <w:jc w:val="center"/>
              <w:rPr>
                <w:rFonts w:ascii="Calibri" w:eastAsia="Times New Roman" w:hAnsi="Calibri" w:cs="Calibri"/>
                <w:b/>
                <w:bCs/>
                <w:i/>
                <w:iCs/>
                <w:color w:val="000000"/>
                <w:sz w:val="14"/>
                <w:szCs w:val="16"/>
                <w:lang w:val="en-GB"/>
              </w:rPr>
            </w:pPr>
            <w:r w:rsidRPr="00A66F03">
              <w:rPr>
                <w:rFonts w:ascii="Calibri" w:eastAsia="Times New Roman" w:hAnsi="Calibri" w:cs="Calibri"/>
                <w:b/>
                <w:bCs/>
                <w:i/>
                <w:iCs/>
                <w:color w:val="000000"/>
                <w:sz w:val="14"/>
                <w:szCs w:val="16"/>
                <w:lang w:val="en-GB"/>
              </w:rPr>
              <w:t>Allocation at national level</w:t>
            </w:r>
          </w:p>
        </w:tc>
        <w:tc>
          <w:tcPr>
            <w:tcW w:w="409" w:type="pct"/>
            <w:tcBorders>
              <w:top w:val="nil"/>
              <w:left w:val="nil"/>
              <w:bottom w:val="single" w:sz="8" w:space="0" w:color="auto"/>
              <w:right w:val="single" w:sz="8" w:space="0" w:color="auto"/>
            </w:tcBorders>
            <w:shd w:val="clear" w:color="auto" w:fill="auto"/>
            <w:vAlign w:val="center"/>
            <w:hideMark/>
          </w:tcPr>
          <w:p w14:paraId="6E9D3A6D" w14:textId="77777777" w:rsidR="00DA4369" w:rsidRPr="00A66F03" w:rsidRDefault="00976636" w:rsidP="00CF4DEE">
            <w:pPr>
              <w:spacing w:after="0" w:line="240" w:lineRule="auto"/>
              <w:jc w:val="center"/>
              <w:rPr>
                <w:rFonts w:ascii="Calibri" w:eastAsia="Times New Roman" w:hAnsi="Calibri" w:cs="Calibri"/>
                <w:b/>
                <w:bCs/>
                <w:color w:val="000000"/>
                <w:sz w:val="14"/>
                <w:szCs w:val="16"/>
                <w:lang w:val="en-GB"/>
              </w:rPr>
            </w:pPr>
            <w:r w:rsidRPr="00A66F03">
              <w:rPr>
                <w:rFonts w:ascii="Calibri" w:eastAsia="Times New Roman" w:hAnsi="Calibri" w:cs="Calibri"/>
                <w:b/>
                <w:bCs/>
                <w:color w:val="000000"/>
                <w:sz w:val="14"/>
                <w:szCs w:val="16"/>
                <w:lang w:val="en-GB"/>
              </w:rPr>
              <w:t>Article 3 JTF resources</w:t>
            </w:r>
          </w:p>
        </w:tc>
        <w:tc>
          <w:tcPr>
            <w:tcW w:w="409" w:type="pct"/>
            <w:tcBorders>
              <w:top w:val="nil"/>
              <w:left w:val="nil"/>
              <w:bottom w:val="single" w:sz="8" w:space="0" w:color="auto"/>
              <w:right w:val="single" w:sz="8" w:space="0" w:color="auto"/>
            </w:tcBorders>
            <w:shd w:val="clear" w:color="auto" w:fill="auto"/>
            <w:vAlign w:val="center"/>
            <w:hideMark/>
          </w:tcPr>
          <w:p w14:paraId="20D74CF1" w14:textId="77777777" w:rsidR="00DA4369" w:rsidRPr="00A66F03" w:rsidRDefault="00976636" w:rsidP="00CF4DEE">
            <w:pPr>
              <w:spacing w:after="0" w:line="240" w:lineRule="auto"/>
              <w:jc w:val="center"/>
              <w:rPr>
                <w:rFonts w:ascii="Calibri" w:eastAsia="Times New Roman" w:hAnsi="Calibri" w:cs="Calibri"/>
                <w:b/>
                <w:bCs/>
                <w:color w:val="000000"/>
                <w:sz w:val="14"/>
                <w:szCs w:val="16"/>
                <w:lang w:val="en-GB"/>
              </w:rPr>
            </w:pPr>
            <w:r w:rsidRPr="00A66F03">
              <w:rPr>
                <w:rFonts w:ascii="Calibri" w:eastAsia="Times New Roman" w:hAnsi="Calibri" w:cs="Calibri"/>
                <w:b/>
                <w:bCs/>
                <w:color w:val="000000"/>
                <w:sz w:val="14"/>
                <w:szCs w:val="16"/>
                <w:lang w:val="en-GB"/>
              </w:rPr>
              <w:t>Article 4 JTF resources</w:t>
            </w:r>
          </w:p>
        </w:tc>
        <w:tc>
          <w:tcPr>
            <w:tcW w:w="409" w:type="pct"/>
            <w:tcBorders>
              <w:top w:val="nil"/>
              <w:left w:val="nil"/>
              <w:bottom w:val="single" w:sz="8" w:space="0" w:color="auto"/>
              <w:right w:val="single" w:sz="8" w:space="0" w:color="auto"/>
            </w:tcBorders>
            <w:shd w:val="clear" w:color="auto" w:fill="auto"/>
            <w:vAlign w:val="center"/>
            <w:hideMark/>
          </w:tcPr>
          <w:p w14:paraId="7EAF739E" w14:textId="77777777" w:rsidR="00DA4369" w:rsidRPr="00A66F03" w:rsidRDefault="00976636" w:rsidP="00CF4DEE">
            <w:pPr>
              <w:spacing w:after="0" w:line="240" w:lineRule="auto"/>
              <w:jc w:val="center"/>
              <w:rPr>
                <w:rFonts w:ascii="Calibri" w:eastAsia="Times New Roman" w:hAnsi="Calibri" w:cs="Calibri"/>
                <w:b/>
                <w:bCs/>
                <w:i/>
                <w:iCs/>
                <w:color w:val="000000"/>
                <w:sz w:val="14"/>
                <w:szCs w:val="16"/>
                <w:lang w:val="en-GB"/>
              </w:rPr>
            </w:pPr>
            <w:r w:rsidRPr="00A66F03">
              <w:rPr>
                <w:rFonts w:ascii="Calibri" w:eastAsia="Times New Roman" w:hAnsi="Calibri" w:cs="Calibri"/>
                <w:b/>
                <w:bCs/>
                <w:i/>
                <w:iCs/>
                <w:color w:val="000000"/>
                <w:sz w:val="14"/>
                <w:szCs w:val="16"/>
                <w:lang w:val="en-GB"/>
              </w:rPr>
              <w:t>Allocation at national level</w:t>
            </w:r>
          </w:p>
        </w:tc>
        <w:tc>
          <w:tcPr>
            <w:tcW w:w="277" w:type="pct"/>
            <w:tcBorders>
              <w:top w:val="nil"/>
              <w:left w:val="nil"/>
              <w:bottom w:val="single" w:sz="8" w:space="0" w:color="auto"/>
              <w:right w:val="single" w:sz="8" w:space="0" w:color="auto"/>
            </w:tcBorders>
            <w:shd w:val="clear" w:color="auto" w:fill="auto"/>
            <w:vAlign w:val="center"/>
            <w:hideMark/>
          </w:tcPr>
          <w:p w14:paraId="2BF36BD6" w14:textId="77777777" w:rsidR="00DA4369" w:rsidRPr="00A66F03" w:rsidRDefault="00976636" w:rsidP="00CF4DEE">
            <w:pPr>
              <w:spacing w:after="0" w:line="240" w:lineRule="auto"/>
              <w:jc w:val="center"/>
              <w:rPr>
                <w:rFonts w:ascii="Calibri" w:eastAsia="Times New Roman" w:hAnsi="Calibri" w:cs="Calibri"/>
                <w:b/>
                <w:bCs/>
                <w:i/>
                <w:iCs/>
                <w:color w:val="000000"/>
                <w:sz w:val="14"/>
                <w:szCs w:val="16"/>
                <w:lang w:val="en-GB"/>
              </w:rPr>
            </w:pPr>
            <w:r w:rsidRPr="00A66F03">
              <w:rPr>
                <w:rFonts w:ascii="Calibri" w:eastAsia="Times New Roman" w:hAnsi="Calibri" w:cs="Calibri"/>
                <w:b/>
                <w:bCs/>
                <w:i/>
                <w:iCs/>
                <w:color w:val="000000"/>
                <w:sz w:val="14"/>
                <w:szCs w:val="16"/>
                <w:lang w:val="en-GB"/>
              </w:rPr>
              <w:t>Category of region</w:t>
            </w:r>
          </w:p>
        </w:tc>
        <w:tc>
          <w:tcPr>
            <w:tcW w:w="409" w:type="pct"/>
            <w:tcBorders>
              <w:top w:val="nil"/>
              <w:left w:val="nil"/>
              <w:bottom w:val="single" w:sz="8" w:space="0" w:color="auto"/>
              <w:right w:val="single" w:sz="8" w:space="0" w:color="auto"/>
            </w:tcBorders>
            <w:shd w:val="clear" w:color="auto" w:fill="auto"/>
            <w:vAlign w:val="center"/>
            <w:hideMark/>
          </w:tcPr>
          <w:p w14:paraId="347CB8E6" w14:textId="77777777" w:rsidR="00DA4369" w:rsidRPr="00A66F03" w:rsidRDefault="00976636" w:rsidP="00CF4DEE">
            <w:pPr>
              <w:spacing w:after="0" w:line="240" w:lineRule="auto"/>
              <w:jc w:val="center"/>
              <w:rPr>
                <w:rFonts w:ascii="Calibri" w:eastAsia="Times New Roman" w:hAnsi="Calibri" w:cs="Calibri"/>
                <w:b/>
                <w:bCs/>
                <w:i/>
                <w:iCs/>
                <w:color w:val="000000"/>
                <w:sz w:val="14"/>
                <w:szCs w:val="16"/>
                <w:lang w:val="en-GB"/>
              </w:rPr>
            </w:pPr>
            <w:r w:rsidRPr="00A66F03">
              <w:rPr>
                <w:rFonts w:ascii="Calibri" w:eastAsia="Times New Roman" w:hAnsi="Calibri" w:cs="Calibri"/>
                <w:b/>
                <w:bCs/>
                <w:i/>
                <w:iCs/>
                <w:color w:val="000000"/>
                <w:sz w:val="14"/>
                <w:szCs w:val="16"/>
                <w:lang w:val="en-GB"/>
              </w:rPr>
              <w:t>Allocation by category of region</w:t>
            </w:r>
          </w:p>
        </w:tc>
        <w:tc>
          <w:tcPr>
            <w:tcW w:w="409" w:type="pct"/>
            <w:vMerge/>
            <w:tcBorders>
              <w:top w:val="single" w:sz="8" w:space="0" w:color="auto"/>
              <w:left w:val="single" w:sz="8" w:space="0" w:color="auto"/>
              <w:bottom w:val="single" w:sz="8" w:space="0" w:color="000000"/>
              <w:right w:val="single" w:sz="8" w:space="0" w:color="auto"/>
            </w:tcBorders>
            <w:vAlign w:val="center"/>
            <w:hideMark/>
          </w:tcPr>
          <w:p w14:paraId="2FCE2653" w14:textId="77777777" w:rsidR="00DA4369" w:rsidRPr="00A66F03" w:rsidRDefault="00DA4369" w:rsidP="00CF4DEE">
            <w:pPr>
              <w:spacing w:after="0" w:line="240" w:lineRule="auto"/>
              <w:rPr>
                <w:rFonts w:ascii="Calibri" w:eastAsia="Times New Roman" w:hAnsi="Calibri" w:cs="Calibri"/>
                <w:b/>
                <w:bCs/>
                <w:color w:val="000000"/>
                <w:sz w:val="14"/>
                <w:szCs w:val="16"/>
                <w:lang w:val="en-GB"/>
              </w:rPr>
            </w:pPr>
          </w:p>
        </w:tc>
        <w:tc>
          <w:tcPr>
            <w:tcW w:w="409" w:type="pct"/>
            <w:vMerge/>
            <w:tcBorders>
              <w:top w:val="single" w:sz="8" w:space="0" w:color="auto"/>
              <w:left w:val="single" w:sz="8" w:space="0" w:color="auto"/>
              <w:bottom w:val="single" w:sz="8" w:space="0" w:color="000000"/>
              <w:right w:val="single" w:sz="8" w:space="0" w:color="auto"/>
            </w:tcBorders>
            <w:vAlign w:val="center"/>
            <w:hideMark/>
          </w:tcPr>
          <w:p w14:paraId="12A0FEAB" w14:textId="77777777" w:rsidR="00DA4369" w:rsidRPr="00A66F03" w:rsidRDefault="00DA4369" w:rsidP="00CF4DEE">
            <w:pPr>
              <w:spacing w:after="0" w:line="240" w:lineRule="auto"/>
              <w:rPr>
                <w:rFonts w:ascii="Calibri" w:eastAsia="Times New Roman" w:hAnsi="Calibri" w:cs="Calibri"/>
                <w:b/>
                <w:bCs/>
                <w:color w:val="000000"/>
                <w:sz w:val="14"/>
                <w:szCs w:val="16"/>
                <w:lang w:val="en-GB"/>
              </w:rPr>
            </w:pPr>
          </w:p>
        </w:tc>
      </w:tr>
      <w:tr w:rsidR="00143DBE" w:rsidRPr="00A66F03" w14:paraId="42887690" w14:textId="77777777" w:rsidTr="00874C8B">
        <w:tc>
          <w:tcPr>
            <w:tcW w:w="484" w:type="pct"/>
            <w:vMerge w:val="restart"/>
            <w:tcBorders>
              <w:top w:val="nil"/>
              <w:left w:val="single" w:sz="8" w:space="0" w:color="auto"/>
              <w:bottom w:val="single" w:sz="8" w:space="0" w:color="000000"/>
              <w:right w:val="single" w:sz="8" w:space="0" w:color="auto"/>
            </w:tcBorders>
            <w:shd w:val="clear" w:color="auto" w:fill="auto"/>
            <w:vAlign w:val="center"/>
            <w:hideMark/>
          </w:tcPr>
          <w:p w14:paraId="28911A43" w14:textId="77777777" w:rsidR="00DA4369" w:rsidRPr="00A66F03" w:rsidRDefault="00976636" w:rsidP="00CF4DEE">
            <w:pPr>
              <w:spacing w:after="0" w:line="240" w:lineRule="auto"/>
              <w:jc w:val="center"/>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Policy Objective 1</w:t>
            </w:r>
          </w:p>
        </w:tc>
        <w:tc>
          <w:tcPr>
            <w:tcW w:w="277" w:type="pct"/>
            <w:vMerge w:val="restart"/>
            <w:tcBorders>
              <w:top w:val="nil"/>
              <w:left w:val="single" w:sz="8" w:space="0" w:color="auto"/>
              <w:bottom w:val="nil"/>
              <w:right w:val="single" w:sz="8" w:space="0" w:color="auto"/>
            </w:tcBorders>
            <w:shd w:val="clear" w:color="auto" w:fill="auto"/>
            <w:vAlign w:val="center"/>
            <w:hideMark/>
          </w:tcPr>
          <w:p w14:paraId="61A93F06"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w:t>
            </w:r>
          </w:p>
        </w:tc>
        <w:tc>
          <w:tcPr>
            <w:tcW w:w="277" w:type="pct"/>
            <w:tcBorders>
              <w:top w:val="nil"/>
              <w:left w:val="nil"/>
              <w:bottom w:val="single" w:sz="8" w:space="0" w:color="auto"/>
              <w:right w:val="single" w:sz="8" w:space="0" w:color="auto"/>
            </w:tcBorders>
            <w:shd w:val="clear" w:color="auto" w:fill="auto"/>
            <w:vAlign w:val="center"/>
            <w:hideMark/>
          </w:tcPr>
          <w:p w14:paraId="34E3BC58" w14:textId="77777777" w:rsidR="00DA4369" w:rsidRPr="00A66F03" w:rsidRDefault="00976636" w:rsidP="00CF4DEE">
            <w:pPr>
              <w:spacing w:after="0" w:line="240" w:lineRule="auto"/>
              <w:jc w:val="center"/>
              <w:rPr>
                <w:rFonts w:ascii="Calibri" w:eastAsia="Times New Roman" w:hAnsi="Calibri" w:cs="Calibri"/>
                <w:i/>
                <w:iCs/>
                <w:color w:val="000000"/>
                <w:sz w:val="14"/>
                <w:szCs w:val="16"/>
                <w:lang w:val="en-GB"/>
              </w:rPr>
            </w:pPr>
            <w:r w:rsidRPr="00A66F03">
              <w:rPr>
                <w:rFonts w:ascii="Calibri" w:eastAsia="Times New Roman" w:hAnsi="Calibri" w:cs="Calibri"/>
                <w:i/>
                <w:iCs/>
                <w:color w:val="000000"/>
                <w:sz w:val="14"/>
                <w:szCs w:val="16"/>
                <w:lang w:val="en-GB"/>
              </w:rPr>
              <w:t>More developed</w:t>
            </w:r>
          </w:p>
        </w:tc>
        <w:tc>
          <w:tcPr>
            <w:tcW w:w="409" w:type="pct"/>
            <w:tcBorders>
              <w:top w:val="nil"/>
              <w:left w:val="nil"/>
              <w:bottom w:val="single" w:sz="8" w:space="0" w:color="auto"/>
              <w:right w:val="single" w:sz="8" w:space="0" w:color="auto"/>
            </w:tcBorders>
            <w:shd w:val="clear" w:color="auto" w:fill="auto"/>
            <w:vAlign w:val="center"/>
            <w:hideMark/>
          </w:tcPr>
          <w:p w14:paraId="1FBD5CC7"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xml:space="preserve">                             241,306,488   </w:t>
            </w:r>
          </w:p>
        </w:tc>
        <w:tc>
          <w:tcPr>
            <w:tcW w:w="409" w:type="pct"/>
            <w:vMerge w:val="restart"/>
            <w:tcBorders>
              <w:top w:val="nil"/>
              <w:left w:val="single" w:sz="8" w:space="0" w:color="auto"/>
              <w:bottom w:val="nil"/>
              <w:right w:val="single" w:sz="8" w:space="0" w:color="auto"/>
            </w:tcBorders>
            <w:shd w:val="clear" w:color="auto" w:fill="auto"/>
            <w:vAlign w:val="center"/>
            <w:hideMark/>
          </w:tcPr>
          <w:p w14:paraId="3E9D0BD8"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w:t>
            </w:r>
          </w:p>
        </w:tc>
        <w:tc>
          <w:tcPr>
            <w:tcW w:w="409" w:type="pct"/>
            <w:vMerge w:val="restart"/>
            <w:tcBorders>
              <w:top w:val="nil"/>
              <w:left w:val="single" w:sz="8" w:space="0" w:color="auto"/>
              <w:bottom w:val="nil"/>
              <w:right w:val="single" w:sz="8" w:space="0" w:color="auto"/>
            </w:tcBorders>
            <w:shd w:val="clear" w:color="auto" w:fill="auto"/>
            <w:vAlign w:val="center"/>
            <w:hideMark/>
          </w:tcPr>
          <w:p w14:paraId="29DC373C"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w:t>
            </w:r>
          </w:p>
        </w:tc>
        <w:tc>
          <w:tcPr>
            <w:tcW w:w="409" w:type="pct"/>
            <w:tcBorders>
              <w:top w:val="nil"/>
              <w:left w:val="nil"/>
              <w:bottom w:val="single" w:sz="8" w:space="0" w:color="auto"/>
              <w:right w:val="single" w:sz="8" w:space="0" w:color="auto"/>
            </w:tcBorders>
            <w:shd w:val="clear" w:color="auto" w:fill="auto"/>
            <w:vAlign w:val="center"/>
            <w:hideMark/>
          </w:tcPr>
          <w:p w14:paraId="003FC381"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w:t>
            </w:r>
          </w:p>
        </w:tc>
        <w:tc>
          <w:tcPr>
            <w:tcW w:w="409" w:type="pct"/>
            <w:tcBorders>
              <w:top w:val="nil"/>
              <w:left w:val="nil"/>
              <w:bottom w:val="single" w:sz="8" w:space="0" w:color="auto"/>
              <w:right w:val="single" w:sz="8" w:space="0" w:color="auto"/>
            </w:tcBorders>
            <w:shd w:val="clear" w:color="auto" w:fill="auto"/>
            <w:vAlign w:val="center"/>
            <w:hideMark/>
          </w:tcPr>
          <w:p w14:paraId="293BE303"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w:t>
            </w:r>
          </w:p>
        </w:tc>
        <w:tc>
          <w:tcPr>
            <w:tcW w:w="409" w:type="pct"/>
            <w:vMerge w:val="restart"/>
            <w:tcBorders>
              <w:top w:val="nil"/>
              <w:left w:val="single" w:sz="8" w:space="0" w:color="auto"/>
              <w:bottom w:val="nil"/>
              <w:right w:val="single" w:sz="8" w:space="0" w:color="auto"/>
            </w:tcBorders>
            <w:shd w:val="clear" w:color="auto" w:fill="auto"/>
            <w:vAlign w:val="center"/>
            <w:hideMark/>
          </w:tcPr>
          <w:p w14:paraId="7980B7F0"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w:t>
            </w:r>
          </w:p>
        </w:tc>
        <w:tc>
          <w:tcPr>
            <w:tcW w:w="277" w:type="pct"/>
            <w:tcBorders>
              <w:top w:val="nil"/>
              <w:left w:val="nil"/>
              <w:bottom w:val="single" w:sz="8" w:space="0" w:color="auto"/>
              <w:right w:val="single" w:sz="8" w:space="0" w:color="auto"/>
            </w:tcBorders>
            <w:shd w:val="clear" w:color="auto" w:fill="auto"/>
            <w:vAlign w:val="center"/>
            <w:hideMark/>
          </w:tcPr>
          <w:p w14:paraId="5A1D7636" w14:textId="77777777" w:rsidR="00DA4369" w:rsidRPr="00A66F03" w:rsidRDefault="00976636" w:rsidP="00CF4DEE">
            <w:pPr>
              <w:spacing w:after="0" w:line="240" w:lineRule="auto"/>
              <w:jc w:val="center"/>
              <w:rPr>
                <w:rFonts w:ascii="Calibri" w:eastAsia="Times New Roman" w:hAnsi="Calibri" w:cs="Calibri"/>
                <w:i/>
                <w:iCs/>
                <w:color w:val="000000"/>
                <w:sz w:val="14"/>
                <w:szCs w:val="16"/>
                <w:lang w:val="en-GB"/>
              </w:rPr>
            </w:pPr>
            <w:r w:rsidRPr="00A66F03">
              <w:rPr>
                <w:rFonts w:ascii="Calibri" w:eastAsia="Times New Roman" w:hAnsi="Calibri" w:cs="Calibri"/>
                <w:i/>
                <w:iCs/>
                <w:color w:val="000000"/>
                <w:sz w:val="14"/>
                <w:szCs w:val="16"/>
                <w:lang w:val="en-GB"/>
              </w:rPr>
              <w:t>More developed</w:t>
            </w:r>
          </w:p>
        </w:tc>
        <w:tc>
          <w:tcPr>
            <w:tcW w:w="409" w:type="pct"/>
            <w:tcBorders>
              <w:top w:val="nil"/>
              <w:left w:val="nil"/>
              <w:bottom w:val="single" w:sz="8" w:space="0" w:color="auto"/>
              <w:right w:val="single" w:sz="8" w:space="0" w:color="auto"/>
            </w:tcBorders>
            <w:shd w:val="clear" w:color="auto" w:fill="auto"/>
            <w:vAlign w:val="center"/>
            <w:hideMark/>
          </w:tcPr>
          <w:p w14:paraId="374CD18E"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w:t>
            </w:r>
          </w:p>
        </w:tc>
        <w:tc>
          <w:tcPr>
            <w:tcW w:w="409" w:type="pct"/>
            <w:vMerge w:val="restart"/>
            <w:tcBorders>
              <w:top w:val="nil"/>
              <w:left w:val="single" w:sz="8" w:space="0" w:color="auto"/>
              <w:bottom w:val="nil"/>
              <w:right w:val="single" w:sz="8" w:space="0" w:color="auto"/>
            </w:tcBorders>
            <w:shd w:val="clear" w:color="auto" w:fill="auto"/>
            <w:vAlign w:val="center"/>
            <w:hideMark/>
          </w:tcPr>
          <w:p w14:paraId="1910098F"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w:t>
            </w:r>
          </w:p>
        </w:tc>
        <w:tc>
          <w:tcPr>
            <w:tcW w:w="409" w:type="pct"/>
            <w:vMerge w:val="restart"/>
            <w:tcBorders>
              <w:top w:val="nil"/>
              <w:left w:val="single" w:sz="8" w:space="0" w:color="auto"/>
              <w:bottom w:val="nil"/>
              <w:right w:val="single" w:sz="8" w:space="0" w:color="auto"/>
            </w:tcBorders>
            <w:shd w:val="clear" w:color="auto" w:fill="auto"/>
            <w:vAlign w:val="center"/>
            <w:hideMark/>
          </w:tcPr>
          <w:p w14:paraId="174B65AE" w14:textId="77777777" w:rsidR="00DA4369" w:rsidRPr="00A66F03" w:rsidRDefault="00976636" w:rsidP="00CF4DEE">
            <w:pPr>
              <w:spacing w:after="0" w:line="240" w:lineRule="auto"/>
              <w:rPr>
                <w:rFonts w:ascii="Calibri" w:eastAsia="Times New Roman" w:hAnsi="Calibri" w:cs="Calibri"/>
                <w:b/>
                <w:bCs/>
                <w:color w:val="000000"/>
                <w:sz w:val="14"/>
                <w:szCs w:val="16"/>
                <w:lang w:val="en-GB"/>
              </w:rPr>
            </w:pPr>
            <w:r w:rsidRPr="00A66F03">
              <w:rPr>
                <w:rFonts w:ascii="Calibri" w:eastAsia="Times New Roman" w:hAnsi="Calibri" w:cs="Calibri"/>
                <w:b/>
                <w:bCs/>
                <w:color w:val="000000"/>
                <w:sz w:val="14"/>
                <w:szCs w:val="16"/>
                <w:lang w:val="en-GB"/>
              </w:rPr>
              <w:t xml:space="preserve">           727,173,813   </w:t>
            </w:r>
          </w:p>
        </w:tc>
      </w:tr>
      <w:tr w:rsidR="00143DBE" w:rsidRPr="00A66F03" w14:paraId="4E84C32A" w14:textId="77777777" w:rsidTr="00874C8B">
        <w:tc>
          <w:tcPr>
            <w:tcW w:w="484" w:type="pct"/>
            <w:vMerge/>
            <w:tcBorders>
              <w:top w:val="nil"/>
              <w:left w:val="single" w:sz="8" w:space="0" w:color="auto"/>
              <w:bottom w:val="single" w:sz="8" w:space="0" w:color="000000"/>
              <w:right w:val="single" w:sz="8" w:space="0" w:color="auto"/>
            </w:tcBorders>
            <w:vAlign w:val="center"/>
            <w:hideMark/>
          </w:tcPr>
          <w:p w14:paraId="08394E8E" w14:textId="77777777" w:rsidR="00DA4369" w:rsidRPr="00A66F03" w:rsidRDefault="00DA4369" w:rsidP="00CF4DEE">
            <w:pPr>
              <w:spacing w:after="0" w:line="240" w:lineRule="auto"/>
              <w:rPr>
                <w:rFonts w:ascii="Calibri" w:eastAsia="Times New Roman" w:hAnsi="Calibri" w:cs="Calibri"/>
                <w:color w:val="000000"/>
                <w:sz w:val="14"/>
                <w:szCs w:val="16"/>
                <w:lang w:val="en-GB"/>
              </w:rPr>
            </w:pPr>
          </w:p>
        </w:tc>
        <w:tc>
          <w:tcPr>
            <w:tcW w:w="277" w:type="pct"/>
            <w:vMerge/>
            <w:tcBorders>
              <w:top w:val="nil"/>
              <w:left w:val="single" w:sz="8" w:space="0" w:color="auto"/>
              <w:bottom w:val="nil"/>
              <w:right w:val="single" w:sz="8" w:space="0" w:color="auto"/>
            </w:tcBorders>
            <w:vAlign w:val="center"/>
            <w:hideMark/>
          </w:tcPr>
          <w:p w14:paraId="198741B4" w14:textId="77777777" w:rsidR="00DA4369" w:rsidRPr="00A66F03" w:rsidRDefault="00DA4369" w:rsidP="00CF4DEE">
            <w:pPr>
              <w:spacing w:after="0" w:line="240" w:lineRule="auto"/>
              <w:rPr>
                <w:rFonts w:ascii="Calibri" w:eastAsia="Times New Roman" w:hAnsi="Calibri" w:cs="Calibri"/>
                <w:color w:val="000000"/>
                <w:sz w:val="14"/>
                <w:szCs w:val="16"/>
                <w:lang w:val="en-GB"/>
              </w:rPr>
            </w:pPr>
          </w:p>
        </w:tc>
        <w:tc>
          <w:tcPr>
            <w:tcW w:w="277" w:type="pct"/>
            <w:tcBorders>
              <w:top w:val="nil"/>
              <w:left w:val="nil"/>
              <w:bottom w:val="single" w:sz="8" w:space="0" w:color="auto"/>
              <w:right w:val="single" w:sz="8" w:space="0" w:color="auto"/>
            </w:tcBorders>
            <w:shd w:val="clear" w:color="auto" w:fill="auto"/>
            <w:vAlign w:val="center"/>
            <w:hideMark/>
          </w:tcPr>
          <w:p w14:paraId="74F05EFE" w14:textId="77777777" w:rsidR="00DA4369" w:rsidRPr="00A66F03" w:rsidRDefault="00976636" w:rsidP="00CF4DEE">
            <w:pPr>
              <w:spacing w:after="0" w:line="240" w:lineRule="auto"/>
              <w:jc w:val="center"/>
              <w:rPr>
                <w:rFonts w:ascii="Calibri" w:eastAsia="Times New Roman" w:hAnsi="Calibri" w:cs="Calibri"/>
                <w:i/>
                <w:iCs/>
                <w:color w:val="000000"/>
                <w:sz w:val="14"/>
                <w:szCs w:val="16"/>
                <w:lang w:val="en-GB"/>
              </w:rPr>
            </w:pPr>
            <w:r w:rsidRPr="00A66F03">
              <w:rPr>
                <w:rFonts w:ascii="Calibri" w:eastAsia="Times New Roman" w:hAnsi="Calibri" w:cs="Calibri"/>
                <w:i/>
                <w:iCs/>
                <w:color w:val="000000"/>
                <w:sz w:val="14"/>
                <w:szCs w:val="16"/>
                <w:lang w:val="en-GB"/>
              </w:rPr>
              <w:t>Less developed</w:t>
            </w:r>
          </w:p>
        </w:tc>
        <w:tc>
          <w:tcPr>
            <w:tcW w:w="409" w:type="pct"/>
            <w:tcBorders>
              <w:top w:val="nil"/>
              <w:left w:val="nil"/>
              <w:bottom w:val="single" w:sz="8" w:space="0" w:color="auto"/>
              <w:right w:val="single" w:sz="8" w:space="0" w:color="auto"/>
            </w:tcBorders>
            <w:shd w:val="clear" w:color="auto" w:fill="auto"/>
            <w:vAlign w:val="center"/>
            <w:hideMark/>
          </w:tcPr>
          <w:p w14:paraId="447936DA"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xml:space="preserve">                      485,867,325   </w:t>
            </w:r>
          </w:p>
          <w:p w14:paraId="793A1758"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xml:space="preserve">   </w:t>
            </w:r>
          </w:p>
        </w:tc>
        <w:tc>
          <w:tcPr>
            <w:tcW w:w="409" w:type="pct"/>
            <w:vMerge/>
            <w:tcBorders>
              <w:top w:val="nil"/>
              <w:left w:val="single" w:sz="8" w:space="0" w:color="auto"/>
              <w:bottom w:val="nil"/>
              <w:right w:val="single" w:sz="8" w:space="0" w:color="auto"/>
            </w:tcBorders>
            <w:vAlign w:val="center"/>
            <w:hideMark/>
          </w:tcPr>
          <w:p w14:paraId="449E761E" w14:textId="77777777" w:rsidR="00DA4369" w:rsidRPr="00A66F03" w:rsidRDefault="00DA4369" w:rsidP="00CF4DEE">
            <w:pPr>
              <w:spacing w:after="0" w:line="240" w:lineRule="auto"/>
              <w:rPr>
                <w:rFonts w:ascii="Calibri" w:eastAsia="Times New Roman" w:hAnsi="Calibri" w:cs="Calibri"/>
                <w:color w:val="000000"/>
                <w:sz w:val="14"/>
                <w:szCs w:val="16"/>
                <w:lang w:val="en-GB"/>
              </w:rPr>
            </w:pPr>
          </w:p>
        </w:tc>
        <w:tc>
          <w:tcPr>
            <w:tcW w:w="409" w:type="pct"/>
            <w:vMerge/>
            <w:tcBorders>
              <w:top w:val="nil"/>
              <w:left w:val="single" w:sz="8" w:space="0" w:color="auto"/>
              <w:bottom w:val="nil"/>
              <w:right w:val="single" w:sz="8" w:space="0" w:color="auto"/>
            </w:tcBorders>
            <w:vAlign w:val="center"/>
            <w:hideMark/>
          </w:tcPr>
          <w:p w14:paraId="0E262D26" w14:textId="77777777" w:rsidR="00DA4369" w:rsidRPr="00A66F03" w:rsidRDefault="00DA4369" w:rsidP="00CF4DEE">
            <w:pPr>
              <w:spacing w:after="0" w:line="240" w:lineRule="auto"/>
              <w:rPr>
                <w:rFonts w:ascii="Calibri" w:eastAsia="Times New Roman" w:hAnsi="Calibri" w:cs="Calibri"/>
                <w:color w:val="000000"/>
                <w:sz w:val="14"/>
                <w:szCs w:val="16"/>
                <w:lang w:val="en-GB"/>
              </w:rPr>
            </w:pPr>
          </w:p>
        </w:tc>
        <w:tc>
          <w:tcPr>
            <w:tcW w:w="409" w:type="pct"/>
            <w:tcBorders>
              <w:top w:val="nil"/>
              <w:left w:val="nil"/>
              <w:bottom w:val="single" w:sz="8" w:space="0" w:color="auto"/>
              <w:right w:val="single" w:sz="8" w:space="0" w:color="auto"/>
            </w:tcBorders>
            <w:shd w:val="clear" w:color="auto" w:fill="auto"/>
            <w:vAlign w:val="center"/>
            <w:hideMark/>
          </w:tcPr>
          <w:p w14:paraId="699ED2E2"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w:t>
            </w:r>
          </w:p>
        </w:tc>
        <w:tc>
          <w:tcPr>
            <w:tcW w:w="409" w:type="pct"/>
            <w:tcBorders>
              <w:top w:val="nil"/>
              <w:left w:val="nil"/>
              <w:bottom w:val="single" w:sz="8" w:space="0" w:color="auto"/>
              <w:right w:val="single" w:sz="8" w:space="0" w:color="auto"/>
            </w:tcBorders>
            <w:shd w:val="clear" w:color="auto" w:fill="auto"/>
            <w:vAlign w:val="center"/>
            <w:hideMark/>
          </w:tcPr>
          <w:p w14:paraId="0D0D1E44"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w:t>
            </w:r>
          </w:p>
        </w:tc>
        <w:tc>
          <w:tcPr>
            <w:tcW w:w="409" w:type="pct"/>
            <w:vMerge/>
            <w:tcBorders>
              <w:top w:val="nil"/>
              <w:left w:val="single" w:sz="8" w:space="0" w:color="auto"/>
              <w:bottom w:val="nil"/>
              <w:right w:val="single" w:sz="8" w:space="0" w:color="auto"/>
            </w:tcBorders>
            <w:vAlign w:val="center"/>
            <w:hideMark/>
          </w:tcPr>
          <w:p w14:paraId="4B4EDB56" w14:textId="77777777" w:rsidR="00DA4369" w:rsidRPr="00A66F03" w:rsidRDefault="00DA4369" w:rsidP="00CF4DEE">
            <w:pPr>
              <w:spacing w:after="0" w:line="240" w:lineRule="auto"/>
              <w:rPr>
                <w:rFonts w:ascii="Calibri" w:eastAsia="Times New Roman" w:hAnsi="Calibri" w:cs="Calibri"/>
                <w:color w:val="000000"/>
                <w:sz w:val="14"/>
                <w:szCs w:val="16"/>
                <w:lang w:val="en-GB"/>
              </w:rPr>
            </w:pPr>
          </w:p>
        </w:tc>
        <w:tc>
          <w:tcPr>
            <w:tcW w:w="277" w:type="pct"/>
            <w:tcBorders>
              <w:top w:val="nil"/>
              <w:left w:val="nil"/>
              <w:bottom w:val="single" w:sz="8" w:space="0" w:color="auto"/>
              <w:right w:val="single" w:sz="8" w:space="0" w:color="auto"/>
            </w:tcBorders>
            <w:shd w:val="clear" w:color="auto" w:fill="auto"/>
            <w:vAlign w:val="center"/>
            <w:hideMark/>
          </w:tcPr>
          <w:p w14:paraId="2B415AC5" w14:textId="77777777" w:rsidR="00DA4369" w:rsidRPr="00A66F03" w:rsidRDefault="00976636" w:rsidP="00CF4DEE">
            <w:pPr>
              <w:spacing w:after="0" w:line="240" w:lineRule="auto"/>
              <w:jc w:val="center"/>
              <w:rPr>
                <w:rFonts w:ascii="Calibri" w:eastAsia="Times New Roman" w:hAnsi="Calibri" w:cs="Calibri"/>
                <w:i/>
                <w:iCs/>
                <w:color w:val="000000"/>
                <w:sz w:val="14"/>
                <w:szCs w:val="16"/>
                <w:lang w:val="en-GB"/>
              </w:rPr>
            </w:pPr>
            <w:r w:rsidRPr="00A66F03">
              <w:rPr>
                <w:rFonts w:ascii="Calibri" w:eastAsia="Times New Roman" w:hAnsi="Calibri" w:cs="Calibri"/>
                <w:i/>
                <w:iCs/>
                <w:color w:val="000000"/>
                <w:sz w:val="14"/>
                <w:szCs w:val="16"/>
                <w:lang w:val="en-GB"/>
              </w:rPr>
              <w:t>Less developed</w:t>
            </w:r>
          </w:p>
        </w:tc>
        <w:tc>
          <w:tcPr>
            <w:tcW w:w="409" w:type="pct"/>
            <w:tcBorders>
              <w:top w:val="nil"/>
              <w:left w:val="nil"/>
              <w:bottom w:val="single" w:sz="8" w:space="0" w:color="auto"/>
              <w:right w:val="single" w:sz="8" w:space="0" w:color="auto"/>
            </w:tcBorders>
            <w:shd w:val="clear" w:color="auto" w:fill="auto"/>
            <w:vAlign w:val="center"/>
            <w:hideMark/>
          </w:tcPr>
          <w:p w14:paraId="0543F9F5"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w:t>
            </w:r>
          </w:p>
        </w:tc>
        <w:tc>
          <w:tcPr>
            <w:tcW w:w="409" w:type="pct"/>
            <w:vMerge/>
            <w:tcBorders>
              <w:top w:val="nil"/>
              <w:left w:val="single" w:sz="8" w:space="0" w:color="auto"/>
              <w:bottom w:val="nil"/>
              <w:right w:val="single" w:sz="8" w:space="0" w:color="auto"/>
            </w:tcBorders>
            <w:vAlign w:val="center"/>
            <w:hideMark/>
          </w:tcPr>
          <w:p w14:paraId="1BD8DCEF" w14:textId="77777777" w:rsidR="00DA4369" w:rsidRPr="00A66F03" w:rsidRDefault="00DA4369" w:rsidP="00CF4DEE">
            <w:pPr>
              <w:spacing w:after="0" w:line="240" w:lineRule="auto"/>
              <w:rPr>
                <w:rFonts w:ascii="Calibri" w:eastAsia="Times New Roman" w:hAnsi="Calibri" w:cs="Calibri"/>
                <w:color w:val="000000"/>
                <w:sz w:val="14"/>
                <w:szCs w:val="16"/>
                <w:lang w:val="en-GB"/>
              </w:rPr>
            </w:pPr>
          </w:p>
        </w:tc>
        <w:tc>
          <w:tcPr>
            <w:tcW w:w="409" w:type="pct"/>
            <w:vMerge/>
            <w:tcBorders>
              <w:top w:val="nil"/>
              <w:left w:val="single" w:sz="8" w:space="0" w:color="auto"/>
              <w:bottom w:val="nil"/>
              <w:right w:val="single" w:sz="8" w:space="0" w:color="auto"/>
            </w:tcBorders>
            <w:vAlign w:val="center"/>
            <w:hideMark/>
          </w:tcPr>
          <w:p w14:paraId="69A087C0" w14:textId="77777777" w:rsidR="00DA4369" w:rsidRPr="00A66F03" w:rsidRDefault="00DA4369" w:rsidP="00CF4DEE">
            <w:pPr>
              <w:spacing w:after="0" w:line="240" w:lineRule="auto"/>
              <w:rPr>
                <w:rFonts w:ascii="Calibri" w:eastAsia="Times New Roman" w:hAnsi="Calibri" w:cs="Calibri"/>
                <w:b/>
                <w:bCs/>
                <w:color w:val="000000"/>
                <w:sz w:val="14"/>
                <w:szCs w:val="16"/>
                <w:lang w:val="en-GB"/>
              </w:rPr>
            </w:pPr>
          </w:p>
        </w:tc>
      </w:tr>
      <w:tr w:rsidR="00143DBE" w:rsidRPr="00A66F03" w14:paraId="07EB4BCB" w14:textId="77777777" w:rsidTr="00874C8B">
        <w:tc>
          <w:tcPr>
            <w:tcW w:w="484" w:type="pct"/>
            <w:vMerge w:val="restart"/>
            <w:tcBorders>
              <w:top w:val="nil"/>
              <w:left w:val="single" w:sz="8" w:space="0" w:color="auto"/>
              <w:bottom w:val="single" w:sz="8" w:space="0" w:color="000000"/>
              <w:right w:val="single" w:sz="8" w:space="0" w:color="auto"/>
            </w:tcBorders>
            <w:shd w:val="clear" w:color="auto" w:fill="auto"/>
            <w:vAlign w:val="center"/>
            <w:hideMark/>
          </w:tcPr>
          <w:p w14:paraId="56400A1B" w14:textId="77777777" w:rsidR="00DA4369" w:rsidRPr="00A66F03" w:rsidRDefault="00976636" w:rsidP="00CF4DEE">
            <w:pPr>
              <w:spacing w:after="0" w:line="240" w:lineRule="auto"/>
              <w:jc w:val="center"/>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Policy Objective 2</w:t>
            </w:r>
          </w:p>
        </w:tc>
        <w:tc>
          <w:tcPr>
            <w:tcW w:w="277" w:type="pct"/>
            <w:vMerge w:val="restart"/>
            <w:tcBorders>
              <w:top w:val="single" w:sz="8" w:space="0" w:color="auto"/>
              <w:left w:val="single" w:sz="8" w:space="0" w:color="auto"/>
              <w:bottom w:val="nil"/>
              <w:right w:val="single" w:sz="8" w:space="0" w:color="auto"/>
            </w:tcBorders>
            <w:shd w:val="clear" w:color="auto" w:fill="auto"/>
            <w:vAlign w:val="center"/>
            <w:hideMark/>
          </w:tcPr>
          <w:p w14:paraId="71D0A491"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w:t>
            </w:r>
          </w:p>
        </w:tc>
        <w:tc>
          <w:tcPr>
            <w:tcW w:w="277" w:type="pct"/>
            <w:tcBorders>
              <w:top w:val="nil"/>
              <w:left w:val="nil"/>
              <w:bottom w:val="single" w:sz="8" w:space="0" w:color="auto"/>
              <w:right w:val="single" w:sz="8" w:space="0" w:color="auto"/>
            </w:tcBorders>
            <w:shd w:val="clear" w:color="auto" w:fill="auto"/>
            <w:vAlign w:val="center"/>
            <w:hideMark/>
          </w:tcPr>
          <w:p w14:paraId="6C464B0E" w14:textId="77777777" w:rsidR="00DA4369" w:rsidRPr="00A66F03" w:rsidRDefault="00976636" w:rsidP="00CF4DEE">
            <w:pPr>
              <w:spacing w:after="0" w:line="240" w:lineRule="auto"/>
              <w:jc w:val="center"/>
              <w:rPr>
                <w:rFonts w:ascii="Calibri" w:eastAsia="Times New Roman" w:hAnsi="Calibri" w:cs="Calibri"/>
                <w:i/>
                <w:iCs/>
                <w:color w:val="000000"/>
                <w:sz w:val="14"/>
                <w:szCs w:val="16"/>
                <w:lang w:val="en-GB"/>
              </w:rPr>
            </w:pPr>
            <w:r w:rsidRPr="00A66F03">
              <w:rPr>
                <w:rFonts w:ascii="Calibri" w:eastAsia="Times New Roman" w:hAnsi="Calibri" w:cs="Calibri"/>
                <w:i/>
                <w:iCs/>
                <w:color w:val="000000"/>
                <w:sz w:val="14"/>
                <w:szCs w:val="16"/>
                <w:lang w:val="en-GB"/>
              </w:rPr>
              <w:t>More developed</w:t>
            </w:r>
          </w:p>
        </w:tc>
        <w:tc>
          <w:tcPr>
            <w:tcW w:w="409" w:type="pct"/>
            <w:tcBorders>
              <w:top w:val="nil"/>
              <w:left w:val="nil"/>
              <w:bottom w:val="single" w:sz="8" w:space="0" w:color="auto"/>
              <w:right w:val="single" w:sz="8" w:space="0" w:color="auto"/>
            </w:tcBorders>
            <w:shd w:val="clear" w:color="auto" w:fill="auto"/>
            <w:vAlign w:val="center"/>
            <w:hideMark/>
          </w:tcPr>
          <w:p w14:paraId="5FBA4601"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xml:space="preserve">                                     111,714,305   </w:t>
            </w:r>
          </w:p>
          <w:p w14:paraId="081C8030" w14:textId="77777777" w:rsidR="00DA4369" w:rsidRPr="00A66F03" w:rsidRDefault="00DA4369" w:rsidP="00CF4DEE">
            <w:pPr>
              <w:spacing w:after="0" w:line="240" w:lineRule="auto"/>
              <w:rPr>
                <w:rFonts w:ascii="Calibri" w:eastAsia="Times New Roman" w:hAnsi="Calibri" w:cs="Calibri"/>
                <w:color w:val="000000"/>
                <w:sz w:val="14"/>
                <w:szCs w:val="16"/>
                <w:lang w:val="en-GB"/>
              </w:rPr>
            </w:pPr>
          </w:p>
        </w:tc>
        <w:tc>
          <w:tcPr>
            <w:tcW w:w="409" w:type="pct"/>
            <w:vMerge w:val="restart"/>
            <w:tcBorders>
              <w:top w:val="single" w:sz="8" w:space="0" w:color="auto"/>
              <w:left w:val="single" w:sz="8" w:space="0" w:color="auto"/>
              <w:bottom w:val="nil"/>
              <w:right w:val="single" w:sz="8" w:space="0" w:color="auto"/>
            </w:tcBorders>
            <w:shd w:val="clear" w:color="auto" w:fill="auto"/>
            <w:vAlign w:val="center"/>
            <w:hideMark/>
          </w:tcPr>
          <w:p w14:paraId="486E7386"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xml:space="preserve">           295,533,041   </w:t>
            </w:r>
          </w:p>
        </w:tc>
        <w:tc>
          <w:tcPr>
            <w:tcW w:w="409" w:type="pct"/>
            <w:vMerge w:val="restart"/>
            <w:tcBorders>
              <w:top w:val="single" w:sz="8" w:space="0" w:color="auto"/>
              <w:left w:val="single" w:sz="8" w:space="0" w:color="auto"/>
              <w:bottom w:val="nil"/>
              <w:right w:val="single" w:sz="8" w:space="0" w:color="auto"/>
            </w:tcBorders>
            <w:shd w:val="clear" w:color="auto" w:fill="auto"/>
            <w:vAlign w:val="center"/>
            <w:hideMark/>
          </w:tcPr>
          <w:p w14:paraId="5052BD76"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w:t>
            </w:r>
          </w:p>
        </w:tc>
        <w:tc>
          <w:tcPr>
            <w:tcW w:w="409" w:type="pct"/>
            <w:tcBorders>
              <w:top w:val="nil"/>
              <w:left w:val="nil"/>
              <w:bottom w:val="single" w:sz="8" w:space="0" w:color="auto"/>
              <w:right w:val="single" w:sz="8" w:space="0" w:color="auto"/>
            </w:tcBorders>
            <w:shd w:val="clear" w:color="auto" w:fill="auto"/>
            <w:vAlign w:val="center"/>
            <w:hideMark/>
          </w:tcPr>
          <w:p w14:paraId="113B3348"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w:t>
            </w:r>
          </w:p>
        </w:tc>
        <w:tc>
          <w:tcPr>
            <w:tcW w:w="409" w:type="pct"/>
            <w:tcBorders>
              <w:top w:val="nil"/>
              <w:left w:val="nil"/>
              <w:bottom w:val="single" w:sz="8" w:space="0" w:color="auto"/>
              <w:right w:val="single" w:sz="8" w:space="0" w:color="auto"/>
            </w:tcBorders>
            <w:shd w:val="clear" w:color="auto" w:fill="auto"/>
            <w:vAlign w:val="center"/>
            <w:hideMark/>
          </w:tcPr>
          <w:p w14:paraId="272B1BB6"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w:t>
            </w:r>
          </w:p>
        </w:tc>
        <w:tc>
          <w:tcPr>
            <w:tcW w:w="409" w:type="pct"/>
            <w:vMerge w:val="restart"/>
            <w:tcBorders>
              <w:top w:val="single" w:sz="8" w:space="0" w:color="auto"/>
              <w:left w:val="single" w:sz="8" w:space="0" w:color="auto"/>
              <w:bottom w:val="nil"/>
              <w:right w:val="single" w:sz="8" w:space="0" w:color="auto"/>
            </w:tcBorders>
            <w:shd w:val="clear" w:color="auto" w:fill="auto"/>
            <w:vAlign w:val="center"/>
            <w:hideMark/>
          </w:tcPr>
          <w:p w14:paraId="3BD2E4B1"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w:t>
            </w:r>
          </w:p>
        </w:tc>
        <w:tc>
          <w:tcPr>
            <w:tcW w:w="277" w:type="pct"/>
            <w:tcBorders>
              <w:top w:val="nil"/>
              <w:left w:val="nil"/>
              <w:bottom w:val="single" w:sz="8" w:space="0" w:color="auto"/>
              <w:right w:val="single" w:sz="8" w:space="0" w:color="auto"/>
            </w:tcBorders>
            <w:shd w:val="clear" w:color="auto" w:fill="auto"/>
            <w:vAlign w:val="center"/>
            <w:hideMark/>
          </w:tcPr>
          <w:p w14:paraId="249C3065" w14:textId="77777777" w:rsidR="00DA4369" w:rsidRPr="00A66F03" w:rsidRDefault="00976636" w:rsidP="00CF4DEE">
            <w:pPr>
              <w:spacing w:after="0" w:line="240" w:lineRule="auto"/>
              <w:jc w:val="center"/>
              <w:rPr>
                <w:rFonts w:ascii="Calibri" w:eastAsia="Times New Roman" w:hAnsi="Calibri" w:cs="Calibri"/>
                <w:i/>
                <w:iCs/>
                <w:color w:val="000000"/>
                <w:sz w:val="14"/>
                <w:szCs w:val="16"/>
                <w:lang w:val="en-GB"/>
              </w:rPr>
            </w:pPr>
            <w:r w:rsidRPr="00A66F03">
              <w:rPr>
                <w:rFonts w:ascii="Calibri" w:eastAsia="Times New Roman" w:hAnsi="Calibri" w:cs="Calibri"/>
                <w:i/>
                <w:iCs/>
                <w:color w:val="000000"/>
                <w:sz w:val="14"/>
                <w:szCs w:val="16"/>
                <w:lang w:val="en-GB"/>
              </w:rPr>
              <w:t>More developed</w:t>
            </w:r>
          </w:p>
        </w:tc>
        <w:tc>
          <w:tcPr>
            <w:tcW w:w="409" w:type="pct"/>
            <w:tcBorders>
              <w:top w:val="nil"/>
              <w:left w:val="nil"/>
              <w:bottom w:val="single" w:sz="8" w:space="0" w:color="auto"/>
              <w:right w:val="single" w:sz="8" w:space="0" w:color="auto"/>
            </w:tcBorders>
            <w:shd w:val="clear" w:color="auto" w:fill="auto"/>
            <w:vAlign w:val="center"/>
            <w:hideMark/>
          </w:tcPr>
          <w:p w14:paraId="16F96138"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w:t>
            </w:r>
          </w:p>
        </w:tc>
        <w:tc>
          <w:tcPr>
            <w:tcW w:w="409" w:type="pct"/>
            <w:vMerge w:val="restart"/>
            <w:tcBorders>
              <w:top w:val="single" w:sz="8" w:space="0" w:color="auto"/>
              <w:left w:val="single" w:sz="8" w:space="0" w:color="auto"/>
              <w:bottom w:val="nil"/>
              <w:right w:val="single" w:sz="8" w:space="0" w:color="auto"/>
            </w:tcBorders>
            <w:shd w:val="clear" w:color="auto" w:fill="auto"/>
            <w:vAlign w:val="center"/>
            <w:hideMark/>
          </w:tcPr>
          <w:p w14:paraId="7813629A"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xml:space="preserve">              13,678,134   </w:t>
            </w:r>
          </w:p>
        </w:tc>
        <w:tc>
          <w:tcPr>
            <w:tcW w:w="409" w:type="pct"/>
            <w:vMerge w:val="restart"/>
            <w:tcBorders>
              <w:top w:val="single" w:sz="8" w:space="0" w:color="auto"/>
              <w:left w:val="single" w:sz="8" w:space="0" w:color="auto"/>
              <w:bottom w:val="nil"/>
              <w:right w:val="single" w:sz="8" w:space="0" w:color="auto"/>
            </w:tcBorders>
            <w:shd w:val="clear" w:color="auto" w:fill="auto"/>
            <w:vAlign w:val="center"/>
            <w:hideMark/>
          </w:tcPr>
          <w:p w14:paraId="1ABAB62B" w14:textId="77777777" w:rsidR="00DA4369" w:rsidRPr="00A66F03" w:rsidRDefault="00976636" w:rsidP="00CF4DEE">
            <w:pPr>
              <w:spacing w:after="0" w:line="240" w:lineRule="auto"/>
              <w:rPr>
                <w:rFonts w:ascii="Calibri" w:eastAsia="Times New Roman" w:hAnsi="Calibri" w:cs="Calibri"/>
                <w:b/>
                <w:bCs/>
                <w:color w:val="000000"/>
                <w:sz w:val="14"/>
                <w:szCs w:val="16"/>
                <w:lang w:val="en-GB"/>
              </w:rPr>
            </w:pPr>
            <w:r w:rsidRPr="00A66F03">
              <w:rPr>
                <w:rFonts w:ascii="Calibri" w:eastAsia="Times New Roman" w:hAnsi="Calibri" w:cs="Calibri"/>
                <w:b/>
                <w:bCs/>
                <w:color w:val="000000"/>
                <w:sz w:val="14"/>
                <w:szCs w:val="16"/>
                <w:lang w:val="en-GB"/>
              </w:rPr>
              <w:t xml:space="preserve">            806,712,567   </w:t>
            </w:r>
          </w:p>
        </w:tc>
      </w:tr>
      <w:tr w:rsidR="00143DBE" w:rsidRPr="00A66F03" w14:paraId="78642D84" w14:textId="77777777" w:rsidTr="00874C8B">
        <w:tc>
          <w:tcPr>
            <w:tcW w:w="484" w:type="pct"/>
            <w:vMerge/>
            <w:tcBorders>
              <w:top w:val="nil"/>
              <w:left w:val="single" w:sz="8" w:space="0" w:color="auto"/>
              <w:bottom w:val="single" w:sz="8" w:space="0" w:color="000000"/>
              <w:right w:val="single" w:sz="8" w:space="0" w:color="auto"/>
            </w:tcBorders>
            <w:vAlign w:val="center"/>
            <w:hideMark/>
          </w:tcPr>
          <w:p w14:paraId="68C758C0" w14:textId="77777777" w:rsidR="00DA4369" w:rsidRPr="00A66F03" w:rsidRDefault="00DA4369" w:rsidP="00CF4DEE">
            <w:pPr>
              <w:spacing w:after="0" w:line="240" w:lineRule="auto"/>
              <w:rPr>
                <w:rFonts w:ascii="Calibri" w:eastAsia="Times New Roman" w:hAnsi="Calibri" w:cs="Calibri"/>
                <w:color w:val="000000"/>
                <w:sz w:val="14"/>
                <w:szCs w:val="16"/>
                <w:lang w:val="en-GB"/>
              </w:rPr>
            </w:pPr>
          </w:p>
        </w:tc>
        <w:tc>
          <w:tcPr>
            <w:tcW w:w="277" w:type="pct"/>
            <w:vMerge/>
            <w:tcBorders>
              <w:top w:val="single" w:sz="8" w:space="0" w:color="auto"/>
              <w:left w:val="single" w:sz="8" w:space="0" w:color="auto"/>
              <w:bottom w:val="nil"/>
              <w:right w:val="single" w:sz="8" w:space="0" w:color="auto"/>
            </w:tcBorders>
            <w:vAlign w:val="center"/>
            <w:hideMark/>
          </w:tcPr>
          <w:p w14:paraId="42A4ABD2" w14:textId="77777777" w:rsidR="00DA4369" w:rsidRPr="00A66F03" w:rsidRDefault="00DA4369" w:rsidP="00CF4DEE">
            <w:pPr>
              <w:spacing w:after="0" w:line="240" w:lineRule="auto"/>
              <w:rPr>
                <w:rFonts w:ascii="Calibri" w:eastAsia="Times New Roman" w:hAnsi="Calibri" w:cs="Calibri"/>
                <w:color w:val="000000"/>
                <w:sz w:val="14"/>
                <w:szCs w:val="16"/>
                <w:lang w:val="en-GB"/>
              </w:rPr>
            </w:pPr>
          </w:p>
        </w:tc>
        <w:tc>
          <w:tcPr>
            <w:tcW w:w="277" w:type="pct"/>
            <w:tcBorders>
              <w:top w:val="nil"/>
              <w:left w:val="nil"/>
              <w:bottom w:val="single" w:sz="8" w:space="0" w:color="auto"/>
              <w:right w:val="single" w:sz="8" w:space="0" w:color="auto"/>
            </w:tcBorders>
            <w:shd w:val="clear" w:color="auto" w:fill="auto"/>
            <w:vAlign w:val="center"/>
            <w:hideMark/>
          </w:tcPr>
          <w:p w14:paraId="42606A9C" w14:textId="77777777" w:rsidR="00DA4369" w:rsidRPr="00A66F03" w:rsidRDefault="00976636" w:rsidP="00CF4DEE">
            <w:pPr>
              <w:spacing w:after="0" w:line="240" w:lineRule="auto"/>
              <w:jc w:val="center"/>
              <w:rPr>
                <w:rFonts w:ascii="Calibri" w:eastAsia="Times New Roman" w:hAnsi="Calibri" w:cs="Calibri"/>
                <w:i/>
                <w:iCs/>
                <w:color w:val="000000"/>
                <w:sz w:val="14"/>
                <w:szCs w:val="16"/>
                <w:lang w:val="en-GB"/>
              </w:rPr>
            </w:pPr>
            <w:r w:rsidRPr="00A66F03">
              <w:rPr>
                <w:rFonts w:ascii="Calibri" w:eastAsia="Times New Roman" w:hAnsi="Calibri" w:cs="Calibri"/>
                <w:i/>
                <w:iCs/>
                <w:color w:val="000000"/>
                <w:sz w:val="14"/>
                <w:szCs w:val="16"/>
                <w:lang w:val="en-GB"/>
              </w:rPr>
              <w:t xml:space="preserve">Less </w:t>
            </w:r>
            <w:r w:rsidRPr="00A66F03">
              <w:rPr>
                <w:rFonts w:ascii="Calibri" w:eastAsia="Times New Roman" w:hAnsi="Calibri" w:cs="Calibri"/>
                <w:i/>
                <w:iCs/>
                <w:color w:val="000000"/>
                <w:sz w:val="14"/>
                <w:szCs w:val="16"/>
                <w:lang w:val="en-GB"/>
              </w:rPr>
              <w:t>developed</w:t>
            </w:r>
          </w:p>
        </w:tc>
        <w:tc>
          <w:tcPr>
            <w:tcW w:w="409" w:type="pct"/>
            <w:tcBorders>
              <w:top w:val="nil"/>
              <w:left w:val="nil"/>
              <w:bottom w:val="single" w:sz="8" w:space="0" w:color="auto"/>
              <w:right w:val="single" w:sz="8" w:space="0" w:color="auto"/>
            </w:tcBorders>
            <w:shd w:val="clear" w:color="auto" w:fill="auto"/>
            <w:vAlign w:val="center"/>
            <w:hideMark/>
          </w:tcPr>
          <w:p w14:paraId="07E6BBEA"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xml:space="preserve">           385,787,087   </w:t>
            </w:r>
          </w:p>
        </w:tc>
        <w:tc>
          <w:tcPr>
            <w:tcW w:w="409" w:type="pct"/>
            <w:vMerge/>
            <w:tcBorders>
              <w:top w:val="single" w:sz="8" w:space="0" w:color="auto"/>
              <w:left w:val="single" w:sz="8" w:space="0" w:color="auto"/>
              <w:bottom w:val="nil"/>
              <w:right w:val="single" w:sz="8" w:space="0" w:color="auto"/>
            </w:tcBorders>
            <w:vAlign w:val="center"/>
            <w:hideMark/>
          </w:tcPr>
          <w:p w14:paraId="39C3C04C" w14:textId="77777777" w:rsidR="00DA4369" w:rsidRPr="00A66F03" w:rsidRDefault="00DA4369" w:rsidP="00CF4DEE">
            <w:pPr>
              <w:spacing w:after="0" w:line="240" w:lineRule="auto"/>
              <w:rPr>
                <w:rFonts w:ascii="Calibri" w:eastAsia="Times New Roman" w:hAnsi="Calibri" w:cs="Calibri"/>
                <w:color w:val="000000"/>
                <w:sz w:val="14"/>
                <w:szCs w:val="16"/>
                <w:lang w:val="en-GB"/>
              </w:rPr>
            </w:pPr>
          </w:p>
        </w:tc>
        <w:tc>
          <w:tcPr>
            <w:tcW w:w="409" w:type="pct"/>
            <w:vMerge/>
            <w:tcBorders>
              <w:top w:val="single" w:sz="8" w:space="0" w:color="auto"/>
              <w:left w:val="single" w:sz="8" w:space="0" w:color="auto"/>
              <w:bottom w:val="nil"/>
              <w:right w:val="single" w:sz="8" w:space="0" w:color="auto"/>
            </w:tcBorders>
            <w:vAlign w:val="center"/>
            <w:hideMark/>
          </w:tcPr>
          <w:p w14:paraId="25B4F79B" w14:textId="77777777" w:rsidR="00DA4369" w:rsidRPr="00A66F03" w:rsidRDefault="00DA4369" w:rsidP="00CF4DEE">
            <w:pPr>
              <w:spacing w:after="0" w:line="240" w:lineRule="auto"/>
              <w:rPr>
                <w:rFonts w:ascii="Calibri" w:eastAsia="Times New Roman" w:hAnsi="Calibri" w:cs="Calibri"/>
                <w:color w:val="000000"/>
                <w:sz w:val="14"/>
                <w:szCs w:val="16"/>
                <w:lang w:val="en-GB"/>
              </w:rPr>
            </w:pPr>
          </w:p>
        </w:tc>
        <w:tc>
          <w:tcPr>
            <w:tcW w:w="409" w:type="pct"/>
            <w:tcBorders>
              <w:top w:val="nil"/>
              <w:left w:val="nil"/>
              <w:bottom w:val="single" w:sz="8" w:space="0" w:color="auto"/>
              <w:right w:val="single" w:sz="8" w:space="0" w:color="auto"/>
            </w:tcBorders>
            <w:shd w:val="clear" w:color="auto" w:fill="auto"/>
            <w:vAlign w:val="center"/>
            <w:hideMark/>
          </w:tcPr>
          <w:p w14:paraId="2A8BC08A"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w:t>
            </w:r>
          </w:p>
        </w:tc>
        <w:tc>
          <w:tcPr>
            <w:tcW w:w="409" w:type="pct"/>
            <w:tcBorders>
              <w:top w:val="nil"/>
              <w:left w:val="nil"/>
              <w:bottom w:val="single" w:sz="8" w:space="0" w:color="auto"/>
              <w:right w:val="single" w:sz="8" w:space="0" w:color="auto"/>
            </w:tcBorders>
            <w:shd w:val="clear" w:color="auto" w:fill="auto"/>
            <w:vAlign w:val="center"/>
            <w:hideMark/>
          </w:tcPr>
          <w:p w14:paraId="4E662FB2"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w:t>
            </w:r>
          </w:p>
        </w:tc>
        <w:tc>
          <w:tcPr>
            <w:tcW w:w="409" w:type="pct"/>
            <w:vMerge/>
            <w:tcBorders>
              <w:top w:val="single" w:sz="8" w:space="0" w:color="auto"/>
              <w:left w:val="single" w:sz="8" w:space="0" w:color="auto"/>
              <w:bottom w:val="nil"/>
              <w:right w:val="single" w:sz="8" w:space="0" w:color="auto"/>
            </w:tcBorders>
            <w:vAlign w:val="center"/>
            <w:hideMark/>
          </w:tcPr>
          <w:p w14:paraId="41409708" w14:textId="77777777" w:rsidR="00DA4369" w:rsidRPr="00A66F03" w:rsidRDefault="00DA4369" w:rsidP="00CF4DEE">
            <w:pPr>
              <w:spacing w:after="0" w:line="240" w:lineRule="auto"/>
              <w:rPr>
                <w:rFonts w:ascii="Calibri" w:eastAsia="Times New Roman" w:hAnsi="Calibri" w:cs="Calibri"/>
                <w:color w:val="000000"/>
                <w:sz w:val="14"/>
                <w:szCs w:val="16"/>
                <w:lang w:val="en-GB"/>
              </w:rPr>
            </w:pPr>
          </w:p>
        </w:tc>
        <w:tc>
          <w:tcPr>
            <w:tcW w:w="277" w:type="pct"/>
            <w:tcBorders>
              <w:top w:val="nil"/>
              <w:left w:val="nil"/>
              <w:bottom w:val="single" w:sz="8" w:space="0" w:color="auto"/>
              <w:right w:val="single" w:sz="8" w:space="0" w:color="auto"/>
            </w:tcBorders>
            <w:shd w:val="clear" w:color="auto" w:fill="auto"/>
            <w:vAlign w:val="center"/>
            <w:hideMark/>
          </w:tcPr>
          <w:p w14:paraId="65EEDFCD" w14:textId="77777777" w:rsidR="00DA4369" w:rsidRPr="00A66F03" w:rsidRDefault="00976636" w:rsidP="00CF4DEE">
            <w:pPr>
              <w:spacing w:after="0" w:line="240" w:lineRule="auto"/>
              <w:jc w:val="center"/>
              <w:rPr>
                <w:rFonts w:ascii="Calibri" w:eastAsia="Times New Roman" w:hAnsi="Calibri" w:cs="Calibri"/>
                <w:i/>
                <w:iCs/>
                <w:color w:val="000000"/>
                <w:sz w:val="14"/>
                <w:szCs w:val="16"/>
                <w:lang w:val="en-GB"/>
              </w:rPr>
            </w:pPr>
            <w:r w:rsidRPr="00A66F03">
              <w:rPr>
                <w:rFonts w:ascii="Calibri" w:eastAsia="Times New Roman" w:hAnsi="Calibri" w:cs="Calibri"/>
                <w:i/>
                <w:iCs/>
                <w:color w:val="000000"/>
                <w:sz w:val="14"/>
                <w:szCs w:val="16"/>
                <w:lang w:val="en-GB"/>
              </w:rPr>
              <w:t>Less developed</w:t>
            </w:r>
          </w:p>
        </w:tc>
        <w:tc>
          <w:tcPr>
            <w:tcW w:w="409" w:type="pct"/>
            <w:tcBorders>
              <w:top w:val="nil"/>
              <w:left w:val="nil"/>
              <w:bottom w:val="single" w:sz="8" w:space="0" w:color="auto"/>
              <w:right w:val="single" w:sz="8" w:space="0" w:color="auto"/>
            </w:tcBorders>
            <w:shd w:val="clear" w:color="auto" w:fill="auto"/>
            <w:vAlign w:val="center"/>
            <w:hideMark/>
          </w:tcPr>
          <w:p w14:paraId="180CA9C5"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w:t>
            </w:r>
          </w:p>
        </w:tc>
        <w:tc>
          <w:tcPr>
            <w:tcW w:w="409" w:type="pct"/>
            <w:vMerge/>
            <w:tcBorders>
              <w:top w:val="single" w:sz="8" w:space="0" w:color="auto"/>
              <w:left w:val="single" w:sz="8" w:space="0" w:color="auto"/>
              <w:bottom w:val="nil"/>
              <w:right w:val="single" w:sz="8" w:space="0" w:color="auto"/>
            </w:tcBorders>
            <w:vAlign w:val="center"/>
            <w:hideMark/>
          </w:tcPr>
          <w:p w14:paraId="38D9AC6E" w14:textId="77777777" w:rsidR="00DA4369" w:rsidRPr="00A66F03" w:rsidRDefault="00DA4369" w:rsidP="00CF4DEE">
            <w:pPr>
              <w:spacing w:after="0" w:line="240" w:lineRule="auto"/>
              <w:rPr>
                <w:rFonts w:ascii="Calibri" w:eastAsia="Times New Roman" w:hAnsi="Calibri" w:cs="Calibri"/>
                <w:color w:val="000000"/>
                <w:sz w:val="14"/>
                <w:szCs w:val="16"/>
                <w:lang w:val="en-GB"/>
              </w:rPr>
            </w:pPr>
          </w:p>
        </w:tc>
        <w:tc>
          <w:tcPr>
            <w:tcW w:w="409" w:type="pct"/>
            <w:vMerge/>
            <w:tcBorders>
              <w:top w:val="single" w:sz="8" w:space="0" w:color="auto"/>
              <w:left w:val="single" w:sz="8" w:space="0" w:color="auto"/>
              <w:bottom w:val="nil"/>
              <w:right w:val="single" w:sz="8" w:space="0" w:color="auto"/>
            </w:tcBorders>
            <w:vAlign w:val="center"/>
            <w:hideMark/>
          </w:tcPr>
          <w:p w14:paraId="11B8C4D7" w14:textId="77777777" w:rsidR="00DA4369" w:rsidRPr="00A66F03" w:rsidRDefault="00DA4369" w:rsidP="00CF4DEE">
            <w:pPr>
              <w:spacing w:after="0" w:line="240" w:lineRule="auto"/>
              <w:rPr>
                <w:rFonts w:ascii="Calibri" w:eastAsia="Times New Roman" w:hAnsi="Calibri" w:cs="Calibri"/>
                <w:b/>
                <w:bCs/>
                <w:color w:val="000000"/>
                <w:sz w:val="14"/>
                <w:szCs w:val="16"/>
                <w:lang w:val="en-GB"/>
              </w:rPr>
            </w:pPr>
          </w:p>
        </w:tc>
      </w:tr>
      <w:tr w:rsidR="00143DBE" w:rsidRPr="00A66F03" w14:paraId="422B5F04" w14:textId="77777777" w:rsidTr="00874C8B">
        <w:tc>
          <w:tcPr>
            <w:tcW w:w="484" w:type="pct"/>
            <w:vMerge w:val="restart"/>
            <w:tcBorders>
              <w:top w:val="nil"/>
              <w:left w:val="single" w:sz="8" w:space="0" w:color="auto"/>
              <w:bottom w:val="single" w:sz="8" w:space="0" w:color="000000"/>
              <w:right w:val="single" w:sz="8" w:space="0" w:color="auto"/>
            </w:tcBorders>
            <w:shd w:val="clear" w:color="auto" w:fill="auto"/>
            <w:vAlign w:val="center"/>
            <w:hideMark/>
          </w:tcPr>
          <w:p w14:paraId="363310BF" w14:textId="77777777" w:rsidR="00DA4369" w:rsidRPr="00A66F03" w:rsidRDefault="00976636" w:rsidP="00CF4DEE">
            <w:pPr>
              <w:spacing w:after="0" w:line="240" w:lineRule="auto"/>
              <w:jc w:val="center"/>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Policy Objective 3</w:t>
            </w:r>
          </w:p>
        </w:tc>
        <w:tc>
          <w:tcPr>
            <w:tcW w:w="277" w:type="pct"/>
            <w:vMerge w:val="restart"/>
            <w:tcBorders>
              <w:top w:val="single" w:sz="8" w:space="0" w:color="auto"/>
              <w:left w:val="single" w:sz="8" w:space="0" w:color="auto"/>
              <w:bottom w:val="nil"/>
              <w:right w:val="single" w:sz="8" w:space="0" w:color="auto"/>
            </w:tcBorders>
            <w:shd w:val="clear" w:color="auto" w:fill="auto"/>
            <w:vAlign w:val="center"/>
            <w:hideMark/>
          </w:tcPr>
          <w:p w14:paraId="60164986"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w:t>
            </w:r>
          </w:p>
        </w:tc>
        <w:tc>
          <w:tcPr>
            <w:tcW w:w="277" w:type="pct"/>
            <w:tcBorders>
              <w:top w:val="nil"/>
              <w:left w:val="nil"/>
              <w:bottom w:val="single" w:sz="8" w:space="0" w:color="auto"/>
              <w:right w:val="single" w:sz="8" w:space="0" w:color="auto"/>
            </w:tcBorders>
            <w:shd w:val="clear" w:color="auto" w:fill="auto"/>
            <w:vAlign w:val="center"/>
            <w:hideMark/>
          </w:tcPr>
          <w:p w14:paraId="520F8739" w14:textId="77777777" w:rsidR="00DA4369" w:rsidRPr="00A66F03" w:rsidRDefault="00976636" w:rsidP="00CF4DEE">
            <w:pPr>
              <w:spacing w:after="0" w:line="240" w:lineRule="auto"/>
              <w:jc w:val="center"/>
              <w:rPr>
                <w:rFonts w:ascii="Calibri" w:eastAsia="Times New Roman" w:hAnsi="Calibri" w:cs="Calibri"/>
                <w:i/>
                <w:iCs/>
                <w:color w:val="000000"/>
                <w:sz w:val="14"/>
                <w:szCs w:val="16"/>
                <w:lang w:val="en-GB"/>
              </w:rPr>
            </w:pPr>
            <w:r w:rsidRPr="00A66F03">
              <w:rPr>
                <w:rFonts w:ascii="Calibri" w:eastAsia="Times New Roman" w:hAnsi="Calibri" w:cs="Calibri"/>
                <w:i/>
                <w:iCs/>
                <w:color w:val="000000"/>
                <w:sz w:val="14"/>
                <w:szCs w:val="16"/>
                <w:lang w:val="en-GB"/>
              </w:rPr>
              <w:t>More developed</w:t>
            </w:r>
          </w:p>
        </w:tc>
        <w:tc>
          <w:tcPr>
            <w:tcW w:w="409" w:type="pct"/>
            <w:tcBorders>
              <w:top w:val="nil"/>
              <w:left w:val="nil"/>
              <w:bottom w:val="single" w:sz="8" w:space="0" w:color="auto"/>
              <w:right w:val="single" w:sz="8" w:space="0" w:color="auto"/>
            </w:tcBorders>
            <w:shd w:val="clear" w:color="auto" w:fill="auto"/>
            <w:vAlign w:val="center"/>
            <w:hideMark/>
          </w:tcPr>
          <w:p w14:paraId="38C384FA"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w:t>
            </w:r>
          </w:p>
        </w:tc>
        <w:tc>
          <w:tcPr>
            <w:tcW w:w="409" w:type="pct"/>
            <w:vMerge w:val="restart"/>
            <w:tcBorders>
              <w:top w:val="single" w:sz="8" w:space="0" w:color="auto"/>
              <w:left w:val="single" w:sz="8" w:space="0" w:color="auto"/>
              <w:bottom w:val="nil"/>
              <w:right w:val="single" w:sz="8" w:space="0" w:color="auto"/>
            </w:tcBorders>
            <w:shd w:val="clear" w:color="auto" w:fill="auto"/>
            <w:vAlign w:val="center"/>
            <w:hideMark/>
          </w:tcPr>
          <w:p w14:paraId="3FD13A8B"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xml:space="preserve">           405,142,679   </w:t>
            </w:r>
          </w:p>
        </w:tc>
        <w:tc>
          <w:tcPr>
            <w:tcW w:w="409" w:type="pct"/>
            <w:vMerge w:val="restart"/>
            <w:tcBorders>
              <w:top w:val="single" w:sz="8" w:space="0" w:color="auto"/>
              <w:left w:val="single" w:sz="8" w:space="0" w:color="auto"/>
              <w:bottom w:val="nil"/>
              <w:right w:val="single" w:sz="8" w:space="0" w:color="auto"/>
            </w:tcBorders>
            <w:shd w:val="clear" w:color="auto" w:fill="auto"/>
            <w:vAlign w:val="center"/>
            <w:hideMark/>
          </w:tcPr>
          <w:p w14:paraId="58BFCA86"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w:t>
            </w:r>
          </w:p>
        </w:tc>
        <w:tc>
          <w:tcPr>
            <w:tcW w:w="409" w:type="pct"/>
            <w:tcBorders>
              <w:top w:val="nil"/>
              <w:left w:val="nil"/>
              <w:bottom w:val="single" w:sz="8" w:space="0" w:color="auto"/>
              <w:right w:val="single" w:sz="8" w:space="0" w:color="auto"/>
            </w:tcBorders>
            <w:shd w:val="clear" w:color="auto" w:fill="auto"/>
            <w:vAlign w:val="center"/>
            <w:hideMark/>
          </w:tcPr>
          <w:p w14:paraId="50C96353"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w:t>
            </w:r>
          </w:p>
        </w:tc>
        <w:tc>
          <w:tcPr>
            <w:tcW w:w="409" w:type="pct"/>
            <w:tcBorders>
              <w:top w:val="nil"/>
              <w:left w:val="nil"/>
              <w:bottom w:val="single" w:sz="8" w:space="0" w:color="auto"/>
              <w:right w:val="single" w:sz="8" w:space="0" w:color="auto"/>
            </w:tcBorders>
            <w:shd w:val="clear" w:color="auto" w:fill="auto"/>
            <w:vAlign w:val="center"/>
            <w:hideMark/>
          </w:tcPr>
          <w:p w14:paraId="58F44F87"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w:t>
            </w:r>
          </w:p>
        </w:tc>
        <w:tc>
          <w:tcPr>
            <w:tcW w:w="409" w:type="pct"/>
            <w:vMerge w:val="restart"/>
            <w:tcBorders>
              <w:top w:val="single" w:sz="8" w:space="0" w:color="auto"/>
              <w:left w:val="single" w:sz="8" w:space="0" w:color="auto"/>
              <w:bottom w:val="nil"/>
              <w:right w:val="single" w:sz="8" w:space="0" w:color="auto"/>
            </w:tcBorders>
            <w:shd w:val="clear" w:color="auto" w:fill="auto"/>
            <w:vAlign w:val="center"/>
            <w:hideMark/>
          </w:tcPr>
          <w:p w14:paraId="2F9BC8DB"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w:t>
            </w:r>
          </w:p>
        </w:tc>
        <w:tc>
          <w:tcPr>
            <w:tcW w:w="277" w:type="pct"/>
            <w:tcBorders>
              <w:top w:val="nil"/>
              <w:left w:val="nil"/>
              <w:bottom w:val="single" w:sz="8" w:space="0" w:color="auto"/>
              <w:right w:val="single" w:sz="8" w:space="0" w:color="auto"/>
            </w:tcBorders>
            <w:shd w:val="clear" w:color="auto" w:fill="auto"/>
            <w:vAlign w:val="center"/>
            <w:hideMark/>
          </w:tcPr>
          <w:p w14:paraId="06755919" w14:textId="77777777" w:rsidR="00DA4369" w:rsidRPr="00A66F03" w:rsidRDefault="00976636" w:rsidP="00CF4DEE">
            <w:pPr>
              <w:spacing w:after="0" w:line="240" w:lineRule="auto"/>
              <w:jc w:val="center"/>
              <w:rPr>
                <w:rFonts w:ascii="Calibri" w:eastAsia="Times New Roman" w:hAnsi="Calibri" w:cs="Calibri"/>
                <w:i/>
                <w:iCs/>
                <w:color w:val="000000"/>
                <w:sz w:val="14"/>
                <w:szCs w:val="16"/>
                <w:lang w:val="en-GB"/>
              </w:rPr>
            </w:pPr>
            <w:r w:rsidRPr="00A66F03">
              <w:rPr>
                <w:rFonts w:ascii="Calibri" w:eastAsia="Times New Roman" w:hAnsi="Calibri" w:cs="Calibri"/>
                <w:i/>
                <w:iCs/>
                <w:color w:val="000000"/>
                <w:sz w:val="14"/>
                <w:szCs w:val="16"/>
                <w:lang w:val="en-GB"/>
              </w:rPr>
              <w:t>More developed</w:t>
            </w:r>
          </w:p>
        </w:tc>
        <w:tc>
          <w:tcPr>
            <w:tcW w:w="409" w:type="pct"/>
            <w:tcBorders>
              <w:top w:val="nil"/>
              <w:left w:val="nil"/>
              <w:bottom w:val="single" w:sz="8" w:space="0" w:color="auto"/>
              <w:right w:val="single" w:sz="8" w:space="0" w:color="auto"/>
            </w:tcBorders>
            <w:shd w:val="clear" w:color="auto" w:fill="auto"/>
            <w:vAlign w:val="center"/>
            <w:hideMark/>
          </w:tcPr>
          <w:p w14:paraId="5EE7B7E5"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w:t>
            </w:r>
          </w:p>
        </w:tc>
        <w:tc>
          <w:tcPr>
            <w:tcW w:w="409" w:type="pct"/>
            <w:vMerge w:val="restart"/>
            <w:tcBorders>
              <w:top w:val="single" w:sz="8" w:space="0" w:color="auto"/>
              <w:left w:val="single" w:sz="8" w:space="0" w:color="auto"/>
              <w:bottom w:val="nil"/>
              <w:right w:val="single" w:sz="8" w:space="0" w:color="auto"/>
            </w:tcBorders>
            <w:shd w:val="clear" w:color="auto" w:fill="auto"/>
            <w:vAlign w:val="center"/>
            <w:hideMark/>
          </w:tcPr>
          <w:p w14:paraId="7A86C5A6"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w:t>
            </w:r>
          </w:p>
        </w:tc>
        <w:tc>
          <w:tcPr>
            <w:tcW w:w="409" w:type="pct"/>
            <w:vMerge w:val="restart"/>
            <w:tcBorders>
              <w:top w:val="single" w:sz="8" w:space="0" w:color="auto"/>
              <w:left w:val="single" w:sz="8" w:space="0" w:color="auto"/>
              <w:bottom w:val="nil"/>
              <w:right w:val="single" w:sz="8" w:space="0" w:color="auto"/>
            </w:tcBorders>
            <w:shd w:val="clear" w:color="auto" w:fill="auto"/>
            <w:vAlign w:val="center"/>
            <w:hideMark/>
          </w:tcPr>
          <w:p w14:paraId="1F595C01" w14:textId="77777777" w:rsidR="00DA4369" w:rsidRPr="00A66F03" w:rsidRDefault="00976636" w:rsidP="00CF4DEE">
            <w:pPr>
              <w:spacing w:after="0" w:line="240" w:lineRule="auto"/>
              <w:rPr>
                <w:rFonts w:ascii="Calibri" w:eastAsia="Times New Roman" w:hAnsi="Calibri" w:cs="Calibri"/>
                <w:b/>
                <w:bCs/>
                <w:color w:val="000000"/>
                <w:sz w:val="14"/>
                <w:szCs w:val="16"/>
                <w:lang w:val="en-GB"/>
              </w:rPr>
            </w:pPr>
            <w:r w:rsidRPr="00A66F03">
              <w:rPr>
                <w:rFonts w:ascii="Calibri" w:eastAsia="Times New Roman" w:hAnsi="Calibri" w:cs="Calibri"/>
                <w:b/>
                <w:bCs/>
                <w:color w:val="000000"/>
                <w:sz w:val="14"/>
                <w:szCs w:val="16"/>
                <w:lang w:val="en-GB"/>
              </w:rPr>
              <w:t xml:space="preserve">           511,031,159   </w:t>
            </w:r>
          </w:p>
        </w:tc>
      </w:tr>
      <w:tr w:rsidR="00143DBE" w:rsidRPr="00A66F03" w14:paraId="262BE14B" w14:textId="77777777" w:rsidTr="00874C8B">
        <w:tc>
          <w:tcPr>
            <w:tcW w:w="484" w:type="pct"/>
            <w:vMerge/>
            <w:tcBorders>
              <w:top w:val="nil"/>
              <w:left w:val="single" w:sz="8" w:space="0" w:color="auto"/>
              <w:bottom w:val="single" w:sz="8" w:space="0" w:color="000000"/>
              <w:right w:val="single" w:sz="8" w:space="0" w:color="auto"/>
            </w:tcBorders>
            <w:vAlign w:val="center"/>
            <w:hideMark/>
          </w:tcPr>
          <w:p w14:paraId="14E8EF54" w14:textId="77777777" w:rsidR="00DA4369" w:rsidRPr="00A66F03" w:rsidRDefault="00DA4369" w:rsidP="00CF4DEE">
            <w:pPr>
              <w:spacing w:after="0" w:line="240" w:lineRule="auto"/>
              <w:rPr>
                <w:rFonts w:ascii="Calibri" w:eastAsia="Times New Roman" w:hAnsi="Calibri" w:cs="Calibri"/>
                <w:color w:val="000000"/>
                <w:sz w:val="14"/>
                <w:szCs w:val="16"/>
                <w:lang w:val="en-GB"/>
              </w:rPr>
            </w:pPr>
          </w:p>
        </w:tc>
        <w:tc>
          <w:tcPr>
            <w:tcW w:w="277" w:type="pct"/>
            <w:vMerge/>
            <w:tcBorders>
              <w:top w:val="single" w:sz="8" w:space="0" w:color="auto"/>
              <w:left w:val="single" w:sz="8" w:space="0" w:color="auto"/>
              <w:bottom w:val="nil"/>
              <w:right w:val="single" w:sz="8" w:space="0" w:color="auto"/>
            </w:tcBorders>
            <w:vAlign w:val="center"/>
            <w:hideMark/>
          </w:tcPr>
          <w:p w14:paraId="473218F2" w14:textId="77777777" w:rsidR="00DA4369" w:rsidRPr="00A66F03" w:rsidRDefault="00DA4369" w:rsidP="00CF4DEE">
            <w:pPr>
              <w:spacing w:after="0" w:line="240" w:lineRule="auto"/>
              <w:rPr>
                <w:rFonts w:ascii="Calibri" w:eastAsia="Times New Roman" w:hAnsi="Calibri" w:cs="Calibri"/>
                <w:color w:val="000000"/>
                <w:sz w:val="14"/>
                <w:szCs w:val="16"/>
                <w:lang w:val="en-GB"/>
              </w:rPr>
            </w:pPr>
          </w:p>
        </w:tc>
        <w:tc>
          <w:tcPr>
            <w:tcW w:w="277" w:type="pct"/>
            <w:tcBorders>
              <w:top w:val="nil"/>
              <w:left w:val="nil"/>
              <w:bottom w:val="single" w:sz="8" w:space="0" w:color="auto"/>
              <w:right w:val="single" w:sz="8" w:space="0" w:color="auto"/>
            </w:tcBorders>
            <w:shd w:val="clear" w:color="auto" w:fill="auto"/>
            <w:vAlign w:val="center"/>
            <w:hideMark/>
          </w:tcPr>
          <w:p w14:paraId="67F3D4ED" w14:textId="77777777" w:rsidR="00DA4369" w:rsidRPr="00A66F03" w:rsidRDefault="00976636" w:rsidP="00CF4DEE">
            <w:pPr>
              <w:spacing w:after="0" w:line="240" w:lineRule="auto"/>
              <w:jc w:val="center"/>
              <w:rPr>
                <w:rFonts w:ascii="Calibri" w:eastAsia="Times New Roman" w:hAnsi="Calibri" w:cs="Calibri"/>
                <w:i/>
                <w:iCs/>
                <w:color w:val="000000"/>
                <w:sz w:val="14"/>
                <w:szCs w:val="16"/>
                <w:lang w:val="en-GB"/>
              </w:rPr>
            </w:pPr>
            <w:r w:rsidRPr="00A66F03">
              <w:rPr>
                <w:rFonts w:ascii="Calibri" w:eastAsia="Times New Roman" w:hAnsi="Calibri" w:cs="Calibri"/>
                <w:i/>
                <w:iCs/>
                <w:color w:val="000000"/>
                <w:sz w:val="14"/>
                <w:szCs w:val="16"/>
                <w:lang w:val="en-GB"/>
              </w:rPr>
              <w:t>Less developed</w:t>
            </w:r>
          </w:p>
        </w:tc>
        <w:tc>
          <w:tcPr>
            <w:tcW w:w="409" w:type="pct"/>
            <w:tcBorders>
              <w:top w:val="nil"/>
              <w:left w:val="nil"/>
              <w:bottom w:val="single" w:sz="8" w:space="0" w:color="auto"/>
              <w:right w:val="single" w:sz="8" w:space="0" w:color="auto"/>
            </w:tcBorders>
            <w:shd w:val="clear" w:color="auto" w:fill="auto"/>
            <w:vAlign w:val="center"/>
            <w:hideMark/>
          </w:tcPr>
          <w:p w14:paraId="103C8036"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xml:space="preserve">           105,888,480   </w:t>
            </w:r>
          </w:p>
        </w:tc>
        <w:tc>
          <w:tcPr>
            <w:tcW w:w="409" w:type="pct"/>
            <w:vMerge/>
            <w:tcBorders>
              <w:top w:val="single" w:sz="8" w:space="0" w:color="auto"/>
              <w:left w:val="single" w:sz="8" w:space="0" w:color="auto"/>
              <w:bottom w:val="nil"/>
              <w:right w:val="single" w:sz="8" w:space="0" w:color="auto"/>
            </w:tcBorders>
            <w:vAlign w:val="center"/>
            <w:hideMark/>
          </w:tcPr>
          <w:p w14:paraId="7C0F519C" w14:textId="77777777" w:rsidR="00DA4369" w:rsidRPr="00A66F03" w:rsidRDefault="00DA4369" w:rsidP="00CF4DEE">
            <w:pPr>
              <w:spacing w:after="0" w:line="240" w:lineRule="auto"/>
              <w:rPr>
                <w:rFonts w:ascii="Calibri" w:eastAsia="Times New Roman" w:hAnsi="Calibri" w:cs="Calibri"/>
                <w:color w:val="000000"/>
                <w:sz w:val="14"/>
                <w:szCs w:val="16"/>
                <w:lang w:val="en-GB"/>
              </w:rPr>
            </w:pPr>
          </w:p>
        </w:tc>
        <w:tc>
          <w:tcPr>
            <w:tcW w:w="409" w:type="pct"/>
            <w:vMerge/>
            <w:tcBorders>
              <w:top w:val="single" w:sz="8" w:space="0" w:color="auto"/>
              <w:left w:val="single" w:sz="8" w:space="0" w:color="auto"/>
              <w:bottom w:val="nil"/>
              <w:right w:val="single" w:sz="8" w:space="0" w:color="auto"/>
            </w:tcBorders>
            <w:vAlign w:val="center"/>
            <w:hideMark/>
          </w:tcPr>
          <w:p w14:paraId="72BABE23" w14:textId="77777777" w:rsidR="00DA4369" w:rsidRPr="00A66F03" w:rsidRDefault="00DA4369" w:rsidP="00CF4DEE">
            <w:pPr>
              <w:spacing w:after="0" w:line="240" w:lineRule="auto"/>
              <w:rPr>
                <w:rFonts w:ascii="Calibri" w:eastAsia="Times New Roman" w:hAnsi="Calibri" w:cs="Calibri"/>
                <w:color w:val="000000"/>
                <w:sz w:val="14"/>
                <w:szCs w:val="16"/>
                <w:lang w:val="en-GB"/>
              </w:rPr>
            </w:pPr>
          </w:p>
        </w:tc>
        <w:tc>
          <w:tcPr>
            <w:tcW w:w="409" w:type="pct"/>
            <w:tcBorders>
              <w:top w:val="nil"/>
              <w:left w:val="nil"/>
              <w:bottom w:val="single" w:sz="8" w:space="0" w:color="auto"/>
              <w:right w:val="single" w:sz="8" w:space="0" w:color="auto"/>
            </w:tcBorders>
            <w:shd w:val="clear" w:color="auto" w:fill="auto"/>
            <w:vAlign w:val="center"/>
            <w:hideMark/>
          </w:tcPr>
          <w:p w14:paraId="011D3749"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w:t>
            </w:r>
          </w:p>
        </w:tc>
        <w:tc>
          <w:tcPr>
            <w:tcW w:w="409" w:type="pct"/>
            <w:tcBorders>
              <w:top w:val="nil"/>
              <w:left w:val="nil"/>
              <w:bottom w:val="single" w:sz="8" w:space="0" w:color="auto"/>
              <w:right w:val="single" w:sz="8" w:space="0" w:color="auto"/>
            </w:tcBorders>
            <w:shd w:val="clear" w:color="auto" w:fill="auto"/>
            <w:vAlign w:val="center"/>
            <w:hideMark/>
          </w:tcPr>
          <w:p w14:paraId="58DE94A7"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w:t>
            </w:r>
          </w:p>
        </w:tc>
        <w:tc>
          <w:tcPr>
            <w:tcW w:w="409" w:type="pct"/>
            <w:vMerge/>
            <w:tcBorders>
              <w:top w:val="single" w:sz="8" w:space="0" w:color="auto"/>
              <w:left w:val="single" w:sz="8" w:space="0" w:color="auto"/>
              <w:bottom w:val="nil"/>
              <w:right w:val="single" w:sz="8" w:space="0" w:color="auto"/>
            </w:tcBorders>
            <w:vAlign w:val="center"/>
            <w:hideMark/>
          </w:tcPr>
          <w:p w14:paraId="6DF9C027" w14:textId="77777777" w:rsidR="00DA4369" w:rsidRPr="00A66F03" w:rsidRDefault="00DA4369" w:rsidP="00CF4DEE">
            <w:pPr>
              <w:spacing w:after="0" w:line="240" w:lineRule="auto"/>
              <w:rPr>
                <w:rFonts w:ascii="Calibri" w:eastAsia="Times New Roman" w:hAnsi="Calibri" w:cs="Calibri"/>
                <w:color w:val="000000"/>
                <w:sz w:val="14"/>
                <w:szCs w:val="16"/>
                <w:lang w:val="en-GB"/>
              </w:rPr>
            </w:pPr>
          </w:p>
        </w:tc>
        <w:tc>
          <w:tcPr>
            <w:tcW w:w="277" w:type="pct"/>
            <w:tcBorders>
              <w:top w:val="nil"/>
              <w:left w:val="nil"/>
              <w:bottom w:val="single" w:sz="8" w:space="0" w:color="auto"/>
              <w:right w:val="single" w:sz="8" w:space="0" w:color="auto"/>
            </w:tcBorders>
            <w:shd w:val="clear" w:color="auto" w:fill="auto"/>
            <w:vAlign w:val="center"/>
            <w:hideMark/>
          </w:tcPr>
          <w:p w14:paraId="214D9CA5" w14:textId="77777777" w:rsidR="00DA4369" w:rsidRPr="00A66F03" w:rsidRDefault="00976636" w:rsidP="00CF4DEE">
            <w:pPr>
              <w:spacing w:after="0" w:line="240" w:lineRule="auto"/>
              <w:jc w:val="center"/>
              <w:rPr>
                <w:rFonts w:ascii="Calibri" w:eastAsia="Times New Roman" w:hAnsi="Calibri" w:cs="Calibri"/>
                <w:i/>
                <w:iCs/>
                <w:color w:val="000000"/>
                <w:sz w:val="14"/>
                <w:szCs w:val="16"/>
                <w:lang w:val="en-GB"/>
              </w:rPr>
            </w:pPr>
            <w:r w:rsidRPr="00A66F03">
              <w:rPr>
                <w:rFonts w:ascii="Calibri" w:eastAsia="Times New Roman" w:hAnsi="Calibri" w:cs="Calibri"/>
                <w:i/>
                <w:iCs/>
                <w:color w:val="000000"/>
                <w:sz w:val="14"/>
                <w:szCs w:val="16"/>
                <w:lang w:val="en-GB"/>
              </w:rPr>
              <w:t>Less developed</w:t>
            </w:r>
          </w:p>
        </w:tc>
        <w:tc>
          <w:tcPr>
            <w:tcW w:w="409" w:type="pct"/>
            <w:tcBorders>
              <w:top w:val="nil"/>
              <w:left w:val="nil"/>
              <w:bottom w:val="single" w:sz="8" w:space="0" w:color="auto"/>
              <w:right w:val="single" w:sz="8" w:space="0" w:color="auto"/>
            </w:tcBorders>
            <w:shd w:val="clear" w:color="auto" w:fill="auto"/>
            <w:vAlign w:val="center"/>
            <w:hideMark/>
          </w:tcPr>
          <w:p w14:paraId="397F1ED0"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w:t>
            </w:r>
          </w:p>
        </w:tc>
        <w:tc>
          <w:tcPr>
            <w:tcW w:w="409" w:type="pct"/>
            <w:vMerge/>
            <w:tcBorders>
              <w:top w:val="single" w:sz="8" w:space="0" w:color="auto"/>
              <w:left w:val="single" w:sz="8" w:space="0" w:color="auto"/>
              <w:bottom w:val="nil"/>
              <w:right w:val="single" w:sz="8" w:space="0" w:color="auto"/>
            </w:tcBorders>
            <w:vAlign w:val="center"/>
            <w:hideMark/>
          </w:tcPr>
          <w:p w14:paraId="5CCDE63B" w14:textId="77777777" w:rsidR="00DA4369" w:rsidRPr="00A66F03" w:rsidRDefault="00DA4369" w:rsidP="00CF4DEE">
            <w:pPr>
              <w:spacing w:after="0" w:line="240" w:lineRule="auto"/>
              <w:rPr>
                <w:rFonts w:ascii="Calibri" w:eastAsia="Times New Roman" w:hAnsi="Calibri" w:cs="Calibri"/>
                <w:color w:val="000000"/>
                <w:sz w:val="14"/>
                <w:szCs w:val="16"/>
                <w:lang w:val="en-GB"/>
              </w:rPr>
            </w:pPr>
          </w:p>
        </w:tc>
        <w:tc>
          <w:tcPr>
            <w:tcW w:w="409" w:type="pct"/>
            <w:vMerge/>
            <w:tcBorders>
              <w:top w:val="single" w:sz="8" w:space="0" w:color="auto"/>
              <w:left w:val="single" w:sz="8" w:space="0" w:color="auto"/>
              <w:bottom w:val="nil"/>
              <w:right w:val="single" w:sz="8" w:space="0" w:color="auto"/>
            </w:tcBorders>
            <w:vAlign w:val="center"/>
            <w:hideMark/>
          </w:tcPr>
          <w:p w14:paraId="62064903" w14:textId="77777777" w:rsidR="00DA4369" w:rsidRPr="00A66F03" w:rsidRDefault="00DA4369" w:rsidP="00CF4DEE">
            <w:pPr>
              <w:spacing w:after="0" w:line="240" w:lineRule="auto"/>
              <w:rPr>
                <w:rFonts w:ascii="Calibri" w:eastAsia="Times New Roman" w:hAnsi="Calibri" w:cs="Calibri"/>
                <w:b/>
                <w:bCs/>
                <w:color w:val="000000"/>
                <w:sz w:val="14"/>
                <w:szCs w:val="16"/>
                <w:lang w:val="en-GB"/>
              </w:rPr>
            </w:pPr>
          </w:p>
        </w:tc>
      </w:tr>
      <w:tr w:rsidR="00143DBE" w:rsidRPr="00A66F03" w14:paraId="02759B48" w14:textId="77777777" w:rsidTr="00874C8B">
        <w:tc>
          <w:tcPr>
            <w:tcW w:w="484" w:type="pct"/>
            <w:vMerge w:val="restart"/>
            <w:tcBorders>
              <w:top w:val="nil"/>
              <w:left w:val="single" w:sz="8" w:space="0" w:color="auto"/>
              <w:bottom w:val="single" w:sz="8" w:space="0" w:color="000000"/>
              <w:right w:val="single" w:sz="8" w:space="0" w:color="auto"/>
            </w:tcBorders>
            <w:shd w:val="clear" w:color="auto" w:fill="auto"/>
            <w:vAlign w:val="center"/>
            <w:hideMark/>
          </w:tcPr>
          <w:p w14:paraId="7C6EAE9E" w14:textId="77777777" w:rsidR="00DA4369" w:rsidRPr="00A66F03" w:rsidRDefault="00976636" w:rsidP="00CF4DEE">
            <w:pPr>
              <w:spacing w:after="0" w:line="240" w:lineRule="auto"/>
              <w:jc w:val="center"/>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Policy Objective 4</w:t>
            </w:r>
          </w:p>
        </w:tc>
        <w:tc>
          <w:tcPr>
            <w:tcW w:w="277" w:type="pct"/>
            <w:vMerge w:val="restart"/>
            <w:tcBorders>
              <w:top w:val="single" w:sz="8" w:space="0" w:color="auto"/>
              <w:left w:val="single" w:sz="8" w:space="0" w:color="auto"/>
              <w:bottom w:val="nil"/>
              <w:right w:val="single" w:sz="8" w:space="0" w:color="auto"/>
            </w:tcBorders>
            <w:shd w:val="clear" w:color="auto" w:fill="auto"/>
            <w:vAlign w:val="center"/>
            <w:hideMark/>
          </w:tcPr>
          <w:p w14:paraId="3D2DE254"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w:t>
            </w:r>
          </w:p>
        </w:tc>
        <w:tc>
          <w:tcPr>
            <w:tcW w:w="277" w:type="pct"/>
            <w:tcBorders>
              <w:top w:val="nil"/>
              <w:left w:val="nil"/>
              <w:bottom w:val="single" w:sz="8" w:space="0" w:color="auto"/>
              <w:right w:val="single" w:sz="8" w:space="0" w:color="auto"/>
            </w:tcBorders>
            <w:shd w:val="clear" w:color="auto" w:fill="auto"/>
            <w:vAlign w:val="center"/>
            <w:hideMark/>
          </w:tcPr>
          <w:p w14:paraId="24507EF8" w14:textId="77777777" w:rsidR="00DA4369" w:rsidRPr="00A66F03" w:rsidRDefault="00976636" w:rsidP="00CF4DEE">
            <w:pPr>
              <w:spacing w:after="0" w:line="240" w:lineRule="auto"/>
              <w:jc w:val="center"/>
              <w:rPr>
                <w:rFonts w:ascii="Calibri" w:eastAsia="Times New Roman" w:hAnsi="Calibri" w:cs="Calibri"/>
                <w:i/>
                <w:iCs/>
                <w:color w:val="000000"/>
                <w:sz w:val="14"/>
                <w:szCs w:val="16"/>
                <w:lang w:val="en-GB"/>
              </w:rPr>
            </w:pPr>
            <w:r w:rsidRPr="00A66F03">
              <w:rPr>
                <w:rFonts w:ascii="Calibri" w:eastAsia="Times New Roman" w:hAnsi="Calibri" w:cs="Calibri"/>
                <w:i/>
                <w:iCs/>
                <w:color w:val="000000"/>
                <w:sz w:val="14"/>
                <w:szCs w:val="16"/>
                <w:lang w:val="en-GB"/>
              </w:rPr>
              <w:t>More developed</w:t>
            </w:r>
          </w:p>
        </w:tc>
        <w:tc>
          <w:tcPr>
            <w:tcW w:w="409" w:type="pct"/>
            <w:tcBorders>
              <w:top w:val="nil"/>
              <w:left w:val="nil"/>
              <w:bottom w:val="single" w:sz="8" w:space="0" w:color="auto"/>
              <w:right w:val="single" w:sz="8" w:space="0" w:color="auto"/>
            </w:tcBorders>
            <w:shd w:val="clear" w:color="auto" w:fill="auto"/>
            <w:vAlign w:val="center"/>
            <w:hideMark/>
          </w:tcPr>
          <w:p w14:paraId="3F23AA63"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w:t>
            </w:r>
          </w:p>
        </w:tc>
        <w:tc>
          <w:tcPr>
            <w:tcW w:w="409" w:type="pct"/>
            <w:vMerge w:val="restart"/>
            <w:tcBorders>
              <w:top w:val="single" w:sz="8" w:space="0" w:color="auto"/>
              <w:left w:val="single" w:sz="8" w:space="0" w:color="auto"/>
              <w:bottom w:val="nil"/>
              <w:right w:val="single" w:sz="8" w:space="0" w:color="auto"/>
            </w:tcBorders>
            <w:shd w:val="clear" w:color="auto" w:fill="auto"/>
            <w:vAlign w:val="center"/>
            <w:hideMark/>
          </w:tcPr>
          <w:p w14:paraId="564C7DF1"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w:t>
            </w:r>
          </w:p>
        </w:tc>
        <w:tc>
          <w:tcPr>
            <w:tcW w:w="409" w:type="pct"/>
            <w:vMerge w:val="restart"/>
            <w:tcBorders>
              <w:top w:val="single" w:sz="8" w:space="0" w:color="auto"/>
              <w:left w:val="single" w:sz="8" w:space="0" w:color="auto"/>
              <w:bottom w:val="nil"/>
              <w:right w:val="single" w:sz="8" w:space="0" w:color="auto"/>
            </w:tcBorders>
            <w:shd w:val="clear" w:color="auto" w:fill="auto"/>
            <w:vAlign w:val="center"/>
            <w:hideMark/>
          </w:tcPr>
          <w:p w14:paraId="4F88688E"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w:t>
            </w:r>
          </w:p>
        </w:tc>
        <w:tc>
          <w:tcPr>
            <w:tcW w:w="409" w:type="pct"/>
            <w:tcBorders>
              <w:top w:val="nil"/>
              <w:left w:val="nil"/>
              <w:bottom w:val="single" w:sz="8" w:space="0" w:color="auto"/>
              <w:right w:val="single" w:sz="8" w:space="0" w:color="auto"/>
            </w:tcBorders>
            <w:shd w:val="clear" w:color="auto" w:fill="auto"/>
            <w:vAlign w:val="center"/>
            <w:hideMark/>
          </w:tcPr>
          <w:p w14:paraId="3F1FFFE7"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w:t>
            </w:r>
          </w:p>
        </w:tc>
        <w:tc>
          <w:tcPr>
            <w:tcW w:w="409" w:type="pct"/>
            <w:tcBorders>
              <w:top w:val="nil"/>
              <w:left w:val="nil"/>
              <w:bottom w:val="single" w:sz="8" w:space="0" w:color="auto"/>
              <w:right w:val="single" w:sz="8" w:space="0" w:color="auto"/>
            </w:tcBorders>
            <w:shd w:val="clear" w:color="auto" w:fill="auto"/>
            <w:vAlign w:val="center"/>
            <w:hideMark/>
          </w:tcPr>
          <w:p w14:paraId="49A92579"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w:t>
            </w:r>
          </w:p>
        </w:tc>
        <w:tc>
          <w:tcPr>
            <w:tcW w:w="409" w:type="pct"/>
            <w:vMerge w:val="restart"/>
            <w:tcBorders>
              <w:top w:val="single" w:sz="8" w:space="0" w:color="auto"/>
              <w:left w:val="single" w:sz="8" w:space="0" w:color="auto"/>
              <w:bottom w:val="nil"/>
              <w:right w:val="single" w:sz="8" w:space="0" w:color="auto"/>
            </w:tcBorders>
            <w:shd w:val="clear" w:color="auto" w:fill="auto"/>
            <w:vAlign w:val="center"/>
            <w:hideMark/>
          </w:tcPr>
          <w:p w14:paraId="790F63A7"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w:t>
            </w:r>
          </w:p>
        </w:tc>
        <w:tc>
          <w:tcPr>
            <w:tcW w:w="277" w:type="pct"/>
            <w:tcBorders>
              <w:top w:val="nil"/>
              <w:left w:val="nil"/>
              <w:bottom w:val="single" w:sz="8" w:space="0" w:color="auto"/>
              <w:right w:val="single" w:sz="8" w:space="0" w:color="auto"/>
            </w:tcBorders>
            <w:shd w:val="clear" w:color="auto" w:fill="auto"/>
            <w:vAlign w:val="center"/>
            <w:hideMark/>
          </w:tcPr>
          <w:p w14:paraId="5E6EEF8F" w14:textId="77777777" w:rsidR="00DA4369" w:rsidRPr="00A66F03" w:rsidRDefault="00976636" w:rsidP="00CF4DEE">
            <w:pPr>
              <w:spacing w:after="0" w:line="240" w:lineRule="auto"/>
              <w:jc w:val="center"/>
              <w:rPr>
                <w:rFonts w:ascii="Calibri" w:eastAsia="Times New Roman" w:hAnsi="Calibri" w:cs="Calibri"/>
                <w:i/>
                <w:iCs/>
                <w:color w:val="000000"/>
                <w:sz w:val="14"/>
                <w:szCs w:val="16"/>
                <w:lang w:val="en-GB"/>
              </w:rPr>
            </w:pPr>
            <w:r w:rsidRPr="00A66F03">
              <w:rPr>
                <w:rFonts w:ascii="Calibri" w:eastAsia="Times New Roman" w:hAnsi="Calibri" w:cs="Calibri"/>
                <w:i/>
                <w:iCs/>
                <w:color w:val="000000"/>
                <w:sz w:val="14"/>
                <w:szCs w:val="16"/>
                <w:lang w:val="en-GB"/>
              </w:rPr>
              <w:t>More developed</w:t>
            </w:r>
          </w:p>
        </w:tc>
        <w:tc>
          <w:tcPr>
            <w:tcW w:w="409" w:type="pct"/>
            <w:tcBorders>
              <w:top w:val="nil"/>
              <w:left w:val="nil"/>
              <w:bottom w:val="single" w:sz="8" w:space="0" w:color="auto"/>
              <w:right w:val="single" w:sz="8" w:space="0" w:color="auto"/>
            </w:tcBorders>
            <w:shd w:val="clear" w:color="auto" w:fill="auto"/>
            <w:vAlign w:val="center"/>
            <w:hideMark/>
          </w:tcPr>
          <w:p w14:paraId="60E91E62"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xml:space="preserve">           153,307,283   </w:t>
            </w:r>
          </w:p>
        </w:tc>
        <w:tc>
          <w:tcPr>
            <w:tcW w:w="409" w:type="pct"/>
            <w:vMerge w:val="restart"/>
            <w:tcBorders>
              <w:top w:val="single" w:sz="8" w:space="0" w:color="auto"/>
              <w:left w:val="single" w:sz="8" w:space="0" w:color="auto"/>
              <w:bottom w:val="nil"/>
              <w:right w:val="single" w:sz="8" w:space="0" w:color="auto"/>
            </w:tcBorders>
            <w:shd w:val="clear" w:color="auto" w:fill="auto"/>
            <w:vAlign w:val="center"/>
            <w:hideMark/>
          </w:tcPr>
          <w:p w14:paraId="6A3F82D8"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w:t>
            </w:r>
          </w:p>
        </w:tc>
        <w:tc>
          <w:tcPr>
            <w:tcW w:w="409" w:type="pct"/>
            <w:vMerge w:val="restart"/>
            <w:tcBorders>
              <w:top w:val="single" w:sz="8" w:space="0" w:color="auto"/>
              <w:left w:val="single" w:sz="8" w:space="0" w:color="auto"/>
              <w:bottom w:val="nil"/>
              <w:right w:val="single" w:sz="8" w:space="0" w:color="auto"/>
            </w:tcBorders>
            <w:shd w:val="clear" w:color="auto" w:fill="auto"/>
            <w:vAlign w:val="center"/>
            <w:hideMark/>
          </w:tcPr>
          <w:p w14:paraId="218B923B" w14:textId="77777777" w:rsidR="00DA4369" w:rsidRPr="00A66F03" w:rsidRDefault="00976636" w:rsidP="00CF4DEE">
            <w:pPr>
              <w:spacing w:after="0" w:line="240" w:lineRule="auto"/>
              <w:rPr>
                <w:rFonts w:ascii="Calibri" w:eastAsia="Times New Roman" w:hAnsi="Calibri" w:cs="Calibri"/>
                <w:b/>
                <w:bCs/>
                <w:color w:val="000000"/>
                <w:sz w:val="14"/>
                <w:szCs w:val="16"/>
                <w:lang w:val="en-GB"/>
              </w:rPr>
            </w:pPr>
            <w:r w:rsidRPr="00A66F03">
              <w:rPr>
                <w:rFonts w:ascii="Calibri" w:eastAsia="Times New Roman" w:hAnsi="Calibri" w:cs="Calibri"/>
                <w:b/>
                <w:bCs/>
                <w:color w:val="000000"/>
                <w:sz w:val="14"/>
                <w:szCs w:val="16"/>
                <w:lang w:val="en-GB"/>
              </w:rPr>
              <w:t xml:space="preserve">            769,326,617   </w:t>
            </w:r>
          </w:p>
        </w:tc>
      </w:tr>
      <w:tr w:rsidR="00143DBE" w:rsidRPr="00A66F03" w14:paraId="40A56DCC" w14:textId="77777777" w:rsidTr="00874C8B">
        <w:tc>
          <w:tcPr>
            <w:tcW w:w="484" w:type="pct"/>
            <w:vMerge/>
            <w:tcBorders>
              <w:top w:val="nil"/>
              <w:left w:val="single" w:sz="8" w:space="0" w:color="auto"/>
              <w:bottom w:val="single" w:sz="8" w:space="0" w:color="000000"/>
              <w:right w:val="single" w:sz="8" w:space="0" w:color="auto"/>
            </w:tcBorders>
            <w:vAlign w:val="center"/>
            <w:hideMark/>
          </w:tcPr>
          <w:p w14:paraId="74D2D552" w14:textId="77777777" w:rsidR="00DA4369" w:rsidRPr="00A66F03" w:rsidRDefault="00DA4369" w:rsidP="00CF4DEE">
            <w:pPr>
              <w:spacing w:after="0" w:line="240" w:lineRule="auto"/>
              <w:rPr>
                <w:rFonts w:ascii="Calibri" w:eastAsia="Times New Roman" w:hAnsi="Calibri" w:cs="Calibri"/>
                <w:color w:val="000000"/>
                <w:sz w:val="14"/>
                <w:szCs w:val="16"/>
                <w:lang w:val="en-GB"/>
              </w:rPr>
            </w:pPr>
          </w:p>
        </w:tc>
        <w:tc>
          <w:tcPr>
            <w:tcW w:w="277" w:type="pct"/>
            <w:vMerge/>
            <w:tcBorders>
              <w:top w:val="single" w:sz="8" w:space="0" w:color="auto"/>
              <w:left w:val="single" w:sz="8" w:space="0" w:color="auto"/>
              <w:bottom w:val="nil"/>
              <w:right w:val="single" w:sz="8" w:space="0" w:color="auto"/>
            </w:tcBorders>
            <w:vAlign w:val="center"/>
            <w:hideMark/>
          </w:tcPr>
          <w:p w14:paraId="574EA586" w14:textId="77777777" w:rsidR="00DA4369" w:rsidRPr="00A66F03" w:rsidRDefault="00DA4369" w:rsidP="00CF4DEE">
            <w:pPr>
              <w:spacing w:after="0" w:line="240" w:lineRule="auto"/>
              <w:rPr>
                <w:rFonts w:ascii="Calibri" w:eastAsia="Times New Roman" w:hAnsi="Calibri" w:cs="Calibri"/>
                <w:color w:val="000000"/>
                <w:sz w:val="14"/>
                <w:szCs w:val="16"/>
                <w:lang w:val="en-GB"/>
              </w:rPr>
            </w:pPr>
          </w:p>
        </w:tc>
        <w:tc>
          <w:tcPr>
            <w:tcW w:w="277" w:type="pct"/>
            <w:tcBorders>
              <w:top w:val="nil"/>
              <w:left w:val="nil"/>
              <w:bottom w:val="single" w:sz="8" w:space="0" w:color="auto"/>
              <w:right w:val="single" w:sz="8" w:space="0" w:color="auto"/>
            </w:tcBorders>
            <w:shd w:val="clear" w:color="auto" w:fill="auto"/>
            <w:vAlign w:val="center"/>
            <w:hideMark/>
          </w:tcPr>
          <w:p w14:paraId="7F30E476" w14:textId="77777777" w:rsidR="00DA4369" w:rsidRPr="00A66F03" w:rsidRDefault="00976636" w:rsidP="00CF4DEE">
            <w:pPr>
              <w:spacing w:after="0" w:line="240" w:lineRule="auto"/>
              <w:jc w:val="center"/>
              <w:rPr>
                <w:rFonts w:ascii="Calibri" w:eastAsia="Times New Roman" w:hAnsi="Calibri" w:cs="Calibri"/>
                <w:i/>
                <w:iCs/>
                <w:color w:val="000000"/>
                <w:sz w:val="14"/>
                <w:szCs w:val="16"/>
                <w:lang w:val="en-GB"/>
              </w:rPr>
            </w:pPr>
            <w:r w:rsidRPr="00A66F03">
              <w:rPr>
                <w:rFonts w:ascii="Calibri" w:eastAsia="Times New Roman" w:hAnsi="Calibri" w:cs="Calibri"/>
                <w:i/>
                <w:iCs/>
                <w:color w:val="000000"/>
                <w:sz w:val="14"/>
                <w:szCs w:val="16"/>
                <w:lang w:val="en-GB"/>
              </w:rPr>
              <w:t>Less developed</w:t>
            </w:r>
          </w:p>
        </w:tc>
        <w:tc>
          <w:tcPr>
            <w:tcW w:w="409" w:type="pct"/>
            <w:tcBorders>
              <w:top w:val="nil"/>
              <w:left w:val="nil"/>
              <w:bottom w:val="single" w:sz="8" w:space="0" w:color="auto"/>
              <w:right w:val="single" w:sz="8" w:space="0" w:color="auto"/>
            </w:tcBorders>
            <w:shd w:val="clear" w:color="auto" w:fill="auto"/>
            <w:vAlign w:val="center"/>
            <w:hideMark/>
          </w:tcPr>
          <w:p w14:paraId="11B97A75"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xml:space="preserve">           129,891,813   </w:t>
            </w:r>
          </w:p>
        </w:tc>
        <w:tc>
          <w:tcPr>
            <w:tcW w:w="409" w:type="pct"/>
            <w:vMerge/>
            <w:tcBorders>
              <w:top w:val="single" w:sz="8" w:space="0" w:color="auto"/>
              <w:left w:val="single" w:sz="8" w:space="0" w:color="auto"/>
              <w:bottom w:val="nil"/>
              <w:right w:val="single" w:sz="8" w:space="0" w:color="auto"/>
            </w:tcBorders>
            <w:vAlign w:val="center"/>
            <w:hideMark/>
          </w:tcPr>
          <w:p w14:paraId="139B8A16" w14:textId="77777777" w:rsidR="00DA4369" w:rsidRPr="00A66F03" w:rsidRDefault="00DA4369" w:rsidP="00CF4DEE">
            <w:pPr>
              <w:spacing w:after="0" w:line="240" w:lineRule="auto"/>
              <w:rPr>
                <w:rFonts w:ascii="Calibri" w:eastAsia="Times New Roman" w:hAnsi="Calibri" w:cs="Calibri"/>
                <w:color w:val="000000"/>
                <w:sz w:val="14"/>
                <w:szCs w:val="16"/>
                <w:lang w:val="en-GB"/>
              </w:rPr>
            </w:pPr>
          </w:p>
        </w:tc>
        <w:tc>
          <w:tcPr>
            <w:tcW w:w="409" w:type="pct"/>
            <w:vMerge/>
            <w:tcBorders>
              <w:top w:val="single" w:sz="8" w:space="0" w:color="auto"/>
              <w:left w:val="single" w:sz="8" w:space="0" w:color="auto"/>
              <w:bottom w:val="nil"/>
              <w:right w:val="single" w:sz="8" w:space="0" w:color="auto"/>
            </w:tcBorders>
            <w:vAlign w:val="center"/>
            <w:hideMark/>
          </w:tcPr>
          <w:p w14:paraId="510D2E94" w14:textId="77777777" w:rsidR="00DA4369" w:rsidRPr="00A66F03" w:rsidRDefault="00DA4369" w:rsidP="00CF4DEE">
            <w:pPr>
              <w:spacing w:after="0" w:line="240" w:lineRule="auto"/>
              <w:rPr>
                <w:rFonts w:ascii="Calibri" w:eastAsia="Times New Roman" w:hAnsi="Calibri" w:cs="Calibri"/>
                <w:color w:val="000000"/>
                <w:sz w:val="14"/>
                <w:szCs w:val="16"/>
                <w:lang w:val="en-GB"/>
              </w:rPr>
            </w:pPr>
          </w:p>
        </w:tc>
        <w:tc>
          <w:tcPr>
            <w:tcW w:w="409" w:type="pct"/>
            <w:tcBorders>
              <w:top w:val="nil"/>
              <w:left w:val="nil"/>
              <w:bottom w:val="single" w:sz="8" w:space="0" w:color="auto"/>
              <w:right w:val="single" w:sz="8" w:space="0" w:color="auto"/>
            </w:tcBorders>
            <w:shd w:val="clear" w:color="auto" w:fill="auto"/>
            <w:vAlign w:val="center"/>
            <w:hideMark/>
          </w:tcPr>
          <w:p w14:paraId="01C0D3A3"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w:t>
            </w:r>
          </w:p>
        </w:tc>
        <w:tc>
          <w:tcPr>
            <w:tcW w:w="409" w:type="pct"/>
            <w:tcBorders>
              <w:top w:val="nil"/>
              <w:left w:val="nil"/>
              <w:bottom w:val="single" w:sz="8" w:space="0" w:color="auto"/>
              <w:right w:val="single" w:sz="8" w:space="0" w:color="auto"/>
            </w:tcBorders>
            <w:shd w:val="clear" w:color="auto" w:fill="auto"/>
            <w:vAlign w:val="center"/>
            <w:hideMark/>
          </w:tcPr>
          <w:p w14:paraId="5D83CEF5"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w:t>
            </w:r>
          </w:p>
        </w:tc>
        <w:tc>
          <w:tcPr>
            <w:tcW w:w="409" w:type="pct"/>
            <w:vMerge/>
            <w:tcBorders>
              <w:top w:val="single" w:sz="8" w:space="0" w:color="auto"/>
              <w:left w:val="single" w:sz="8" w:space="0" w:color="auto"/>
              <w:bottom w:val="nil"/>
              <w:right w:val="single" w:sz="8" w:space="0" w:color="auto"/>
            </w:tcBorders>
            <w:vAlign w:val="center"/>
            <w:hideMark/>
          </w:tcPr>
          <w:p w14:paraId="24A7766F" w14:textId="77777777" w:rsidR="00DA4369" w:rsidRPr="00A66F03" w:rsidRDefault="00DA4369" w:rsidP="00CF4DEE">
            <w:pPr>
              <w:spacing w:after="0" w:line="240" w:lineRule="auto"/>
              <w:rPr>
                <w:rFonts w:ascii="Calibri" w:eastAsia="Times New Roman" w:hAnsi="Calibri" w:cs="Calibri"/>
                <w:color w:val="000000"/>
                <w:sz w:val="14"/>
                <w:szCs w:val="16"/>
                <w:lang w:val="en-GB"/>
              </w:rPr>
            </w:pPr>
          </w:p>
        </w:tc>
        <w:tc>
          <w:tcPr>
            <w:tcW w:w="277" w:type="pct"/>
            <w:tcBorders>
              <w:top w:val="nil"/>
              <w:left w:val="nil"/>
              <w:bottom w:val="single" w:sz="8" w:space="0" w:color="auto"/>
              <w:right w:val="single" w:sz="8" w:space="0" w:color="auto"/>
            </w:tcBorders>
            <w:shd w:val="clear" w:color="auto" w:fill="auto"/>
            <w:vAlign w:val="center"/>
            <w:hideMark/>
          </w:tcPr>
          <w:p w14:paraId="47773A3E" w14:textId="77777777" w:rsidR="00DA4369" w:rsidRPr="00A66F03" w:rsidRDefault="00976636" w:rsidP="00CF4DEE">
            <w:pPr>
              <w:spacing w:after="0" w:line="240" w:lineRule="auto"/>
              <w:jc w:val="center"/>
              <w:rPr>
                <w:rFonts w:ascii="Calibri" w:eastAsia="Times New Roman" w:hAnsi="Calibri" w:cs="Calibri"/>
                <w:i/>
                <w:iCs/>
                <w:color w:val="000000"/>
                <w:sz w:val="14"/>
                <w:szCs w:val="16"/>
                <w:lang w:val="en-GB"/>
              </w:rPr>
            </w:pPr>
            <w:r w:rsidRPr="00A66F03">
              <w:rPr>
                <w:rFonts w:ascii="Calibri" w:eastAsia="Times New Roman" w:hAnsi="Calibri" w:cs="Calibri"/>
                <w:i/>
                <w:iCs/>
                <w:color w:val="000000"/>
                <w:sz w:val="14"/>
                <w:szCs w:val="16"/>
                <w:lang w:val="en-GB"/>
              </w:rPr>
              <w:t>Less developed</w:t>
            </w:r>
          </w:p>
        </w:tc>
        <w:tc>
          <w:tcPr>
            <w:tcW w:w="409" w:type="pct"/>
            <w:tcBorders>
              <w:top w:val="nil"/>
              <w:left w:val="nil"/>
              <w:bottom w:val="single" w:sz="8" w:space="0" w:color="auto"/>
              <w:right w:val="single" w:sz="8" w:space="0" w:color="auto"/>
            </w:tcBorders>
            <w:shd w:val="clear" w:color="auto" w:fill="auto"/>
            <w:vAlign w:val="center"/>
            <w:hideMark/>
          </w:tcPr>
          <w:p w14:paraId="44024606"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xml:space="preserve">           486,197,521   </w:t>
            </w:r>
          </w:p>
        </w:tc>
        <w:tc>
          <w:tcPr>
            <w:tcW w:w="409" w:type="pct"/>
            <w:vMerge/>
            <w:tcBorders>
              <w:top w:val="single" w:sz="8" w:space="0" w:color="auto"/>
              <w:left w:val="single" w:sz="8" w:space="0" w:color="auto"/>
              <w:bottom w:val="nil"/>
              <w:right w:val="single" w:sz="8" w:space="0" w:color="auto"/>
            </w:tcBorders>
            <w:vAlign w:val="center"/>
            <w:hideMark/>
          </w:tcPr>
          <w:p w14:paraId="2645246E" w14:textId="77777777" w:rsidR="00DA4369" w:rsidRPr="00A66F03" w:rsidRDefault="00DA4369" w:rsidP="00CF4DEE">
            <w:pPr>
              <w:spacing w:after="0" w:line="240" w:lineRule="auto"/>
              <w:rPr>
                <w:rFonts w:ascii="Calibri" w:eastAsia="Times New Roman" w:hAnsi="Calibri" w:cs="Calibri"/>
                <w:color w:val="000000"/>
                <w:sz w:val="14"/>
                <w:szCs w:val="16"/>
                <w:lang w:val="en-GB"/>
              </w:rPr>
            </w:pPr>
          </w:p>
        </w:tc>
        <w:tc>
          <w:tcPr>
            <w:tcW w:w="409" w:type="pct"/>
            <w:vMerge/>
            <w:tcBorders>
              <w:top w:val="single" w:sz="8" w:space="0" w:color="auto"/>
              <w:left w:val="single" w:sz="8" w:space="0" w:color="auto"/>
              <w:bottom w:val="nil"/>
              <w:right w:val="single" w:sz="8" w:space="0" w:color="auto"/>
            </w:tcBorders>
            <w:vAlign w:val="center"/>
            <w:hideMark/>
          </w:tcPr>
          <w:p w14:paraId="4593580B" w14:textId="77777777" w:rsidR="00DA4369" w:rsidRPr="00A66F03" w:rsidRDefault="00DA4369" w:rsidP="00CF4DEE">
            <w:pPr>
              <w:spacing w:after="0" w:line="240" w:lineRule="auto"/>
              <w:rPr>
                <w:rFonts w:ascii="Calibri" w:eastAsia="Times New Roman" w:hAnsi="Calibri" w:cs="Calibri"/>
                <w:b/>
                <w:bCs/>
                <w:color w:val="000000"/>
                <w:sz w:val="14"/>
                <w:szCs w:val="16"/>
                <w:lang w:val="en-GB"/>
              </w:rPr>
            </w:pPr>
          </w:p>
        </w:tc>
      </w:tr>
      <w:tr w:rsidR="00143DBE" w:rsidRPr="00A66F03" w14:paraId="2D6B45A6" w14:textId="77777777" w:rsidTr="00874C8B">
        <w:tc>
          <w:tcPr>
            <w:tcW w:w="484" w:type="pct"/>
            <w:vMerge w:val="restart"/>
            <w:tcBorders>
              <w:top w:val="nil"/>
              <w:left w:val="single" w:sz="8" w:space="0" w:color="auto"/>
              <w:bottom w:val="nil"/>
              <w:right w:val="single" w:sz="8" w:space="0" w:color="auto"/>
            </w:tcBorders>
            <w:shd w:val="clear" w:color="auto" w:fill="auto"/>
            <w:vAlign w:val="center"/>
            <w:hideMark/>
          </w:tcPr>
          <w:p w14:paraId="2571EFBF" w14:textId="77777777" w:rsidR="00DA4369" w:rsidRPr="00A66F03" w:rsidRDefault="00976636" w:rsidP="00CF4DEE">
            <w:pPr>
              <w:spacing w:after="0" w:line="240" w:lineRule="auto"/>
              <w:jc w:val="center"/>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Policy Objective 5</w:t>
            </w:r>
          </w:p>
        </w:tc>
        <w:tc>
          <w:tcPr>
            <w:tcW w:w="277" w:type="pct"/>
            <w:vMerge w:val="restart"/>
            <w:tcBorders>
              <w:top w:val="single" w:sz="8" w:space="0" w:color="auto"/>
              <w:left w:val="single" w:sz="8" w:space="0" w:color="auto"/>
              <w:bottom w:val="nil"/>
              <w:right w:val="single" w:sz="8" w:space="0" w:color="auto"/>
            </w:tcBorders>
            <w:shd w:val="clear" w:color="auto" w:fill="auto"/>
            <w:vAlign w:val="center"/>
            <w:hideMark/>
          </w:tcPr>
          <w:p w14:paraId="1F07348D"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w:t>
            </w:r>
          </w:p>
        </w:tc>
        <w:tc>
          <w:tcPr>
            <w:tcW w:w="277" w:type="pct"/>
            <w:tcBorders>
              <w:top w:val="nil"/>
              <w:left w:val="nil"/>
              <w:bottom w:val="single" w:sz="8" w:space="0" w:color="auto"/>
              <w:right w:val="single" w:sz="8" w:space="0" w:color="auto"/>
            </w:tcBorders>
            <w:shd w:val="clear" w:color="auto" w:fill="auto"/>
            <w:vAlign w:val="center"/>
            <w:hideMark/>
          </w:tcPr>
          <w:p w14:paraId="7277C79B" w14:textId="77777777" w:rsidR="00DA4369" w:rsidRPr="00A66F03" w:rsidRDefault="00976636" w:rsidP="00CF4DEE">
            <w:pPr>
              <w:spacing w:after="0" w:line="240" w:lineRule="auto"/>
              <w:jc w:val="center"/>
              <w:rPr>
                <w:rFonts w:ascii="Calibri" w:eastAsia="Times New Roman" w:hAnsi="Calibri" w:cs="Calibri"/>
                <w:i/>
                <w:iCs/>
                <w:color w:val="000000"/>
                <w:sz w:val="14"/>
                <w:szCs w:val="16"/>
                <w:lang w:val="en-GB"/>
              </w:rPr>
            </w:pPr>
            <w:r w:rsidRPr="00A66F03">
              <w:rPr>
                <w:rFonts w:ascii="Calibri" w:eastAsia="Times New Roman" w:hAnsi="Calibri" w:cs="Calibri"/>
                <w:i/>
                <w:iCs/>
                <w:color w:val="000000"/>
                <w:sz w:val="14"/>
                <w:szCs w:val="16"/>
                <w:lang w:val="en-GB"/>
              </w:rPr>
              <w:t>More developed</w:t>
            </w:r>
          </w:p>
        </w:tc>
        <w:tc>
          <w:tcPr>
            <w:tcW w:w="409" w:type="pct"/>
            <w:tcBorders>
              <w:top w:val="nil"/>
              <w:left w:val="nil"/>
              <w:bottom w:val="single" w:sz="8" w:space="0" w:color="auto"/>
              <w:right w:val="single" w:sz="8" w:space="0" w:color="auto"/>
            </w:tcBorders>
            <w:shd w:val="clear" w:color="auto" w:fill="auto"/>
            <w:vAlign w:val="center"/>
            <w:hideMark/>
          </w:tcPr>
          <w:p w14:paraId="783182F6"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xml:space="preserve">              17,627,973   </w:t>
            </w:r>
          </w:p>
        </w:tc>
        <w:tc>
          <w:tcPr>
            <w:tcW w:w="409" w:type="pct"/>
            <w:vMerge w:val="restart"/>
            <w:tcBorders>
              <w:top w:val="single" w:sz="8" w:space="0" w:color="auto"/>
              <w:left w:val="single" w:sz="8" w:space="0" w:color="auto"/>
              <w:bottom w:val="nil"/>
              <w:right w:val="single" w:sz="8" w:space="0" w:color="auto"/>
            </w:tcBorders>
            <w:shd w:val="clear" w:color="auto" w:fill="auto"/>
            <w:vAlign w:val="center"/>
            <w:hideMark/>
          </w:tcPr>
          <w:p w14:paraId="1E7A08BC"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w:t>
            </w:r>
          </w:p>
        </w:tc>
        <w:tc>
          <w:tcPr>
            <w:tcW w:w="409" w:type="pct"/>
            <w:vMerge w:val="restart"/>
            <w:tcBorders>
              <w:top w:val="single" w:sz="8" w:space="0" w:color="auto"/>
              <w:left w:val="single" w:sz="8" w:space="0" w:color="auto"/>
              <w:bottom w:val="nil"/>
              <w:right w:val="single" w:sz="8" w:space="0" w:color="auto"/>
            </w:tcBorders>
            <w:shd w:val="clear" w:color="auto" w:fill="auto"/>
            <w:vAlign w:val="center"/>
            <w:hideMark/>
          </w:tcPr>
          <w:p w14:paraId="4AADE764"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w:t>
            </w:r>
          </w:p>
        </w:tc>
        <w:tc>
          <w:tcPr>
            <w:tcW w:w="409" w:type="pct"/>
            <w:tcBorders>
              <w:top w:val="nil"/>
              <w:left w:val="nil"/>
              <w:bottom w:val="single" w:sz="8" w:space="0" w:color="auto"/>
              <w:right w:val="single" w:sz="8" w:space="0" w:color="auto"/>
            </w:tcBorders>
            <w:shd w:val="clear" w:color="auto" w:fill="auto"/>
            <w:vAlign w:val="center"/>
            <w:hideMark/>
          </w:tcPr>
          <w:p w14:paraId="0C92D208"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w:t>
            </w:r>
          </w:p>
        </w:tc>
        <w:tc>
          <w:tcPr>
            <w:tcW w:w="409" w:type="pct"/>
            <w:tcBorders>
              <w:top w:val="nil"/>
              <w:left w:val="nil"/>
              <w:bottom w:val="single" w:sz="8" w:space="0" w:color="auto"/>
              <w:right w:val="single" w:sz="8" w:space="0" w:color="auto"/>
            </w:tcBorders>
            <w:shd w:val="clear" w:color="auto" w:fill="auto"/>
            <w:vAlign w:val="center"/>
            <w:hideMark/>
          </w:tcPr>
          <w:p w14:paraId="77902331"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w:t>
            </w:r>
          </w:p>
        </w:tc>
        <w:tc>
          <w:tcPr>
            <w:tcW w:w="409" w:type="pct"/>
            <w:vMerge w:val="restart"/>
            <w:tcBorders>
              <w:top w:val="single" w:sz="8" w:space="0" w:color="auto"/>
              <w:left w:val="single" w:sz="8" w:space="0" w:color="auto"/>
              <w:bottom w:val="nil"/>
              <w:right w:val="single" w:sz="8" w:space="0" w:color="auto"/>
            </w:tcBorders>
            <w:shd w:val="clear" w:color="auto" w:fill="auto"/>
            <w:vAlign w:val="center"/>
            <w:hideMark/>
          </w:tcPr>
          <w:p w14:paraId="6FA30808"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w:t>
            </w:r>
          </w:p>
        </w:tc>
        <w:tc>
          <w:tcPr>
            <w:tcW w:w="277" w:type="pct"/>
            <w:tcBorders>
              <w:top w:val="nil"/>
              <w:left w:val="nil"/>
              <w:bottom w:val="single" w:sz="8" w:space="0" w:color="auto"/>
              <w:right w:val="single" w:sz="8" w:space="0" w:color="auto"/>
            </w:tcBorders>
            <w:shd w:val="clear" w:color="auto" w:fill="auto"/>
            <w:vAlign w:val="center"/>
            <w:hideMark/>
          </w:tcPr>
          <w:p w14:paraId="5C781736" w14:textId="77777777" w:rsidR="00DA4369" w:rsidRPr="00A66F03" w:rsidRDefault="00976636" w:rsidP="00CF4DEE">
            <w:pPr>
              <w:spacing w:after="0" w:line="240" w:lineRule="auto"/>
              <w:jc w:val="center"/>
              <w:rPr>
                <w:rFonts w:ascii="Calibri" w:eastAsia="Times New Roman" w:hAnsi="Calibri" w:cs="Calibri"/>
                <w:i/>
                <w:iCs/>
                <w:color w:val="000000"/>
                <w:sz w:val="14"/>
                <w:szCs w:val="16"/>
                <w:lang w:val="en-GB"/>
              </w:rPr>
            </w:pPr>
            <w:r w:rsidRPr="00A66F03">
              <w:rPr>
                <w:rFonts w:ascii="Calibri" w:eastAsia="Times New Roman" w:hAnsi="Calibri" w:cs="Calibri"/>
                <w:i/>
                <w:iCs/>
                <w:color w:val="000000"/>
                <w:sz w:val="14"/>
                <w:szCs w:val="16"/>
                <w:lang w:val="en-GB"/>
              </w:rPr>
              <w:t>More developed</w:t>
            </w:r>
          </w:p>
        </w:tc>
        <w:tc>
          <w:tcPr>
            <w:tcW w:w="409" w:type="pct"/>
            <w:tcBorders>
              <w:top w:val="nil"/>
              <w:left w:val="nil"/>
              <w:bottom w:val="single" w:sz="8" w:space="0" w:color="auto"/>
              <w:right w:val="single" w:sz="8" w:space="0" w:color="auto"/>
            </w:tcBorders>
            <w:shd w:val="clear" w:color="auto" w:fill="auto"/>
            <w:vAlign w:val="center"/>
            <w:hideMark/>
          </w:tcPr>
          <w:p w14:paraId="061F59A6"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xml:space="preserve">                                         </w:t>
            </w:r>
          </w:p>
        </w:tc>
        <w:tc>
          <w:tcPr>
            <w:tcW w:w="409" w:type="pct"/>
            <w:vMerge w:val="restart"/>
            <w:tcBorders>
              <w:top w:val="single" w:sz="8" w:space="0" w:color="auto"/>
              <w:left w:val="single" w:sz="8" w:space="0" w:color="auto"/>
              <w:bottom w:val="nil"/>
              <w:right w:val="single" w:sz="8" w:space="0" w:color="auto"/>
            </w:tcBorders>
            <w:shd w:val="clear" w:color="auto" w:fill="auto"/>
            <w:vAlign w:val="center"/>
            <w:hideMark/>
          </w:tcPr>
          <w:p w14:paraId="7BBEDF69"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xml:space="preserve">                 8,897,000   </w:t>
            </w:r>
          </w:p>
        </w:tc>
        <w:tc>
          <w:tcPr>
            <w:tcW w:w="409" w:type="pct"/>
            <w:vMerge w:val="restart"/>
            <w:tcBorders>
              <w:top w:val="single" w:sz="8" w:space="0" w:color="auto"/>
              <w:left w:val="single" w:sz="8" w:space="0" w:color="auto"/>
              <w:bottom w:val="nil"/>
              <w:right w:val="single" w:sz="8" w:space="0" w:color="auto"/>
            </w:tcBorders>
            <w:shd w:val="clear" w:color="auto" w:fill="auto"/>
            <w:vAlign w:val="center"/>
            <w:hideMark/>
          </w:tcPr>
          <w:p w14:paraId="648DC27E" w14:textId="77777777" w:rsidR="00DA4369" w:rsidRPr="00A66F03" w:rsidRDefault="00976636" w:rsidP="00CF4DEE">
            <w:pPr>
              <w:spacing w:after="0" w:line="240" w:lineRule="auto"/>
              <w:rPr>
                <w:rFonts w:ascii="Calibri" w:eastAsia="Times New Roman" w:hAnsi="Calibri" w:cs="Calibri"/>
                <w:b/>
                <w:bCs/>
                <w:color w:val="000000"/>
                <w:sz w:val="14"/>
                <w:szCs w:val="16"/>
                <w:lang w:val="en-GB"/>
              </w:rPr>
            </w:pPr>
            <w:r w:rsidRPr="00A66F03">
              <w:rPr>
                <w:rFonts w:ascii="Calibri" w:eastAsia="Times New Roman" w:hAnsi="Calibri" w:cs="Calibri"/>
                <w:b/>
                <w:bCs/>
                <w:color w:val="000000"/>
                <w:sz w:val="14"/>
                <w:szCs w:val="16"/>
                <w:lang w:val="en-GB"/>
              </w:rPr>
              <w:t xml:space="preserve">              94,127,785   </w:t>
            </w:r>
          </w:p>
        </w:tc>
      </w:tr>
      <w:tr w:rsidR="00143DBE" w:rsidRPr="00A66F03" w14:paraId="49349D71" w14:textId="77777777" w:rsidTr="00874C8B">
        <w:tc>
          <w:tcPr>
            <w:tcW w:w="484" w:type="pct"/>
            <w:vMerge/>
            <w:tcBorders>
              <w:top w:val="nil"/>
              <w:left w:val="single" w:sz="8" w:space="0" w:color="auto"/>
              <w:bottom w:val="nil"/>
              <w:right w:val="single" w:sz="8" w:space="0" w:color="auto"/>
            </w:tcBorders>
            <w:vAlign w:val="center"/>
            <w:hideMark/>
          </w:tcPr>
          <w:p w14:paraId="075BBE09" w14:textId="77777777" w:rsidR="00DA4369" w:rsidRPr="00A66F03" w:rsidRDefault="00DA4369" w:rsidP="00CF4DEE">
            <w:pPr>
              <w:spacing w:after="0" w:line="240" w:lineRule="auto"/>
              <w:rPr>
                <w:rFonts w:ascii="Calibri" w:eastAsia="Times New Roman" w:hAnsi="Calibri" w:cs="Calibri"/>
                <w:color w:val="000000"/>
                <w:sz w:val="14"/>
                <w:szCs w:val="16"/>
                <w:lang w:val="en-GB"/>
              </w:rPr>
            </w:pPr>
          </w:p>
        </w:tc>
        <w:tc>
          <w:tcPr>
            <w:tcW w:w="277" w:type="pct"/>
            <w:vMerge/>
            <w:tcBorders>
              <w:top w:val="single" w:sz="8" w:space="0" w:color="auto"/>
              <w:left w:val="single" w:sz="8" w:space="0" w:color="auto"/>
              <w:bottom w:val="nil"/>
              <w:right w:val="single" w:sz="8" w:space="0" w:color="auto"/>
            </w:tcBorders>
            <w:vAlign w:val="center"/>
            <w:hideMark/>
          </w:tcPr>
          <w:p w14:paraId="659612BE" w14:textId="77777777" w:rsidR="00DA4369" w:rsidRPr="00A66F03" w:rsidRDefault="00DA4369" w:rsidP="00CF4DEE">
            <w:pPr>
              <w:spacing w:after="0" w:line="240" w:lineRule="auto"/>
              <w:rPr>
                <w:rFonts w:ascii="Calibri" w:eastAsia="Times New Roman" w:hAnsi="Calibri" w:cs="Calibri"/>
                <w:color w:val="000000"/>
                <w:sz w:val="14"/>
                <w:szCs w:val="16"/>
                <w:lang w:val="en-GB"/>
              </w:rPr>
            </w:pPr>
          </w:p>
        </w:tc>
        <w:tc>
          <w:tcPr>
            <w:tcW w:w="277" w:type="pct"/>
            <w:tcBorders>
              <w:top w:val="nil"/>
              <w:left w:val="nil"/>
              <w:bottom w:val="nil"/>
              <w:right w:val="single" w:sz="8" w:space="0" w:color="auto"/>
            </w:tcBorders>
            <w:shd w:val="clear" w:color="auto" w:fill="auto"/>
            <w:vAlign w:val="center"/>
            <w:hideMark/>
          </w:tcPr>
          <w:p w14:paraId="4959FB0F" w14:textId="77777777" w:rsidR="00DA4369" w:rsidRPr="00A66F03" w:rsidRDefault="00976636" w:rsidP="00CF4DEE">
            <w:pPr>
              <w:spacing w:after="0" w:line="240" w:lineRule="auto"/>
              <w:jc w:val="center"/>
              <w:rPr>
                <w:rFonts w:ascii="Calibri" w:eastAsia="Times New Roman" w:hAnsi="Calibri" w:cs="Calibri"/>
                <w:i/>
                <w:iCs/>
                <w:color w:val="000000"/>
                <w:sz w:val="14"/>
                <w:szCs w:val="16"/>
                <w:lang w:val="en-GB"/>
              </w:rPr>
            </w:pPr>
            <w:r w:rsidRPr="00A66F03">
              <w:rPr>
                <w:rFonts w:ascii="Calibri" w:eastAsia="Times New Roman" w:hAnsi="Calibri" w:cs="Calibri"/>
                <w:i/>
                <w:iCs/>
                <w:color w:val="000000"/>
                <w:sz w:val="14"/>
                <w:szCs w:val="16"/>
                <w:lang w:val="en-GB"/>
              </w:rPr>
              <w:t>Less developed</w:t>
            </w:r>
          </w:p>
        </w:tc>
        <w:tc>
          <w:tcPr>
            <w:tcW w:w="409" w:type="pct"/>
            <w:tcBorders>
              <w:top w:val="nil"/>
              <w:left w:val="nil"/>
              <w:bottom w:val="nil"/>
              <w:right w:val="single" w:sz="8" w:space="0" w:color="auto"/>
            </w:tcBorders>
            <w:shd w:val="clear" w:color="auto" w:fill="auto"/>
            <w:vAlign w:val="center"/>
            <w:hideMark/>
          </w:tcPr>
          <w:p w14:paraId="1C0147D7"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xml:space="preserve">              67,602,812   </w:t>
            </w:r>
          </w:p>
        </w:tc>
        <w:tc>
          <w:tcPr>
            <w:tcW w:w="409" w:type="pct"/>
            <w:vMerge/>
            <w:tcBorders>
              <w:top w:val="single" w:sz="8" w:space="0" w:color="auto"/>
              <w:left w:val="single" w:sz="8" w:space="0" w:color="auto"/>
              <w:bottom w:val="nil"/>
              <w:right w:val="single" w:sz="8" w:space="0" w:color="auto"/>
            </w:tcBorders>
            <w:vAlign w:val="center"/>
            <w:hideMark/>
          </w:tcPr>
          <w:p w14:paraId="782DD154" w14:textId="77777777" w:rsidR="00DA4369" w:rsidRPr="00A66F03" w:rsidRDefault="00DA4369" w:rsidP="00CF4DEE">
            <w:pPr>
              <w:spacing w:after="0" w:line="240" w:lineRule="auto"/>
              <w:rPr>
                <w:rFonts w:ascii="Calibri" w:eastAsia="Times New Roman" w:hAnsi="Calibri" w:cs="Calibri"/>
                <w:color w:val="000000"/>
                <w:sz w:val="14"/>
                <w:szCs w:val="16"/>
                <w:lang w:val="en-GB"/>
              </w:rPr>
            </w:pPr>
          </w:p>
        </w:tc>
        <w:tc>
          <w:tcPr>
            <w:tcW w:w="409" w:type="pct"/>
            <w:vMerge/>
            <w:tcBorders>
              <w:top w:val="single" w:sz="8" w:space="0" w:color="auto"/>
              <w:left w:val="single" w:sz="8" w:space="0" w:color="auto"/>
              <w:bottom w:val="nil"/>
              <w:right w:val="single" w:sz="8" w:space="0" w:color="auto"/>
            </w:tcBorders>
            <w:vAlign w:val="center"/>
            <w:hideMark/>
          </w:tcPr>
          <w:p w14:paraId="10C475A2" w14:textId="77777777" w:rsidR="00DA4369" w:rsidRPr="00A66F03" w:rsidRDefault="00DA4369" w:rsidP="00CF4DEE">
            <w:pPr>
              <w:spacing w:after="0" w:line="240" w:lineRule="auto"/>
              <w:rPr>
                <w:rFonts w:ascii="Calibri" w:eastAsia="Times New Roman" w:hAnsi="Calibri" w:cs="Calibri"/>
                <w:color w:val="000000"/>
                <w:sz w:val="14"/>
                <w:szCs w:val="16"/>
                <w:lang w:val="en-GB"/>
              </w:rPr>
            </w:pPr>
          </w:p>
        </w:tc>
        <w:tc>
          <w:tcPr>
            <w:tcW w:w="409" w:type="pct"/>
            <w:tcBorders>
              <w:top w:val="nil"/>
              <w:left w:val="nil"/>
              <w:bottom w:val="nil"/>
              <w:right w:val="single" w:sz="8" w:space="0" w:color="auto"/>
            </w:tcBorders>
            <w:shd w:val="clear" w:color="auto" w:fill="auto"/>
            <w:vAlign w:val="center"/>
            <w:hideMark/>
          </w:tcPr>
          <w:p w14:paraId="5BE193E7"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w:t>
            </w:r>
          </w:p>
        </w:tc>
        <w:tc>
          <w:tcPr>
            <w:tcW w:w="409" w:type="pct"/>
            <w:tcBorders>
              <w:top w:val="nil"/>
              <w:left w:val="nil"/>
              <w:bottom w:val="nil"/>
              <w:right w:val="single" w:sz="8" w:space="0" w:color="auto"/>
            </w:tcBorders>
            <w:shd w:val="clear" w:color="auto" w:fill="auto"/>
            <w:vAlign w:val="center"/>
            <w:hideMark/>
          </w:tcPr>
          <w:p w14:paraId="77F3ECC4"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w:t>
            </w:r>
          </w:p>
        </w:tc>
        <w:tc>
          <w:tcPr>
            <w:tcW w:w="409" w:type="pct"/>
            <w:vMerge/>
            <w:tcBorders>
              <w:top w:val="single" w:sz="8" w:space="0" w:color="auto"/>
              <w:left w:val="single" w:sz="8" w:space="0" w:color="auto"/>
              <w:bottom w:val="nil"/>
              <w:right w:val="single" w:sz="8" w:space="0" w:color="auto"/>
            </w:tcBorders>
            <w:vAlign w:val="center"/>
            <w:hideMark/>
          </w:tcPr>
          <w:p w14:paraId="63CF11F6" w14:textId="77777777" w:rsidR="00DA4369" w:rsidRPr="00A66F03" w:rsidRDefault="00DA4369" w:rsidP="00CF4DEE">
            <w:pPr>
              <w:spacing w:after="0" w:line="240" w:lineRule="auto"/>
              <w:rPr>
                <w:rFonts w:ascii="Calibri" w:eastAsia="Times New Roman" w:hAnsi="Calibri" w:cs="Calibri"/>
                <w:color w:val="000000"/>
                <w:sz w:val="14"/>
                <w:szCs w:val="16"/>
                <w:lang w:val="en-GB"/>
              </w:rPr>
            </w:pPr>
          </w:p>
        </w:tc>
        <w:tc>
          <w:tcPr>
            <w:tcW w:w="277" w:type="pct"/>
            <w:tcBorders>
              <w:top w:val="nil"/>
              <w:left w:val="nil"/>
              <w:bottom w:val="nil"/>
              <w:right w:val="single" w:sz="8" w:space="0" w:color="auto"/>
            </w:tcBorders>
            <w:shd w:val="clear" w:color="auto" w:fill="auto"/>
            <w:vAlign w:val="center"/>
            <w:hideMark/>
          </w:tcPr>
          <w:p w14:paraId="19F106D3" w14:textId="77777777" w:rsidR="00DA4369" w:rsidRPr="00A66F03" w:rsidRDefault="00976636" w:rsidP="00CF4DEE">
            <w:pPr>
              <w:spacing w:after="0" w:line="240" w:lineRule="auto"/>
              <w:jc w:val="center"/>
              <w:rPr>
                <w:rFonts w:ascii="Calibri" w:eastAsia="Times New Roman" w:hAnsi="Calibri" w:cs="Calibri"/>
                <w:i/>
                <w:iCs/>
                <w:color w:val="000000"/>
                <w:sz w:val="14"/>
                <w:szCs w:val="16"/>
                <w:lang w:val="en-GB"/>
              </w:rPr>
            </w:pPr>
            <w:r w:rsidRPr="00A66F03">
              <w:rPr>
                <w:rFonts w:ascii="Calibri" w:eastAsia="Times New Roman" w:hAnsi="Calibri" w:cs="Calibri"/>
                <w:i/>
                <w:iCs/>
                <w:color w:val="000000"/>
                <w:sz w:val="14"/>
                <w:szCs w:val="16"/>
                <w:lang w:val="en-GB"/>
              </w:rPr>
              <w:t>Less developed</w:t>
            </w:r>
          </w:p>
        </w:tc>
        <w:tc>
          <w:tcPr>
            <w:tcW w:w="409" w:type="pct"/>
            <w:tcBorders>
              <w:top w:val="nil"/>
              <w:left w:val="nil"/>
              <w:bottom w:val="nil"/>
              <w:right w:val="single" w:sz="8" w:space="0" w:color="auto"/>
            </w:tcBorders>
            <w:shd w:val="clear" w:color="auto" w:fill="auto"/>
            <w:vAlign w:val="center"/>
            <w:hideMark/>
          </w:tcPr>
          <w:p w14:paraId="4E9F9B2D"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xml:space="preserve">                                          </w:t>
            </w:r>
          </w:p>
        </w:tc>
        <w:tc>
          <w:tcPr>
            <w:tcW w:w="409" w:type="pct"/>
            <w:vMerge/>
            <w:tcBorders>
              <w:top w:val="single" w:sz="8" w:space="0" w:color="auto"/>
              <w:left w:val="single" w:sz="8" w:space="0" w:color="auto"/>
              <w:bottom w:val="nil"/>
              <w:right w:val="single" w:sz="8" w:space="0" w:color="auto"/>
            </w:tcBorders>
            <w:vAlign w:val="center"/>
            <w:hideMark/>
          </w:tcPr>
          <w:p w14:paraId="5C10F4F9" w14:textId="77777777" w:rsidR="00DA4369" w:rsidRPr="00A66F03" w:rsidRDefault="00DA4369" w:rsidP="00CF4DEE">
            <w:pPr>
              <w:spacing w:after="0" w:line="240" w:lineRule="auto"/>
              <w:rPr>
                <w:rFonts w:ascii="Calibri" w:eastAsia="Times New Roman" w:hAnsi="Calibri" w:cs="Calibri"/>
                <w:color w:val="000000"/>
                <w:sz w:val="14"/>
                <w:szCs w:val="16"/>
                <w:lang w:val="en-GB"/>
              </w:rPr>
            </w:pPr>
          </w:p>
        </w:tc>
        <w:tc>
          <w:tcPr>
            <w:tcW w:w="409" w:type="pct"/>
            <w:vMerge/>
            <w:tcBorders>
              <w:top w:val="single" w:sz="8" w:space="0" w:color="auto"/>
              <w:left w:val="single" w:sz="8" w:space="0" w:color="auto"/>
              <w:bottom w:val="nil"/>
              <w:right w:val="single" w:sz="8" w:space="0" w:color="auto"/>
            </w:tcBorders>
            <w:vAlign w:val="center"/>
            <w:hideMark/>
          </w:tcPr>
          <w:p w14:paraId="1192D651" w14:textId="77777777" w:rsidR="00DA4369" w:rsidRPr="00A66F03" w:rsidRDefault="00DA4369" w:rsidP="00CF4DEE">
            <w:pPr>
              <w:spacing w:after="0" w:line="240" w:lineRule="auto"/>
              <w:rPr>
                <w:rFonts w:ascii="Calibri" w:eastAsia="Times New Roman" w:hAnsi="Calibri" w:cs="Calibri"/>
                <w:b/>
                <w:bCs/>
                <w:color w:val="000000"/>
                <w:sz w:val="14"/>
                <w:szCs w:val="16"/>
                <w:lang w:val="en-GB"/>
              </w:rPr>
            </w:pPr>
          </w:p>
        </w:tc>
      </w:tr>
      <w:tr w:rsidR="00143DBE" w:rsidRPr="00A66F03" w14:paraId="6573B4B3" w14:textId="77777777" w:rsidTr="00874C8B">
        <w:tc>
          <w:tcPr>
            <w:tcW w:w="48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288E4DA" w14:textId="77777777" w:rsidR="00DA4369" w:rsidRPr="00A66F03" w:rsidRDefault="00976636" w:rsidP="00CF4DEE">
            <w:pPr>
              <w:spacing w:after="0" w:line="240" w:lineRule="auto"/>
              <w:rPr>
                <w:rFonts w:ascii="Calibri" w:eastAsia="Times New Roman" w:hAnsi="Calibri" w:cs="Calibri"/>
                <w:b/>
                <w:bCs/>
                <w:color w:val="000000"/>
                <w:sz w:val="14"/>
                <w:szCs w:val="16"/>
                <w:lang w:val="en-GB"/>
              </w:rPr>
            </w:pPr>
            <w:r w:rsidRPr="00A66F03">
              <w:rPr>
                <w:rFonts w:ascii="Calibri" w:eastAsia="Times New Roman" w:hAnsi="Calibri" w:cs="Calibri"/>
                <w:b/>
                <w:bCs/>
                <w:color w:val="000000"/>
                <w:sz w:val="14"/>
                <w:szCs w:val="16"/>
                <w:lang w:val="en-GB"/>
              </w:rPr>
              <w:t xml:space="preserve">JTF-specific objective </w:t>
            </w:r>
          </w:p>
        </w:tc>
        <w:tc>
          <w:tcPr>
            <w:tcW w:w="963" w:type="pct"/>
            <w:gridSpan w:val="3"/>
            <w:tcBorders>
              <w:top w:val="single" w:sz="8" w:space="0" w:color="auto"/>
              <w:left w:val="nil"/>
              <w:bottom w:val="single" w:sz="8" w:space="0" w:color="auto"/>
              <w:right w:val="single" w:sz="8" w:space="0" w:color="000000"/>
            </w:tcBorders>
            <w:shd w:val="clear" w:color="auto" w:fill="auto"/>
            <w:vAlign w:val="center"/>
            <w:hideMark/>
          </w:tcPr>
          <w:p w14:paraId="58C028C8"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w:t>
            </w:r>
          </w:p>
        </w:tc>
        <w:tc>
          <w:tcPr>
            <w:tcW w:w="409" w:type="pct"/>
            <w:tcBorders>
              <w:top w:val="single" w:sz="8" w:space="0" w:color="auto"/>
              <w:left w:val="nil"/>
              <w:bottom w:val="single" w:sz="8" w:space="0" w:color="auto"/>
              <w:right w:val="single" w:sz="8" w:space="0" w:color="auto"/>
            </w:tcBorders>
            <w:shd w:val="clear" w:color="auto" w:fill="auto"/>
            <w:vAlign w:val="center"/>
            <w:hideMark/>
          </w:tcPr>
          <w:p w14:paraId="5EE9533A"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w:t>
            </w:r>
          </w:p>
        </w:tc>
        <w:tc>
          <w:tcPr>
            <w:tcW w:w="409" w:type="pct"/>
            <w:tcBorders>
              <w:top w:val="single" w:sz="8" w:space="0" w:color="auto"/>
              <w:left w:val="nil"/>
              <w:bottom w:val="single" w:sz="8" w:space="0" w:color="auto"/>
              <w:right w:val="single" w:sz="8" w:space="0" w:color="auto"/>
            </w:tcBorders>
            <w:shd w:val="clear" w:color="auto" w:fill="auto"/>
            <w:vAlign w:val="center"/>
            <w:hideMark/>
          </w:tcPr>
          <w:p w14:paraId="382ACF5B"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xml:space="preserve">           248,773,600   </w:t>
            </w:r>
          </w:p>
        </w:tc>
        <w:tc>
          <w:tcPr>
            <w:tcW w:w="409" w:type="pct"/>
            <w:tcBorders>
              <w:top w:val="single" w:sz="8" w:space="0" w:color="auto"/>
              <w:left w:val="nil"/>
              <w:bottom w:val="single" w:sz="8" w:space="0" w:color="auto"/>
              <w:right w:val="single" w:sz="8" w:space="0" w:color="auto"/>
            </w:tcBorders>
            <w:shd w:val="clear" w:color="auto" w:fill="auto"/>
            <w:vAlign w:val="center"/>
            <w:hideMark/>
          </w:tcPr>
          <w:p w14:paraId="5D61B67D"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xml:space="preserve">           108,931,414</w:t>
            </w:r>
          </w:p>
        </w:tc>
        <w:tc>
          <w:tcPr>
            <w:tcW w:w="409" w:type="pct"/>
            <w:tcBorders>
              <w:top w:val="single" w:sz="8" w:space="0" w:color="auto"/>
              <w:left w:val="nil"/>
              <w:bottom w:val="single" w:sz="8" w:space="0" w:color="auto"/>
              <w:right w:val="single" w:sz="8" w:space="0" w:color="auto"/>
            </w:tcBorders>
            <w:shd w:val="clear" w:color="auto" w:fill="auto"/>
            <w:vAlign w:val="center"/>
            <w:hideMark/>
          </w:tcPr>
          <w:p w14:paraId="08A2D0D9"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xml:space="preserve">           139,842,186</w:t>
            </w:r>
          </w:p>
        </w:tc>
        <w:tc>
          <w:tcPr>
            <w:tcW w:w="1096" w:type="pct"/>
            <w:gridSpan w:val="3"/>
            <w:tcBorders>
              <w:top w:val="single" w:sz="8" w:space="0" w:color="auto"/>
              <w:left w:val="nil"/>
              <w:bottom w:val="single" w:sz="8" w:space="0" w:color="auto"/>
              <w:right w:val="single" w:sz="8" w:space="0" w:color="000000"/>
            </w:tcBorders>
            <w:shd w:val="clear" w:color="auto" w:fill="auto"/>
            <w:vAlign w:val="center"/>
            <w:hideMark/>
          </w:tcPr>
          <w:p w14:paraId="6932DCD6"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w:t>
            </w:r>
          </w:p>
        </w:tc>
        <w:tc>
          <w:tcPr>
            <w:tcW w:w="409" w:type="pct"/>
            <w:tcBorders>
              <w:top w:val="single" w:sz="8" w:space="0" w:color="auto"/>
              <w:left w:val="nil"/>
              <w:bottom w:val="single" w:sz="8" w:space="0" w:color="auto"/>
              <w:right w:val="single" w:sz="8" w:space="0" w:color="auto"/>
            </w:tcBorders>
            <w:shd w:val="clear" w:color="auto" w:fill="auto"/>
            <w:vAlign w:val="center"/>
            <w:hideMark/>
          </w:tcPr>
          <w:p w14:paraId="5F4EECEF"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w:t>
            </w:r>
          </w:p>
        </w:tc>
        <w:tc>
          <w:tcPr>
            <w:tcW w:w="409" w:type="pct"/>
            <w:tcBorders>
              <w:top w:val="single" w:sz="8" w:space="0" w:color="auto"/>
              <w:left w:val="nil"/>
              <w:bottom w:val="single" w:sz="8" w:space="0" w:color="auto"/>
              <w:right w:val="single" w:sz="8" w:space="0" w:color="auto"/>
            </w:tcBorders>
            <w:shd w:val="clear" w:color="auto" w:fill="auto"/>
            <w:vAlign w:val="center"/>
            <w:hideMark/>
          </w:tcPr>
          <w:p w14:paraId="71E47BF1" w14:textId="77777777" w:rsidR="00DA4369" w:rsidRPr="00A66F03" w:rsidRDefault="00976636" w:rsidP="00CF4DEE">
            <w:pPr>
              <w:spacing w:after="0" w:line="240" w:lineRule="auto"/>
              <w:rPr>
                <w:rFonts w:ascii="Calibri" w:eastAsia="Times New Roman" w:hAnsi="Calibri" w:cs="Calibri"/>
                <w:b/>
                <w:bCs/>
                <w:color w:val="000000"/>
                <w:sz w:val="14"/>
                <w:szCs w:val="16"/>
                <w:lang w:val="en-GB"/>
              </w:rPr>
            </w:pPr>
            <w:r w:rsidRPr="00A66F03">
              <w:rPr>
                <w:rFonts w:ascii="Calibri" w:eastAsia="Times New Roman" w:hAnsi="Calibri" w:cs="Calibri"/>
                <w:b/>
                <w:bCs/>
                <w:color w:val="000000"/>
                <w:sz w:val="14"/>
                <w:szCs w:val="16"/>
                <w:lang w:val="en-GB"/>
              </w:rPr>
              <w:t xml:space="preserve">           248,773,600   </w:t>
            </w:r>
          </w:p>
        </w:tc>
      </w:tr>
      <w:tr w:rsidR="00143DBE" w:rsidRPr="00A66F03" w14:paraId="07FE3EB6" w14:textId="77777777" w:rsidTr="00874C8B">
        <w:tc>
          <w:tcPr>
            <w:tcW w:w="484" w:type="pct"/>
            <w:vMerge w:val="restart"/>
            <w:tcBorders>
              <w:top w:val="nil"/>
              <w:left w:val="single" w:sz="8" w:space="0" w:color="auto"/>
              <w:bottom w:val="single" w:sz="8" w:space="0" w:color="000000"/>
              <w:right w:val="single" w:sz="8" w:space="0" w:color="auto"/>
            </w:tcBorders>
            <w:shd w:val="clear" w:color="auto" w:fill="auto"/>
            <w:vAlign w:val="center"/>
            <w:hideMark/>
          </w:tcPr>
          <w:p w14:paraId="22E82373" w14:textId="77777777" w:rsidR="00DA4369" w:rsidRPr="00A66F03" w:rsidRDefault="00976636" w:rsidP="00CF4DEE">
            <w:pPr>
              <w:spacing w:after="0" w:line="240" w:lineRule="auto"/>
              <w:jc w:val="center"/>
              <w:rPr>
                <w:rFonts w:ascii="Calibri" w:eastAsia="Times New Roman" w:hAnsi="Calibri" w:cs="Calibri"/>
                <w:b/>
                <w:bCs/>
                <w:color w:val="000000"/>
                <w:sz w:val="14"/>
                <w:szCs w:val="16"/>
                <w:lang w:val="en-GB"/>
              </w:rPr>
            </w:pPr>
            <w:r w:rsidRPr="00A66F03">
              <w:rPr>
                <w:rFonts w:ascii="Calibri" w:eastAsia="Times New Roman" w:hAnsi="Calibri" w:cs="Calibri"/>
                <w:b/>
                <w:bCs/>
                <w:color w:val="000000"/>
                <w:sz w:val="14"/>
                <w:szCs w:val="16"/>
                <w:lang w:val="en-GB"/>
              </w:rPr>
              <w:t xml:space="preserve">Technical assistance pursuant to Article 36(5) CPR </w:t>
            </w:r>
          </w:p>
        </w:tc>
        <w:tc>
          <w:tcPr>
            <w:tcW w:w="277" w:type="pct"/>
            <w:vMerge w:val="restart"/>
            <w:tcBorders>
              <w:top w:val="nil"/>
              <w:left w:val="single" w:sz="8" w:space="0" w:color="auto"/>
              <w:bottom w:val="nil"/>
              <w:right w:val="single" w:sz="8" w:space="0" w:color="auto"/>
            </w:tcBorders>
            <w:shd w:val="clear" w:color="auto" w:fill="auto"/>
            <w:vAlign w:val="center"/>
            <w:hideMark/>
          </w:tcPr>
          <w:p w14:paraId="3EA4C63F"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w:t>
            </w:r>
          </w:p>
        </w:tc>
        <w:tc>
          <w:tcPr>
            <w:tcW w:w="277" w:type="pct"/>
            <w:tcBorders>
              <w:top w:val="nil"/>
              <w:left w:val="nil"/>
              <w:bottom w:val="single" w:sz="8" w:space="0" w:color="auto"/>
              <w:right w:val="single" w:sz="8" w:space="0" w:color="auto"/>
            </w:tcBorders>
            <w:shd w:val="clear" w:color="auto" w:fill="auto"/>
            <w:vAlign w:val="center"/>
            <w:hideMark/>
          </w:tcPr>
          <w:p w14:paraId="52564610" w14:textId="77777777" w:rsidR="00DA4369" w:rsidRPr="00A66F03" w:rsidRDefault="00976636" w:rsidP="00CF4DEE">
            <w:pPr>
              <w:spacing w:after="0" w:line="240" w:lineRule="auto"/>
              <w:jc w:val="center"/>
              <w:rPr>
                <w:rFonts w:ascii="Calibri" w:eastAsia="Times New Roman" w:hAnsi="Calibri" w:cs="Calibri"/>
                <w:i/>
                <w:iCs/>
                <w:color w:val="000000"/>
                <w:sz w:val="14"/>
                <w:szCs w:val="16"/>
                <w:lang w:val="en-GB"/>
              </w:rPr>
            </w:pPr>
            <w:r w:rsidRPr="00A66F03">
              <w:rPr>
                <w:rFonts w:ascii="Calibri" w:eastAsia="Times New Roman" w:hAnsi="Calibri" w:cs="Calibri"/>
                <w:i/>
                <w:iCs/>
                <w:color w:val="000000"/>
                <w:sz w:val="14"/>
                <w:szCs w:val="16"/>
                <w:lang w:val="en-GB"/>
              </w:rPr>
              <w:t>More developed</w:t>
            </w:r>
          </w:p>
        </w:tc>
        <w:tc>
          <w:tcPr>
            <w:tcW w:w="409" w:type="pct"/>
            <w:tcBorders>
              <w:top w:val="nil"/>
              <w:left w:val="nil"/>
              <w:bottom w:val="single" w:sz="8" w:space="0" w:color="auto"/>
              <w:right w:val="single" w:sz="8" w:space="0" w:color="auto"/>
            </w:tcBorders>
            <w:shd w:val="clear" w:color="auto" w:fill="auto"/>
            <w:vAlign w:val="center"/>
            <w:hideMark/>
          </w:tcPr>
          <w:p w14:paraId="52CAB239"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xml:space="preserve">              12,972,706</w:t>
            </w:r>
          </w:p>
        </w:tc>
        <w:tc>
          <w:tcPr>
            <w:tcW w:w="409" w:type="pct"/>
            <w:vMerge w:val="restart"/>
            <w:tcBorders>
              <w:top w:val="nil"/>
              <w:left w:val="single" w:sz="8" w:space="0" w:color="auto"/>
              <w:bottom w:val="nil"/>
              <w:right w:val="single" w:sz="8" w:space="0" w:color="auto"/>
            </w:tcBorders>
            <w:shd w:val="clear" w:color="auto" w:fill="auto"/>
            <w:vAlign w:val="center"/>
            <w:hideMark/>
          </w:tcPr>
          <w:p w14:paraId="45240973"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xml:space="preserve">              17,516,893   </w:t>
            </w:r>
          </w:p>
        </w:tc>
        <w:tc>
          <w:tcPr>
            <w:tcW w:w="409" w:type="pct"/>
            <w:vMerge w:val="restart"/>
            <w:tcBorders>
              <w:top w:val="nil"/>
              <w:left w:val="single" w:sz="8" w:space="0" w:color="auto"/>
              <w:bottom w:val="nil"/>
              <w:right w:val="single" w:sz="8" w:space="0" w:color="auto"/>
            </w:tcBorders>
            <w:shd w:val="clear" w:color="auto" w:fill="auto"/>
            <w:vAlign w:val="center"/>
            <w:hideMark/>
          </w:tcPr>
          <w:p w14:paraId="128B6B54"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xml:space="preserve">               9,950,943   </w:t>
            </w:r>
          </w:p>
        </w:tc>
        <w:tc>
          <w:tcPr>
            <w:tcW w:w="409" w:type="pct"/>
            <w:tcBorders>
              <w:top w:val="nil"/>
              <w:left w:val="nil"/>
              <w:bottom w:val="single" w:sz="8" w:space="0" w:color="auto"/>
              <w:right w:val="single" w:sz="8" w:space="0" w:color="auto"/>
            </w:tcBorders>
            <w:shd w:val="clear" w:color="auto" w:fill="auto"/>
            <w:vAlign w:val="center"/>
            <w:hideMark/>
          </w:tcPr>
          <w:p w14:paraId="09A1343C"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w:t>
            </w:r>
          </w:p>
        </w:tc>
        <w:tc>
          <w:tcPr>
            <w:tcW w:w="409" w:type="pct"/>
            <w:tcBorders>
              <w:top w:val="nil"/>
              <w:left w:val="nil"/>
              <w:bottom w:val="single" w:sz="8" w:space="0" w:color="auto"/>
              <w:right w:val="single" w:sz="8" w:space="0" w:color="auto"/>
            </w:tcBorders>
            <w:shd w:val="clear" w:color="auto" w:fill="auto"/>
            <w:vAlign w:val="center"/>
            <w:hideMark/>
          </w:tcPr>
          <w:p w14:paraId="085D968D"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w:t>
            </w:r>
          </w:p>
        </w:tc>
        <w:tc>
          <w:tcPr>
            <w:tcW w:w="409" w:type="pct"/>
            <w:vMerge w:val="restart"/>
            <w:tcBorders>
              <w:top w:val="nil"/>
              <w:left w:val="single" w:sz="8" w:space="0" w:color="auto"/>
              <w:bottom w:val="nil"/>
              <w:right w:val="single" w:sz="8" w:space="0" w:color="auto"/>
            </w:tcBorders>
            <w:shd w:val="clear" w:color="auto" w:fill="auto"/>
            <w:vAlign w:val="center"/>
            <w:hideMark/>
          </w:tcPr>
          <w:p w14:paraId="09654DE8"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w:t>
            </w:r>
          </w:p>
        </w:tc>
        <w:tc>
          <w:tcPr>
            <w:tcW w:w="277" w:type="pct"/>
            <w:tcBorders>
              <w:top w:val="nil"/>
              <w:left w:val="nil"/>
              <w:bottom w:val="single" w:sz="8" w:space="0" w:color="auto"/>
              <w:right w:val="single" w:sz="8" w:space="0" w:color="auto"/>
            </w:tcBorders>
            <w:shd w:val="clear" w:color="auto" w:fill="auto"/>
            <w:vAlign w:val="center"/>
            <w:hideMark/>
          </w:tcPr>
          <w:p w14:paraId="0E6A76FB" w14:textId="77777777" w:rsidR="00DA4369" w:rsidRPr="00A66F03" w:rsidRDefault="00976636" w:rsidP="00CF4DEE">
            <w:pPr>
              <w:spacing w:after="0" w:line="240" w:lineRule="auto"/>
              <w:jc w:val="center"/>
              <w:rPr>
                <w:rFonts w:ascii="Calibri" w:eastAsia="Times New Roman" w:hAnsi="Calibri" w:cs="Calibri"/>
                <w:i/>
                <w:iCs/>
                <w:color w:val="000000"/>
                <w:sz w:val="14"/>
                <w:szCs w:val="16"/>
                <w:lang w:val="en-GB"/>
              </w:rPr>
            </w:pPr>
            <w:r w:rsidRPr="00A66F03">
              <w:rPr>
                <w:rFonts w:ascii="Calibri" w:eastAsia="Times New Roman" w:hAnsi="Calibri" w:cs="Calibri"/>
                <w:i/>
                <w:iCs/>
                <w:color w:val="000000"/>
                <w:sz w:val="14"/>
                <w:szCs w:val="16"/>
                <w:lang w:val="en-GB"/>
              </w:rPr>
              <w:t>More developed</w:t>
            </w:r>
          </w:p>
        </w:tc>
        <w:tc>
          <w:tcPr>
            <w:tcW w:w="409" w:type="pct"/>
            <w:tcBorders>
              <w:top w:val="nil"/>
              <w:left w:val="nil"/>
              <w:bottom w:val="single" w:sz="8" w:space="0" w:color="auto"/>
              <w:right w:val="single" w:sz="8" w:space="0" w:color="auto"/>
            </w:tcBorders>
            <w:shd w:val="clear" w:color="auto" w:fill="auto"/>
            <w:vAlign w:val="center"/>
            <w:hideMark/>
          </w:tcPr>
          <w:p w14:paraId="2563296B"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xml:space="preserve">                 6,244,291   </w:t>
            </w:r>
          </w:p>
        </w:tc>
        <w:tc>
          <w:tcPr>
            <w:tcW w:w="409" w:type="pct"/>
            <w:vMerge w:val="restart"/>
            <w:tcBorders>
              <w:top w:val="nil"/>
              <w:left w:val="single" w:sz="8" w:space="0" w:color="auto"/>
              <w:bottom w:val="nil"/>
              <w:right w:val="single" w:sz="8" w:space="0" w:color="auto"/>
            </w:tcBorders>
            <w:shd w:val="clear" w:color="auto" w:fill="auto"/>
            <w:vAlign w:val="center"/>
            <w:hideMark/>
          </w:tcPr>
          <w:p w14:paraId="6838A41E"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xml:space="preserve">                 1,354,507   </w:t>
            </w:r>
          </w:p>
        </w:tc>
        <w:tc>
          <w:tcPr>
            <w:tcW w:w="409" w:type="pct"/>
            <w:vMerge w:val="restart"/>
            <w:tcBorders>
              <w:top w:val="nil"/>
              <w:left w:val="single" w:sz="8" w:space="0" w:color="auto"/>
              <w:bottom w:val="nil"/>
              <w:right w:val="single" w:sz="8" w:space="0" w:color="auto"/>
            </w:tcBorders>
            <w:shd w:val="clear" w:color="auto" w:fill="auto"/>
            <w:vAlign w:val="center"/>
            <w:hideMark/>
          </w:tcPr>
          <w:p w14:paraId="5FFD0038" w14:textId="77777777" w:rsidR="00DA4369" w:rsidRPr="00A66F03" w:rsidRDefault="00976636" w:rsidP="00CF4DEE">
            <w:pPr>
              <w:spacing w:after="0" w:line="240" w:lineRule="auto"/>
              <w:rPr>
                <w:rFonts w:ascii="Calibri" w:eastAsia="Times New Roman" w:hAnsi="Calibri" w:cs="Calibri"/>
                <w:b/>
                <w:bCs/>
                <w:color w:val="000000"/>
                <w:sz w:val="14"/>
                <w:szCs w:val="16"/>
                <w:lang w:val="en-GB"/>
              </w:rPr>
            </w:pPr>
            <w:r w:rsidRPr="00A66F03">
              <w:rPr>
                <w:rFonts w:ascii="Calibri" w:eastAsia="Times New Roman" w:hAnsi="Calibri" w:cs="Calibri"/>
                <w:b/>
                <w:bCs/>
                <w:color w:val="000000"/>
                <w:sz w:val="14"/>
                <w:szCs w:val="16"/>
                <w:lang w:val="en-GB"/>
              </w:rPr>
              <w:t xml:space="preserve">           108,871,553   </w:t>
            </w:r>
          </w:p>
        </w:tc>
      </w:tr>
      <w:tr w:rsidR="00143DBE" w:rsidRPr="00A66F03" w14:paraId="4B34ED32" w14:textId="77777777" w:rsidTr="00874C8B">
        <w:tc>
          <w:tcPr>
            <w:tcW w:w="484" w:type="pct"/>
            <w:vMerge/>
            <w:tcBorders>
              <w:top w:val="nil"/>
              <w:left w:val="single" w:sz="8" w:space="0" w:color="auto"/>
              <w:bottom w:val="single" w:sz="8" w:space="0" w:color="000000"/>
              <w:right w:val="single" w:sz="8" w:space="0" w:color="auto"/>
            </w:tcBorders>
            <w:vAlign w:val="center"/>
            <w:hideMark/>
          </w:tcPr>
          <w:p w14:paraId="3FB881D7" w14:textId="77777777" w:rsidR="00DA4369" w:rsidRPr="00A66F03" w:rsidRDefault="00DA4369" w:rsidP="00CF4DEE">
            <w:pPr>
              <w:spacing w:after="0" w:line="240" w:lineRule="auto"/>
              <w:rPr>
                <w:rFonts w:ascii="Calibri" w:eastAsia="Times New Roman" w:hAnsi="Calibri" w:cs="Calibri"/>
                <w:b/>
                <w:bCs/>
                <w:color w:val="000000"/>
                <w:sz w:val="14"/>
                <w:szCs w:val="16"/>
                <w:lang w:val="en-GB"/>
              </w:rPr>
            </w:pPr>
          </w:p>
        </w:tc>
        <w:tc>
          <w:tcPr>
            <w:tcW w:w="277" w:type="pct"/>
            <w:vMerge/>
            <w:tcBorders>
              <w:top w:val="nil"/>
              <w:left w:val="single" w:sz="8" w:space="0" w:color="auto"/>
              <w:bottom w:val="nil"/>
              <w:right w:val="single" w:sz="8" w:space="0" w:color="auto"/>
            </w:tcBorders>
            <w:vAlign w:val="center"/>
            <w:hideMark/>
          </w:tcPr>
          <w:p w14:paraId="2459F803" w14:textId="77777777" w:rsidR="00DA4369" w:rsidRPr="00A66F03" w:rsidRDefault="00DA4369" w:rsidP="00CF4DEE">
            <w:pPr>
              <w:spacing w:after="0" w:line="240" w:lineRule="auto"/>
              <w:rPr>
                <w:rFonts w:ascii="Calibri" w:eastAsia="Times New Roman" w:hAnsi="Calibri" w:cs="Calibri"/>
                <w:color w:val="000000"/>
                <w:sz w:val="14"/>
                <w:szCs w:val="16"/>
                <w:lang w:val="en-GB"/>
              </w:rPr>
            </w:pPr>
          </w:p>
        </w:tc>
        <w:tc>
          <w:tcPr>
            <w:tcW w:w="277" w:type="pct"/>
            <w:tcBorders>
              <w:top w:val="nil"/>
              <w:left w:val="nil"/>
              <w:bottom w:val="single" w:sz="8" w:space="0" w:color="auto"/>
              <w:right w:val="single" w:sz="8" w:space="0" w:color="auto"/>
            </w:tcBorders>
            <w:shd w:val="clear" w:color="auto" w:fill="auto"/>
            <w:vAlign w:val="center"/>
            <w:hideMark/>
          </w:tcPr>
          <w:p w14:paraId="2A8C5BF0" w14:textId="77777777" w:rsidR="00DA4369" w:rsidRPr="00A66F03" w:rsidRDefault="00976636" w:rsidP="00CF4DEE">
            <w:pPr>
              <w:spacing w:after="0" w:line="240" w:lineRule="auto"/>
              <w:jc w:val="center"/>
              <w:rPr>
                <w:rFonts w:ascii="Calibri" w:eastAsia="Times New Roman" w:hAnsi="Calibri" w:cs="Calibri"/>
                <w:i/>
                <w:iCs/>
                <w:color w:val="000000"/>
                <w:sz w:val="14"/>
                <w:szCs w:val="16"/>
                <w:lang w:val="en-GB"/>
              </w:rPr>
            </w:pPr>
            <w:r w:rsidRPr="00A66F03">
              <w:rPr>
                <w:rFonts w:ascii="Calibri" w:eastAsia="Times New Roman" w:hAnsi="Calibri" w:cs="Calibri"/>
                <w:i/>
                <w:iCs/>
                <w:color w:val="000000"/>
                <w:sz w:val="14"/>
                <w:szCs w:val="16"/>
                <w:lang w:val="en-GB"/>
              </w:rPr>
              <w:t>Less developed</w:t>
            </w:r>
          </w:p>
        </w:tc>
        <w:tc>
          <w:tcPr>
            <w:tcW w:w="409" w:type="pct"/>
            <w:tcBorders>
              <w:top w:val="nil"/>
              <w:left w:val="nil"/>
              <w:bottom w:val="single" w:sz="8" w:space="0" w:color="auto"/>
              <w:right w:val="single" w:sz="8" w:space="0" w:color="auto"/>
            </w:tcBorders>
            <w:shd w:val="clear" w:color="auto" w:fill="auto"/>
            <w:vAlign w:val="center"/>
            <w:hideMark/>
          </w:tcPr>
          <w:p w14:paraId="65AFDFA6"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xml:space="preserve">              41,126,313   </w:t>
            </w:r>
          </w:p>
        </w:tc>
        <w:tc>
          <w:tcPr>
            <w:tcW w:w="409" w:type="pct"/>
            <w:vMerge/>
            <w:tcBorders>
              <w:top w:val="nil"/>
              <w:left w:val="single" w:sz="8" w:space="0" w:color="auto"/>
              <w:bottom w:val="nil"/>
              <w:right w:val="single" w:sz="8" w:space="0" w:color="auto"/>
            </w:tcBorders>
            <w:vAlign w:val="center"/>
            <w:hideMark/>
          </w:tcPr>
          <w:p w14:paraId="2723DEDD" w14:textId="77777777" w:rsidR="00DA4369" w:rsidRPr="00A66F03" w:rsidRDefault="00DA4369" w:rsidP="00CF4DEE">
            <w:pPr>
              <w:spacing w:after="0" w:line="240" w:lineRule="auto"/>
              <w:rPr>
                <w:rFonts w:ascii="Calibri" w:eastAsia="Times New Roman" w:hAnsi="Calibri" w:cs="Calibri"/>
                <w:color w:val="000000"/>
                <w:sz w:val="14"/>
                <w:szCs w:val="16"/>
                <w:lang w:val="en-GB"/>
              </w:rPr>
            </w:pPr>
          </w:p>
        </w:tc>
        <w:tc>
          <w:tcPr>
            <w:tcW w:w="409" w:type="pct"/>
            <w:vMerge/>
            <w:tcBorders>
              <w:top w:val="nil"/>
              <w:left w:val="single" w:sz="8" w:space="0" w:color="auto"/>
              <w:bottom w:val="nil"/>
              <w:right w:val="single" w:sz="8" w:space="0" w:color="auto"/>
            </w:tcBorders>
            <w:vAlign w:val="center"/>
            <w:hideMark/>
          </w:tcPr>
          <w:p w14:paraId="26298BEB" w14:textId="77777777" w:rsidR="00DA4369" w:rsidRPr="00A66F03" w:rsidRDefault="00DA4369" w:rsidP="00CF4DEE">
            <w:pPr>
              <w:spacing w:after="0" w:line="240" w:lineRule="auto"/>
              <w:rPr>
                <w:rFonts w:ascii="Calibri" w:eastAsia="Times New Roman" w:hAnsi="Calibri" w:cs="Calibri"/>
                <w:color w:val="000000"/>
                <w:sz w:val="14"/>
                <w:szCs w:val="16"/>
                <w:lang w:val="en-GB"/>
              </w:rPr>
            </w:pPr>
          </w:p>
        </w:tc>
        <w:tc>
          <w:tcPr>
            <w:tcW w:w="409" w:type="pct"/>
            <w:tcBorders>
              <w:top w:val="nil"/>
              <w:left w:val="nil"/>
              <w:bottom w:val="single" w:sz="8" w:space="0" w:color="auto"/>
              <w:right w:val="single" w:sz="8" w:space="0" w:color="auto"/>
            </w:tcBorders>
            <w:shd w:val="clear" w:color="auto" w:fill="auto"/>
            <w:vAlign w:val="center"/>
            <w:hideMark/>
          </w:tcPr>
          <w:p w14:paraId="22E982BA"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xml:space="preserve">                 4,357,256</w:t>
            </w:r>
          </w:p>
        </w:tc>
        <w:tc>
          <w:tcPr>
            <w:tcW w:w="409" w:type="pct"/>
            <w:tcBorders>
              <w:top w:val="nil"/>
              <w:left w:val="nil"/>
              <w:bottom w:val="single" w:sz="8" w:space="0" w:color="auto"/>
              <w:right w:val="single" w:sz="8" w:space="0" w:color="auto"/>
            </w:tcBorders>
            <w:shd w:val="clear" w:color="auto" w:fill="auto"/>
            <w:vAlign w:val="center"/>
            <w:hideMark/>
          </w:tcPr>
          <w:p w14:paraId="7348D091"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xml:space="preserve">                 5,593,687</w:t>
            </w:r>
          </w:p>
        </w:tc>
        <w:tc>
          <w:tcPr>
            <w:tcW w:w="409" w:type="pct"/>
            <w:vMerge/>
            <w:tcBorders>
              <w:top w:val="nil"/>
              <w:left w:val="single" w:sz="8" w:space="0" w:color="auto"/>
              <w:bottom w:val="nil"/>
              <w:right w:val="single" w:sz="8" w:space="0" w:color="auto"/>
            </w:tcBorders>
            <w:vAlign w:val="center"/>
            <w:hideMark/>
          </w:tcPr>
          <w:p w14:paraId="4B7630F4" w14:textId="77777777" w:rsidR="00DA4369" w:rsidRPr="00A66F03" w:rsidRDefault="00DA4369" w:rsidP="00CF4DEE">
            <w:pPr>
              <w:spacing w:after="0" w:line="240" w:lineRule="auto"/>
              <w:rPr>
                <w:rFonts w:ascii="Calibri" w:eastAsia="Times New Roman" w:hAnsi="Calibri" w:cs="Calibri"/>
                <w:color w:val="000000"/>
                <w:sz w:val="14"/>
                <w:szCs w:val="16"/>
                <w:lang w:val="en-GB"/>
              </w:rPr>
            </w:pPr>
          </w:p>
        </w:tc>
        <w:tc>
          <w:tcPr>
            <w:tcW w:w="277" w:type="pct"/>
            <w:tcBorders>
              <w:top w:val="nil"/>
              <w:left w:val="nil"/>
              <w:bottom w:val="single" w:sz="8" w:space="0" w:color="auto"/>
              <w:right w:val="single" w:sz="8" w:space="0" w:color="auto"/>
            </w:tcBorders>
            <w:shd w:val="clear" w:color="auto" w:fill="auto"/>
            <w:vAlign w:val="center"/>
            <w:hideMark/>
          </w:tcPr>
          <w:p w14:paraId="1040D83C" w14:textId="77777777" w:rsidR="00DA4369" w:rsidRPr="00A66F03" w:rsidRDefault="00976636" w:rsidP="00CF4DEE">
            <w:pPr>
              <w:spacing w:after="0" w:line="240" w:lineRule="auto"/>
              <w:jc w:val="center"/>
              <w:rPr>
                <w:rFonts w:ascii="Calibri" w:eastAsia="Times New Roman" w:hAnsi="Calibri" w:cs="Calibri"/>
                <w:i/>
                <w:iCs/>
                <w:color w:val="000000"/>
                <w:sz w:val="14"/>
                <w:szCs w:val="16"/>
                <w:lang w:val="en-GB"/>
              </w:rPr>
            </w:pPr>
            <w:r w:rsidRPr="00A66F03">
              <w:rPr>
                <w:rFonts w:ascii="Calibri" w:eastAsia="Times New Roman" w:hAnsi="Calibri" w:cs="Calibri"/>
                <w:i/>
                <w:iCs/>
                <w:color w:val="000000"/>
                <w:sz w:val="14"/>
                <w:szCs w:val="16"/>
                <w:lang w:val="en-GB"/>
              </w:rPr>
              <w:t>Less developed</w:t>
            </w:r>
          </w:p>
        </w:tc>
        <w:tc>
          <w:tcPr>
            <w:tcW w:w="409" w:type="pct"/>
            <w:tcBorders>
              <w:top w:val="nil"/>
              <w:left w:val="nil"/>
              <w:bottom w:val="single" w:sz="8" w:space="0" w:color="auto"/>
              <w:right w:val="single" w:sz="8" w:space="0" w:color="auto"/>
            </w:tcBorders>
            <w:shd w:val="clear" w:color="auto" w:fill="auto"/>
            <w:vAlign w:val="center"/>
            <w:hideMark/>
          </w:tcPr>
          <w:p w14:paraId="22B4363D"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xml:space="preserve">               19,615,900   </w:t>
            </w:r>
          </w:p>
        </w:tc>
        <w:tc>
          <w:tcPr>
            <w:tcW w:w="409" w:type="pct"/>
            <w:vMerge/>
            <w:tcBorders>
              <w:top w:val="nil"/>
              <w:left w:val="single" w:sz="8" w:space="0" w:color="auto"/>
              <w:bottom w:val="nil"/>
              <w:right w:val="single" w:sz="8" w:space="0" w:color="auto"/>
            </w:tcBorders>
            <w:vAlign w:val="center"/>
            <w:hideMark/>
          </w:tcPr>
          <w:p w14:paraId="76917DBA" w14:textId="77777777" w:rsidR="00DA4369" w:rsidRPr="00A66F03" w:rsidRDefault="00DA4369" w:rsidP="00CF4DEE">
            <w:pPr>
              <w:spacing w:after="0" w:line="240" w:lineRule="auto"/>
              <w:rPr>
                <w:rFonts w:ascii="Calibri" w:eastAsia="Times New Roman" w:hAnsi="Calibri" w:cs="Calibri"/>
                <w:color w:val="000000"/>
                <w:sz w:val="14"/>
                <w:szCs w:val="16"/>
                <w:lang w:val="en-GB"/>
              </w:rPr>
            </w:pPr>
          </w:p>
        </w:tc>
        <w:tc>
          <w:tcPr>
            <w:tcW w:w="409" w:type="pct"/>
            <w:vMerge/>
            <w:tcBorders>
              <w:top w:val="nil"/>
              <w:left w:val="single" w:sz="8" w:space="0" w:color="auto"/>
              <w:bottom w:val="nil"/>
              <w:right w:val="single" w:sz="8" w:space="0" w:color="auto"/>
            </w:tcBorders>
            <w:vAlign w:val="center"/>
            <w:hideMark/>
          </w:tcPr>
          <w:p w14:paraId="469131EB" w14:textId="77777777" w:rsidR="00DA4369" w:rsidRPr="00A66F03" w:rsidRDefault="00DA4369" w:rsidP="00CF4DEE">
            <w:pPr>
              <w:spacing w:after="0" w:line="240" w:lineRule="auto"/>
              <w:rPr>
                <w:rFonts w:ascii="Calibri" w:eastAsia="Times New Roman" w:hAnsi="Calibri" w:cs="Calibri"/>
                <w:b/>
                <w:bCs/>
                <w:color w:val="000000"/>
                <w:sz w:val="14"/>
                <w:szCs w:val="16"/>
                <w:lang w:val="en-GB"/>
              </w:rPr>
            </w:pPr>
          </w:p>
        </w:tc>
      </w:tr>
      <w:tr w:rsidR="00143DBE" w:rsidRPr="00A66F03" w14:paraId="5F014F22" w14:textId="77777777" w:rsidTr="00874C8B">
        <w:tc>
          <w:tcPr>
            <w:tcW w:w="484" w:type="pct"/>
            <w:vMerge w:val="restart"/>
            <w:tcBorders>
              <w:top w:val="nil"/>
              <w:left w:val="single" w:sz="8" w:space="0" w:color="auto"/>
              <w:bottom w:val="single" w:sz="8" w:space="0" w:color="000000"/>
              <w:right w:val="single" w:sz="8" w:space="0" w:color="auto"/>
            </w:tcBorders>
            <w:shd w:val="clear" w:color="auto" w:fill="auto"/>
            <w:vAlign w:val="center"/>
            <w:hideMark/>
          </w:tcPr>
          <w:p w14:paraId="487C756C" w14:textId="77777777" w:rsidR="00DA4369" w:rsidRPr="00A66F03" w:rsidRDefault="00976636" w:rsidP="00CF4DEE">
            <w:pPr>
              <w:spacing w:after="0" w:line="240" w:lineRule="auto"/>
              <w:jc w:val="center"/>
              <w:rPr>
                <w:rFonts w:ascii="Calibri" w:eastAsia="Times New Roman" w:hAnsi="Calibri" w:cs="Calibri"/>
                <w:b/>
                <w:bCs/>
                <w:color w:val="000000"/>
                <w:sz w:val="14"/>
                <w:szCs w:val="16"/>
                <w:lang w:val="en-GB"/>
              </w:rPr>
            </w:pPr>
            <w:r w:rsidRPr="00A66F03">
              <w:rPr>
                <w:rFonts w:ascii="Calibri" w:eastAsia="Times New Roman" w:hAnsi="Calibri" w:cs="Calibri"/>
                <w:b/>
                <w:bCs/>
                <w:color w:val="000000"/>
                <w:sz w:val="14"/>
                <w:szCs w:val="16"/>
                <w:lang w:val="en-GB"/>
              </w:rPr>
              <w:t xml:space="preserve">Total </w:t>
            </w:r>
          </w:p>
        </w:tc>
        <w:tc>
          <w:tcPr>
            <w:tcW w:w="27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9B19D67"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w:t>
            </w:r>
          </w:p>
        </w:tc>
        <w:tc>
          <w:tcPr>
            <w:tcW w:w="277" w:type="pct"/>
            <w:tcBorders>
              <w:top w:val="nil"/>
              <w:left w:val="nil"/>
              <w:bottom w:val="single" w:sz="8" w:space="0" w:color="auto"/>
              <w:right w:val="single" w:sz="8" w:space="0" w:color="auto"/>
            </w:tcBorders>
            <w:shd w:val="clear" w:color="auto" w:fill="auto"/>
            <w:vAlign w:val="center"/>
            <w:hideMark/>
          </w:tcPr>
          <w:p w14:paraId="5DF06B35" w14:textId="77777777" w:rsidR="00DA4369" w:rsidRPr="00A66F03" w:rsidRDefault="00976636" w:rsidP="00CF4DEE">
            <w:pPr>
              <w:spacing w:after="0" w:line="240" w:lineRule="auto"/>
              <w:jc w:val="center"/>
              <w:rPr>
                <w:rFonts w:ascii="Calibri" w:eastAsia="Times New Roman" w:hAnsi="Calibri" w:cs="Calibri"/>
                <w:i/>
                <w:iCs/>
                <w:color w:val="000000"/>
                <w:sz w:val="14"/>
                <w:szCs w:val="16"/>
                <w:lang w:val="en-GB"/>
              </w:rPr>
            </w:pPr>
            <w:r w:rsidRPr="00A66F03">
              <w:rPr>
                <w:rFonts w:ascii="Calibri" w:eastAsia="Times New Roman" w:hAnsi="Calibri" w:cs="Calibri"/>
                <w:i/>
                <w:iCs/>
                <w:color w:val="000000"/>
                <w:sz w:val="14"/>
                <w:szCs w:val="16"/>
                <w:lang w:val="en-GB"/>
              </w:rPr>
              <w:t>More developed</w:t>
            </w:r>
          </w:p>
        </w:tc>
        <w:tc>
          <w:tcPr>
            <w:tcW w:w="409" w:type="pct"/>
            <w:tcBorders>
              <w:top w:val="nil"/>
              <w:left w:val="nil"/>
              <w:bottom w:val="single" w:sz="8" w:space="0" w:color="auto"/>
              <w:right w:val="single" w:sz="8" w:space="0" w:color="auto"/>
            </w:tcBorders>
            <w:shd w:val="clear" w:color="auto" w:fill="auto"/>
            <w:vAlign w:val="center"/>
            <w:hideMark/>
          </w:tcPr>
          <w:p w14:paraId="6B4DB495"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xml:space="preserve">           383,621,472   </w:t>
            </w:r>
          </w:p>
        </w:tc>
        <w:tc>
          <w:tcPr>
            <w:tcW w:w="40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F159A4A"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xml:space="preserve">           718,192,613   </w:t>
            </w:r>
          </w:p>
        </w:tc>
        <w:tc>
          <w:tcPr>
            <w:tcW w:w="40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ACCBA90"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xml:space="preserve">           258,724,543   </w:t>
            </w:r>
          </w:p>
        </w:tc>
        <w:tc>
          <w:tcPr>
            <w:tcW w:w="409" w:type="pct"/>
            <w:tcBorders>
              <w:top w:val="nil"/>
              <w:left w:val="nil"/>
              <w:bottom w:val="single" w:sz="8" w:space="0" w:color="auto"/>
              <w:right w:val="single" w:sz="8" w:space="0" w:color="auto"/>
            </w:tcBorders>
            <w:shd w:val="clear" w:color="auto" w:fill="auto"/>
            <w:vAlign w:val="center"/>
            <w:hideMark/>
          </w:tcPr>
          <w:p w14:paraId="3B1DEA33"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w:t>
            </w:r>
          </w:p>
        </w:tc>
        <w:tc>
          <w:tcPr>
            <w:tcW w:w="409" w:type="pct"/>
            <w:tcBorders>
              <w:top w:val="nil"/>
              <w:left w:val="nil"/>
              <w:bottom w:val="single" w:sz="8" w:space="0" w:color="auto"/>
              <w:right w:val="single" w:sz="8" w:space="0" w:color="auto"/>
            </w:tcBorders>
            <w:shd w:val="clear" w:color="auto" w:fill="auto"/>
            <w:vAlign w:val="center"/>
            <w:hideMark/>
          </w:tcPr>
          <w:p w14:paraId="05AE6FBC"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w:t>
            </w:r>
          </w:p>
        </w:tc>
        <w:tc>
          <w:tcPr>
            <w:tcW w:w="40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0014489"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w:t>
            </w:r>
          </w:p>
        </w:tc>
        <w:tc>
          <w:tcPr>
            <w:tcW w:w="277" w:type="pct"/>
            <w:tcBorders>
              <w:top w:val="nil"/>
              <w:left w:val="nil"/>
              <w:bottom w:val="single" w:sz="8" w:space="0" w:color="auto"/>
              <w:right w:val="single" w:sz="8" w:space="0" w:color="auto"/>
            </w:tcBorders>
            <w:shd w:val="clear" w:color="auto" w:fill="auto"/>
            <w:vAlign w:val="center"/>
            <w:hideMark/>
          </w:tcPr>
          <w:p w14:paraId="1BAEE8F4" w14:textId="77777777" w:rsidR="00DA4369" w:rsidRPr="00A66F03" w:rsidRDefault="00976636" w:rsidP="00CF4DEE">
            <w:pPr>
              <w:spacing w:after="0" w:line="240" w:lineRule="auto"/>
              <w:jc w:val="center"/>
              <w:rPr>
                <w:rFonts w:ascii="Calibri" w:eastAsia="Times New Roman" w:hAnsi="Calibri" w:cs="Calibri"/>
                <w:i/>
                <w:iCs/>
                <w:color w:val="000000"/>
                <w:sz w:val="14"/>
                <w:szCs w:val="16"/>
                <w:lang w:val="en-GB"/>
              </w:rPr>
            </w:pPr>
            <w:r w:rsidRPr="00A66F03">
              <w:rPr>
                <w:rFonts w:ascii="Calibri" w:eastAsia="Times New Roman" w:hAnsi="Calibri" w:cs="Calibri"/>
                <w:i/>
                <w:iCs/>
                <w:color w:val="000000"/>
                <w:sz w:val="14"/>
                <w:szCs w:val="16"/>
                <w:lang w:val="en-GB"/>
              </w:rPr>
              <w:t>More developed</w:t>
            </w:r>
          </w:p>
        </w:tc>
        <w:tc>
          <w:tcPr>
            <w:tcW w:w="409" w:type="pct"/>
            <w:tcBorders>
              <w:top w:val="nil"/>
              <w:left w:val="nil"/>
              <w:bottom w:val="single" w:sz="8" w:space="0" w:color="auto"/>
              <w:right w:val="single" w:sz="8" w:space="0" w:color="auto"/>
            </w:tcBorders>
            <w:shd w:val="clear" w:color="auto" w:fill="auto"/>
            <w:vAlign w:val="center"/>
            <w:hideMark/>
          </w:tcPr>
          <w:p w14:paraId="202BA06D"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xml:space="preserve">           159,551,574   </w:t>
            </w:r>
          </w:p>
        </w:tc>
        <w:tc>
          <w:tcPr>
            <w:tcW w:w="40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4B62986"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xml:space="preserve">              23,929,641   </w:t>
            </w:r>
          </w:p>
        </w:tc>
        <w:tc>
          <w:tcPr>
            <w:tcW w:w="40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B63CECD" w14:textId="77777777" w:rsidR="00DA4369" w:rsidRPr="00A66F03" w:rsidRDefault="00976636" w:rsidP="00CF4DEE">
            <w:pPr>
              <w:spacing w:after="0" w:line="240" w:lineRule="auto"/>
              <w:rPr>
                <w:rFonts w:ascii="Calibri" w:eastAsia="Times New Roman" w:hAnsi="Calibri" w:cs="Calibri"/>
                <w:b/>
                <w:bCs/>
                <w:color w:val="000000"/>
                <w:sz w:val="14"/>
                <w:szCs w:val="16"/>
                <w:lang w:val="en-GB"/>
              </w:rPr>
            </w:pPr>
            <w:r w:rsidRPr="00A66F03">
              <w:rPr>
                <w:rFonts w:ascii="Calibri" w:eastAsia="Times New Roman" w:hAnsi="Calibri" w:cs="Calibri"/>
                <w:b/>
                <w:bCs/>
                <w:color w:val="000000"/>
                <w:sz w:val="14"/>
                <w:szCs w:val="16"/>
                <w:lang w:val="en-GB"/>
              </w:rPr>
              <w:t xml:space="preserve">       3,265,997,094   </w:t>
            </w:r>
          </w:p>
        </w:tc>
      </w:tr>
      <w:tr w:rsidR="00143DBE" w:rsidRPr="00A66F03" w14:paraId="62EB4CAC" w14:textId="77777777" w:rsidTr="00874C8B">
        <w:tc>
          <w:tcPr>
            <w:tcW w:w="484" w:type="pct"/>
            <w:vMerge/>
            <w:tcBorders>
              <w:top w:val="nil"/>
              <w:left w:val="single" w:sz="8" w:space="0" w:color="auto"/>
              <w:bottom w:val="single" w:sz="8" w:space="0" w:color="000000"/>
              <w:right w:val="single" w:sz="8" w:space="0" w:color="auto"/>
            </w:tcBorders>
            <w:vAlign w:val="center"/>
            <w:hideMark/>
          </w:tcPr>
          <w:p w14:paraId="5045C230" w14:textId="77777777" w:rsidR="00DA4369" w:rsidRPr="00A66F03" w:rsidRDefault="00DA4369" w:rsidP="00CF4DEE">
            <w:pPr>
              <w:spacing w:after="0" w:line="240" w:lineRule="auto"/>
              <w:rPr>
                <w:rFonts w:ascii="Calibri" w:eastAsia="Times New Roman" w:hAnsi="Calibri" w:cs="Calibri"/>
                <w:b/>
                <w:bCs/>
                <w:color w:val="000000"/>
                <w:sz w:val="14"/>
                <w:szCs w:val="16"/>
                <w:lang w:val="en-GB"/>
              </w:rPr>
            </w:pPr>
          </w:p>
        </w:tc>
        <w:tc>
          <w:tcPr>
            <w:tcW w:w="277" w:type="pct"/>
            <w:vMerge/>
            <w:tcBorders>
              <w:top w:val="single" w:sz="8" w:space="0" w:color="auto"/>
              <w:left w:val="single" w:sz="8" w:space="0" w:color="auto"/>
              <w:bottom w:val="single" w:sz="8" w:space="0" w:color="000000"/>
              <w:right w:val="single" w:sz="8" w:space="0" w:color="auto"/>
            </w:tcBorders>
            <w:vAlign w:val="center"/>
            <w:hideMark/>
          </w:tcPr>
          <w:p w14:paraId="1F37886D" w14:textId="77777777" w:rsidR="00DA4369" w:rsidRPr="00A66F03" w:rsidRDefault="00DA4369" w:rsidP="00CF4DEE">
            <w:pPr>
              <w:spacing w:after="0" w:line="240" w:lineRule="auto"/>
              <w:rPr>
                <w:rFonts w:ascii="Calibri" w:eastAsia="Times New Roman" w:hAnsi="Calibri" w:cs="Calibri"/>
                <w:color w:val="000000"/>
                <w:sz w:val="14"/>
                <w:szCs w:val="16"/>
                <w:lang w:val="en-GB"/>
              </w:rPr>
            </w:pPr>
          </w:p>
        </w:tc>
        <w:tc>
          <w:tcPr>
            <w:tcW w:w="277" w:type="pct"/>
            <w:tcBorders>
              <w:top w:val="nil"/>
              <w:left w:val="nil"/>
              <w:bottom w:val="single" w:sz="8" w:space="0" w:color="auto"/>
              <w:right w:val="single" w:sz="8" w:space="0" w:color="auto"/>
            </w:tcBorders>
            <w:shd w:val="clear" w:color="auto" w:fill="auto"/>
            <w:vAlign w:val="center"/>
            <w:hideMark/>
          </w:tcPr>
          <w:p w14:paraId="30798109" w14:textId="77777777" w:rsidR="00DA4369" w:rsidRPr="00A66F03" w:rsidRDefault="00976636" w:rsidP="00CF4DEE">
            <w:pPr>
              <w:spacing w:after="0" w:line="240" w:lineRule="auto"/>
              <w:jc w:val="center"/>
              <w:rPr>
                <w:rFonts w:ascii="Calibri" w:eastAsia="Times New Roman" w:hAnsi="Calibri" w:cs="Calibri"/>
                <w:i/>
                <w:iCs/>
                <w:color w:val="000000"/>
                <w:sz w:val="14"/>
                <w:szCs w:val="16"/>
                <w:lang w:val="en-GB"/>
              </w:rPr>
            </w:pPr>
            <w:r w:rsidRPr="00A66F03">
              <w:rPr>
                <w:rFonts w:ascii="Calibri" w:eastAsia="Times New Roman" w:hAnsi="Calibri" w:cs="Calibri"/>
                <w:i/>
                <w:iCs/>
                <w:color w:val="000000"/>
                <w:sz w:val="14"/>
                <w:szCs w:val="16"/>
                <w:lang w:val="en-GB"/>
              </w:rPr>
              <w:t>Less developed</w:t>
            </w:r>
          </w:p>
        </w:tc>
        <w:tc>
          <w:tcPr>
            <w:tcW w:w="409" w:type="pct"/>
            <w:tcBorders>
              <w:top w:val="nil"/>
              <w:left w:val="nil"/>
              <w:bottom w:val="single" w:sz="8" w:space="0" w:color="auto"/>
              <w:right w:val="single" w:sz="8" w:space="0" w:color="auto"/>
            </w:tcBorders>
            <w:shd w:val="clear" w:color="auto" w:fill="auto"/>
            <w:vAlign w:val="center"/>
            <w:hideMark/>
          </w:tcPr>
          <w:p w14:paraId="4057FC07"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xml:space="preserve">       1,216,163,830   </w:t>
            </w:r>
          </w:p>
        </w:tc>
        <w:tc>
          <w:tcPr>
            <w:tcW w:w="409" w:type="pct"/>
            <w:vMerge/>
            <w:tcBorders>
              <w:top w:val="single" w:sz="8" w:space="0" w:color="auto"/>
              <w:left w:val="single" w:sz="8" w:space="0" w:color="auto"/>
              <w:bottom w:val="single" w:sz="8" w:space="0" w:color="000000"/>
              <w:right w:val="single" w:sz="8" w:space="0" w:color="auto"/>
            </w:tcBorders>
            <w:vAlign w:val="center"/>
            <w:hideMark/>
          </w:tcPr>
          <w:p w14:paraId="0A6C7682" w14:textId="77777777" w:rsidR="00DA4369" w:rsidRPr="00A66F03" w:rsidRDefault="00DA4369" w:rsidP="00CF4DEE">
            <w:pPr>
              <w:spacing w:after="0" w:line="240" w:lineRule="auto"/>
              <w:rPr>
                <w:rFonts w:ascii="Calibri" w:eastAsia="Times New Roman" w:hAnsi="Calibri" w:cs="Calibri"/>
                <w:color w:val="000000"/>
                <w:sz w:val="14"/>
                <w:szCs w:val="16"/>
                <w:lang w:val="en-GB"/>
              </w:rPr>
            </w:pPr>
          </w:p>
        </w:tc>
        <w:tc>
          <w:tcPr>
            <w:tcW w:w="409" w:type="pct"/>
            <w:vMerge/>
            <w:tcBorders>
              <w:top w:val="single" w:sz="8" w:space="0" w:color="auto"/>
              <w:left w:val="single" w:sz="8" w:space="0" w:color="auto"/>
              <w:bottom w:val="single" w:sz="8" w:space="0" w:color="000000"/>
              <w:right w:val="single" w:sz="8" w:space="0" w:color="auto"/>
            </w:tcBorders>
            <w:vAlign w:val="center"/>
            <w:hideMark/>
          </w:tcPr>
          <w:p w14:paraId="7E0B0428" w14:textId="77777777" w:rsidR="00DA4369" w:rsidRPr="00A66F03" w:rsidRDefault="00DA4369" w:rsidP="00CF4DEE">
            <w:pPr>
              <w:spacing w:after="0" w:line="240" w:lineRule="auto"/>
              <w:rPr>
                <w:rFonts w:ascii="Calibri" w:eastAsia="Times New Roman" w:hAnsi="Calibri" w:cs="Calibri"/>
                <w:color w:val="000000"/>
                <w:sz w:val="14"/>
                <w:szCs w:val="16"/>
                <w:lang w:val="en-GB"/>
              </w:rPr>
            </w:pPr>
          </w:p>
        </w:tc>
        <w:tc>
          <w:tcPr>
            <w:tcW w:w="409" w:type="pct"/>
            <w:tcBorders>
              <w:top w:val="nil"/>
              <w:left w:val="nil"/>
              <w:bottom w:val="single" w:sz="8" w:space="0" w:color="auto"/>
              <w:right w:val="single" w:sz="8" w:space="0" w:color="auto"/>
            </w:tcBorders>
            <w:shd w:val="clear" w:color="auto" w:fill="auto"/>
            <w:vAlign w:val="center"/>
            <w:hideMark/>
          </w:tcPr>
          <w:p w14:paraId="07AB75CF"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w:t>
            </w:r>
          </w:p>
        </w:tc>
        <w:tc>
          <w:tcPr>
            <w:tcW w:w="409" w:type="pct"/>
            <w:tcBorders>
              <w:top w:val="nil"/>
              <w:left w:val="nil"/>
              <w:bottom w:val="single" w:sz="8" w:space="0" w:color="auto"/>
              <w:right w:val="single" w:sz="8" w:space="0" w:color="auto"/>
            </w:tcBorders>
            <w:shd w:val="clear" w:color="auto" w:fill="auto"/>
            <w:vAlign w:val="center"/>
            <w:hideMark/>
          </w:tcPr>
          <w:p w14:paraId="57D342AA"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w:t>
            </w:r>
          </w:p>
        </w:tc>
        <w:tc>
          <w:tcPr>
            <w:tcW w:w="409" w:type="pct"/>
            <w:vMerge/>
            <w:tcBorders>
              <w:top w:val="single" w:sz="8" w:space="0" w:color="auto"/>
              <w:left w:val="single" w:sz="8" w:space="0" w:color="auto"/>
              <w:bottom w:val="single" w:sz="8" w:space="0" w:color="000000"/>
              <w:right w:val="single" w:sz="8" w:space="0" w:color="auto"/>
            </w:tcBorders>
            <w:vAlign w:val="center"/>
            <w:hideMark/>
          </w:tcPr>
          <w:p w14:paraId="5EB16400" w14:textId="77777777" w:rsidR="00DA4369" w:rsidRPr="00A66F03" w:rsidRDefault="00DA4369" w:rsidP="00CF4DEE">
            <w:pPr>
              <w:spacing w:after="0" w:line="240" w:lineRule="auto"/>
              <w:rPr>
                <w:rFonts w:ascii="Calibri" w:eastAsia="Times New Roman" w:hAnsi="Calibri" w:cs="Calibri"/>
                <w:color w:val="000000"/>
                <w:sz w:val="14"/>
                <w:szCs w:val="16"/>
                <w:lang w:val="en-GB"/>
              </w:rPr>
            </w:pPr>
          </w:p>
        </w:tc>
        <w:tc>
          <w:tcPr>
            <w:tcW w:w="277" w:type="pct"/>
            <w:tcBorders>
              <w:top w:val="nil"/>
              <w:left w:val="nil"/>
              <w:bottom w:val="single" w:sz="8" w:space="0" w:color="auto"/>
              <w:right w:val="single" w:sz="8" w:space="0" w:color="auto"/>
            </w:tcBorders>
            <w:shd w:val="clear" w:color="auto" w:fill="auto"/>
            <w:vAlign w:val="center"/>
            <w:hideMark/>
          </w:tcPr>
          <w:p w14:paraId="56563196" w14:textId="77777777" w:rsidR="00DA4369" w:rsidRPr="00A66F03" w:rsidRDefault="00976636" w:rsidP="00CF4DEE">
            <w:pPr>
              <w:spacing w:after="0" w:line="240" w:lineRule="auto"/>
              <w:jc w:val="center"/>
              <w:rPr>
                <w:rFonts w:ascii="Calibri" w:eastAsia="Times New Roman" w:hAnsi="Calibri" w:cs="Calibri"/>
                <w:i/>
                <w:iCs/>
                <w:color w:val="000000"/>
                <w:sz w:val="14"/>
                <w:szCs w:val="16"/>
                <w:lang w:val="en-GB"/>
              </w:rPr>
            </w:pPr>
            <w:r w:rsidRPr="00A66F03">
              <w:rPr>
                <w:rFonts w:ascii="Calibri" w:eastAsia="Times New Roman" w:hAnsi="Calibri" w:cs="Calibri"/>
                <w:i/>
                <w:iCs/>
                <w:color w:val="000000"/>
                <w:sz w:val="14"/>
                <w:szCs w:val="16"/>
                <w:lang w:val="en-GB"/>
              </w:rPr>
              <w:t>Less developed</w:t>
            </w:r>
          </w:p>
        </w:tc>
        <w:tc>
          <w:tcPr>
            <w:tcW w:w="409" w:type="pct"/>
            <w:tcBorders>
              <w:top w:val="nil"/>
              <w:left w:val="nil"/>
              <w:bottom w:val="single" w:sz="8" w:space="0" w:color="auto"/>
              <w:right w:val="single" w:sz="8" w:space="0" w:color="auto"/>
            </w:tcBorders>
            <w:shd w:val="clear" w:color="auto" w:fill="auto"/>
            <w:vAlign w:val="center"/>
            <w:hideMark/>
          </w:tcPr>
          <w:p w14:paraId="43B91C50" w14:textId="77777777" w:rsidR="00DA4369" w:rsidRPr="00A66F03" w:rsidRDefault="00976636" w:rsidP="00CF4DEE">
            <w:pPr>
              <w:spacing w:after="0" w:line="240" w:lineRule="auto"/>
              <w:rPr>
                <w:rFonts w:ascii="Calibri" w:eastAsia="Times New Roman" w:hAnsi="Calibri" w:cs="Calibri"/>
                <w:color w:val="000000"/>
                <w:sz w:val="14"/>
                <w:szCs w:val="16"/>
                <w:lang w:val="en-GB"/>
              </w:rPr>
            </w:pPr>
            <w:r w:rsidRPr="00A66F03">
              <w:rPr>
                <w:rFonts w:ascii="Calibri" w:eastAsia="Times New Roman" w:hAnsi="Calibri" w:cs="Calibri"/>
                <w:color w:val="000000"/>
                <w:sz w:val="14"/>
                <w:szCs w:val="16"/>
                <w:lang w:val="en-GB"/>
              </w:rPr>
              <w:t xml:space="preserve">           505,813,421   </w:t>
            </w:r>
          </w:p>
        </w:tc>
        <w:tc>
          <w:tcPr>
            <w:tcW w:w="409" w:type="pct"/>
            <w:vMerge/>
            <w:tcBorders>
              <w:top w:val="single" w:sz="8" w:space="0" w:color="auto"/>
              <w:left w:val="single" w:sz="8" w:space="0" w:color="auto"/>
              <w:bottom w:val="single" w:sz="8" w:space="0" w:color="000000"/>
              <w:right w:val="single" w:sz="8" w:space="0" w:color="auto"/>
            </w:tcBorders>
            <w:vAlign w:val="center"/>
            <w:hideMark/>
          </w:tcPr>
          <w:p w14:paraId="2F7FF438" w14:textId="77777777" w:rsidR="00DA4369" w:rsidRPr="00A66F03" w:rsidRDefault="00DA4369" w:rsidP="00CF4DEE">
            <w:pPr>
              <w:spacing w:after="0" w:line="240" w:lineRule="auto"/>
              <w:rPr>
                <w:rFonts w:ascii="Calibri" w:eastAsia="Times New Roman" w:hAnsi="Calibri" w:cs="Calibri"/>
                <w:color w:val="000000"/>
                <w:sz w:val="14"/>
                <w:szCs w:val="16"/>
                <w:lang w:val="en-GB"/>
              </w:rPr>
            </w:pPr>
          </w:p>
        </w:tc>
        <w:tc>
          <w:tcPr>
            <w:tcW w:w="409" w:type="pct"/>
            <w:vMerge/>
            <w:tcBorders>
              <w:top w:val="single" w:sz="8" w:space="0" w:color="auto"/>
              <w:left w:val="single" w:sz="8" w:space="0" w:color="auto"/>
              <w:bottom w:val="single" w:sz="8" w:space="0" w:color="000000"/>
              <w:right w:val="single" w:sz="8" w:space="0" w:color="auto"/>
            </w:tcBorders>
            <w:vAlign w:val="center"/>
            <w:hideMark/>
          </w:tcPr>
          <w:p w14:paraId="5AC8C2F0" w14:textId="77777777" w:rsidR="00DA4369" w:rsidRPr="00A66F03" w:rsidRDefault="00DA4369" w:rsidP="00CF4DEE">
            <w:pPr>
              <w:spacing w:after="0" w:line="240" w:lineRule="auto"/>
              <w:rPr>
                <w:rFonts w:ascii="Calibri" w:eastAsia="Times New Roman" w:hAnsi="Calibri" w:cs="Calibri"/>
                <w:b/>
                <w:bCs/>
                <w:color w:val="000000"/>
                <w:sz w:val="14"/>
                <w:szCs w:val="16"/>
                <w:lang w:val="en-GB"/>
              </w:rPr>
            </w:pPr>
          </w:p>
        </w:tc>
      </w:tr>
      <w:tr w:rsidR="00143DBE" w:rsidRPr="00A66F03" w14:paraId="573815DC" w14:textId="77777777" w:rsidTr="00874C8B">
        <w:tc>
          <w:tcPr>
            <w:tcW w:w="484" w:type="pct"/>
            <w:tcBorders>
              <w:top w:val="nil"/>
              <w:left w:val="single" w:sz="8" w:space="0" w:color="auto"/>
              <w:bottom w:val="single" w:sz="8" w:space="0" w:color="auto"/>
              <w:right w:val="single" w:sz="8" w:space="0" w:color="auto"/>
            </w:tcBorders>
            <w:shd w:val="clear" w:color="auto" w:fill="auto"/>
            <w:vAlign w:val="center"/>
            <w:hideMark/>
          </w:tcPr>
          <w:p w14:paraId="77E95A5E" w14:textId="77777777" w:rsidR="00DA4369" w:rsidRPr="00A66F03" w:rsidRDefault="00976636" w:rsidP="00CF4DEE">
            <w:pPr>
              <w:spacing w:after="0" w:line="240" w:lineRule="auto"/>
              <w:rPr>
                <w:rFonts w:ascii="Calibri" w:eastAsia="Times New Roman" w:hAnsi="Calibri" w:cs="Calibri"/>
                <w:b/>
                <w:bCs/>
                <w:color w:val="000000"/>
                <w:sz w:val="14"/>
                <w:szCs w:val="16"/>
                <w:lang w:val="en-GB"/>
              </w:rPr>
            </w:pPr>
            <w:r w:rsidRPr="00A66F03">
              <w:rPr>
                <w:rFonts w:ascii="Calibri" w:eastAsia="Times New Roman" w:hAnsi="Calibri" w:cs="Calibri"/>
                <w:b/>
                <w:bCs/>
                <w:color w:val="000000"/>
                <w:sz w:val="14"/>
                <w:szCs w:val="16"/>
                <w:lang w:val="en-GB"/>
              </w:rPr>
              <w:t>Total</w:t>
            </w:r>
          </w:p>
        </w:tc>
        <w:tc>
          <w:tcPr>
            <w:tcW w:w="277" w:type="pct"/>
            <w:tcBorders>
              <w:top w:val="nil"/>
              <w:left w:val="nil"/>
              <w:bottom w:val="single" w:sz="8" w:space="0" w:color="auto"/>
              <w:right w:val="single" w:sz="8" w:space="0" w:color="auto"/>
            </w:tcBorders>
            <w:shd w:val="clear" w:color="auto" w:fill="auto"/>
            <w:vAlign w:val="center"/>
            <w:hideMark/>
          </w:tcPr>
          <w:p w14:paraId="4E3CB9F7" w14:textId="77777777" w:rsidR="00DA4369" w:rsidRPr="00A66F03" w:rsidRDefault="00976636" w:rsidP="00CF4DEE">
            <w:pPr>
              <w:spacing w:after="0" w:line="240" w:lineRule="auto"/>
              <w:rPr>
                <w:rFonts w:ascii="Calibri" w:eastAsia="Times New Roman" w:hAnsi="Calibri" w:cs="Calibri"/>
                <w:b/>
                <w:bCs/>
                <w:color w:val="000000"/>
                <w:sz w:val="14"/>
                <w:szCs w:val="16"/>
                <w:lang w:val="en-GB"/>
              </w:rPr>
            </w:pPr>
            <w:r w:rsidRPr="00A66F03">
              <w:rPr>
                <w:rFonts w:ascii="Calibri" w:eastAsia="Times New Roman" w:hAnsi="Calibri" w:cs="Calibri"/>
                <w:b/>
                <w:bCs/>
                <w:color w:val="000000"/>
                <w:sz w:val="14"/>
                <w:szCs w:val="16"/>
                <w:lang w:val="en-GB"/>
              </w:rPr>
              <w:t> </w:t>
            </w:r>
          </w:p>
        </w:tc>
        <w:tc>
          <w:tcPr>
            <w:tcW w:w="277" w:type="pct"/>
            <w:tcBorders>
              <w:top w:val="nil"/>
              <w:left w:val="nil"/>
              <w:bottom w:val="single" w:sz="8" w:space="0" w:color="auto"/>
              <w:right w:val="single" w:sz="8" w:space="0" w:color="auto"/>
            </w:tcBorders>
            <w:shd w:val="clear" w:color="auto" w:fill="auto"/>
            <w:vAlign w:val="center"/>
            <w:hideMark/>
          </w:tcPr>
          <w:p w14:paraId="0AB70F47" w14:textId="77777777" w:rsidR="00DA4369" w:rsidRPr="00A66F03" w:rsidRDefault="00976636" w:rsidP="00CF4DEE">
            <w:pPr>
              <w:spacing w:after="0" w:line="240" w:lineRule="auto"/>
              <w:rPr>
                <w:rFonts w:ascii="Calibri" w:eastAsia="Times New Roman" w:hAnsi="Calibri" w:cs="Calibri"/>
                <w:b/>
                <w:bCs/>
                <w:color w:val="000000"/>
                <w:sz w:val="14"/>
                <w:szCs w:val="16"/>
                <w:lang w:val="en-GB"/>
              </w:rPr>
            </w:pPr>
            <w:r w:rsidRPr="00A66F03">
              <w:rPr>
                <w:rFonts w:ascii="Calibri" w:eastAsia="Times New Roman" w:hAnsi="Calibri" w:cs="Calibri"/>
                <w:b/>
                <w:bCs/>
                <w:color w:val="000000"/>
                <w:sz w:val="14"/>
                <w:szCs w:val="16"/>
                <w:lang w:val="en-GB"/>
              </w:rPr>
              <w:t> </w:t>
            </w:r>
          </w:p>
        </w:tc>
        <w:tc>
          <w:tcPr>
            <w:tcW w:w="409" w:type="pct"/>
            <w:tcBorders>
              <w:top w:val="nil"/>
              <w:left w:val="nil"/>
              <w:bottom w:val="single" w:sz="8" w:space="0" w:color="auto"/>
              <w:right w:val="single" w:sz="8" w:space="0" w:color="auto"/>
            </w:tcBorders>
            <w:shd w:val="clear" w:color="auto" w:fill="auto"/>
            <w:vAlign w:val="center"/>
            <w:hideMark/>
          </w:tcPr>
          <w:p w14:paraId="2BD1C267" w14:textId="77777777" w:rsidR="00DA4369" w:rsidRPr="00A66F03" w:rsidRDefault="00976636" w:rsidP="00CF4DEE">
            <w:pPr>
              <w:spacing w:after="0" w:line="240" w:lineRule="auto"/>
              <w:rPr>
                <w:rFonts w:ascii="Calibri" w:eastAsia="Times New Roman" w:hAnsi="Calibri" w:cs="Calibri"/>
                <w:b/>
                <w:bCs/>
                <w:color w:val="000000"/>
                <w:sz w:val="14"/>
                <w:szCs w:val="16"/>
                <w:lang w:val="en-GB"/>
              </w:rPr>
            </w:pPr>
            <w:r w:rsidRPr="00A66F03">
              <w:rPr>
                <w:rFonts w:ascii="Calibri" w:eastAsia="Times New Roman" w:hAnsi="Calibri" w:cs="Calibri"/>
                <w:b/>
                <w:bCs/>
                <w:color w:val="000000"/>
                <w:sz w:val="14"/>
                <w:szCs w:val="16"/>
                <w:lang w:val="en-GB"/>
              </w:rPr>
              <w:t xml:space="preserve">       1,599,785,302   </w:t>
            </w:r>
          </w:p>
        </w:tc>
        <w:tc>
          <w:tcPr>
            <w:tcW w:w="409" w:type="pct"/>
            <w:tcBorders>
              <w:top w:val="nil"/>
              <w:left w:val="nil"/>
              <w:bottom w:val="single" w:sz="8" w:space="0" w:color="auto"/>
              <w:right w:val="single" w:sz="8" w:space="0" w:color="auto"/>
            </w:tcBorders>
            <w:shd w:val="clear" w:color="auto" w:fill="auto"/>
            <w:vAlign w:val="center"/>
            <w:hideMark/>
          </w:tcPr>
          <w:p w14:paraId="291BB852" w14:textId="77777777" w:rsidR="00DA4369" w:rsidRPr="00A66F03" w:rsidRDefault="00976636" w:rsidP="00CF4DEE">
            <w:pPr>
              <w:spacing w:after="0" w:line="240" w:lineRule="auto"/>
              <w:rPr>
                <w:rFonts w:ascii="Calibri" w:eastAsia="Times New Roman" w:hAnsi="Calibri" w:cs="Calibri"/>
                <w:b/>
                <w:bCs/>
                <w:color w:val="000000"/>
                <w:sz w:val="14"/>
                <w:szCs w:val="16"/>
                <w:lang w:val="en-GB"/>
              </w:rPr>
            </w:pPr>
            <w:r w:rsidRPr="00A66F03">
              <w:rPr>
                <w:rFonts w:ascii="Calibri" w:eastAsia="Times New Roman" w:hAnsi="Calibri" w:cs="Calibri"/>
                <w:b/>
                <w:bCs/>
                <w:color w:val="000000"/>
                <w:sz w:val="14"/>
                <w:szCs w:val="16"/>
                <w:lang w:val="en-GB"/>
              </w:rPr>
              <w:t xml:space="preserve">           718,192,613   </w:t>
            </w:r>
          </w:p>
        </w:tc>
        <w:tc>
          <w:tcPr>
            <w:tcW w:w="409" w:type="pct"/>
            <w:tcBorders>
              <w:top w:val="nil"/>
              <w:left w:val="nil"/>
              <w:bottom w:val="single" w:sz="8" w:space="0" w:color="auto"/>
              <w:right w:val="single" w:sz="8" w:space="0" w:color="auto"/>
            </w:tcBorders>
            <w:shd w:val="clear" w:color="auto" w:fill="auto"/>
            <w:vAlign w:val="center"/>
            <w:hideMark/>
          </w:tcPr>
          <w:p w14:paraId="277ADF88" w14:textId="77777777" w:rsidR="00DA4369" w:rsidRPr="00A66F03" w:rsidRDefault="00976636" w:rsidP="00CF4DEE">
            <w:pPr>
              <w:spacing w:after="0" w:line="240" w:lineRule="auto"/>
              <w:rPr>
                <w:rFonts w:ascii="Calibri" w:eastAsia="Times New Roman" w:hAnsi="Calibri" w:cs="Calibri"/>
                <w:b/>
                <w:bCs/>
                <w:color w:val="000000"/>
                <w:sz w:val="14"/>
                <w:szCs w:val="16"/>
                <w:lang w:val="en-GB"/>
              </w:rPr>
            </w:pPr>
            <w:r w:rsidRPr="00A66F03">
              <w:rPr>
                <w:rFonts w:ascii="Calibri" w:eastAsia="Times New Roman" w:hAnsi="Calibri" w:cs="Calibri"/>
                <w:b/>
                <w:bCs/>
                <w:color w:val="000000"/>
                <w:sz w:val="14"/>
                <w:szCs w:val="16"/>
                <w:lang w:val="en-GB"/>
              </w:rPr>
              <w:t xml:space="preserve">           258,724,543   </w:t>
            </w:r>
          </w:p>
        </w:tc>
        <w:tc>
          <w:tcPr>
            <w:tcW w:w="409" w:type="pct"/>
            <w:tcBorders>
              <w:top w:val="nil"/>
              <w:left w:val="nil"/>
              <w:bottom w:val="single" w:sz="8" w:space="0" w:color="auto"/>
              <w:right w:val="single" w:sz="8" w:space="0" w:color="auto"/>
            </w:tcBorders>
            <w:shd w:val="clear" w:color="auto" w:fill="auto"/>
            <w:vAlign w:val="center"/>
            <w:hideMark/>
          </w:tcPr>
          <w:p w14:paraId="2FDE31A9" w14:textId="77777777" w:rsidR="00DA4369" w:rsidRPr="00A66F03" w:rsidRDefault="00976636" w:rsidP="00CF4DEE">
            <w:pPr>
              <w:spacing w:after="0" w:line="240" w:lineRule="auto"/>
              <w:rPr>
                <w:rFonts w:ascii="Calibri" w:eastAsia="Times New Roman" w:hAnsi="Calibri" w:cs="Calibri"/>
                <w:b/>
                <w:bCs/>
                <w:color w:val="000000"/>
                <w:sz w:val="14"/>
                <w:szCs w:val="16"/>
                <w:lang w:val="en-GB"/>
              </w:rPr>
            </w:pPr>
            <w:r w:rsidRPr="00A66F03">
              <w:rPr>
                <w:rFonts w:ascii="Calibri" w:eastAsia="Times New Roman" w:hAnsi="Calibri" w:cs="Calibri"/>
                <w:b/>
                <w:bCs/>
                <w:color w:val="000000"/>
                <w:sz w:val="14"/>
                <w:szCs w:val="16"/>
                <w:lang w:val="en-GB"/>
              </w:rPr>
              <w:t> </w:t>
            </w:r>
          </w:p>
        </w:tc>
        <w:tc>
          <w:tcPr>
            <w:tcW w:w="409" w:type="pct"/>
            <w:tcBorders>
              <w:top w:val="nil"/>
              <w:left w:val="nil"/>
              <w:bottom w:val="single" w:sz="8" w:space="0" w:color="auto"/>
              <w:right w:val="single" w:sz="8" w:space="0" w:color="auto"/>
            </w:tcBorders>
            <w:shd w:val="clear" w:color="auto" w:fill="auto"/>
            <w:vAlign w:val="center"/>
            <w:hideMark/>
          </w:tcPr>
          <w:p w14:paraId="7A23DE48" w14:textId="77777777" w:rsidR="00DA4369" w:rsidRPr="00A66F03" w:rsidRDefault="00976636" w:rsidP="00CF4DEE">
            <w:pPr>
              <w:spacing w:after="0" w:line="240" w:lineRule="auto"/>
              <w:rPr>
                <w:rFonts w:ascii="Calibri" w:eastAsia="Times New Roman" w:hAnsi="Calibri" w:cs="Calibri"/>
                <w:b/>
                <w:bCs/>
                <w:color w:val="000000"/>
                <w:sz w:val="14"/>
                <w:szCs w:val="16"/>
                <w:lang w:val="en-GB"/>
              </w:rPr>
            </w:pPr>
            <w:r w:rsidRPr="00A66F03">
              <w:rPr>
                <w:rFonts w:ascii="Calibri" w:eastAsia="Times New Roman" w:hAnsi="Calibri" w:cs="Calibri"/>
                <w:b/>
                <w:bCs/>
                <w:color w:val="000000"/>
                <w:sz w:val="14"/>
                <w:szCs w:val="16"/>
                <w:lang w:val="en-GB"/>
              </w:rPr>
              <w:t> </w:t>
            </w:r>
          </w:p>
        </w:tc>
        <w:tc>
          <w:tcPr>
            <w:tcW w:w="409" w:type="pct"/>
            <w:tcBorders>
              <w:top w:val="nil"/>
              <w:left w:val="nil"/>
              <w:bottom w:val="single" w:sz="8" w:space="0" w:color="auto"/>
              <w:right w:val="single" w:sz="8" w:space="0" w:color="auto"/>
            </w:tcBorders>
            <w:shd w:val="clear" w:color="auto" w:fill="auto"/>
            <w:vAlign w:val="center"/>
            <w:hideMark/>
          </w:tcPr>
          <w:p w14:paraId="4D1371B5" w14:textId="77777777" w:rsidR="00DA4369" w:rsidRPr="00A66F03" w:rsidRDefault="00976636" w:rsidP="00CF4DEE">
            <w:pPr>
              <w:spacing w:after="0" w:line="240" w:lineRule="auto"/>
              <w:rPr>
                <w:rFonts w:ascii="Calibri" w:eastAsia="Times New Roman" w:hAnsi="Calibri" w:cs="Calibri"/>
                <w:b/>
                <w:bCs/>
                <w:color w:val="000000"/>
                <w:sz w:val="14"/>
                <w:szCs w:val="16"/>
                <w:lang w:val="en-GB"/>
              </w:rPr>
            </w:pPr>
            <w:r w:rsidRPr="00A66F03">
              <w:rPr>
                <w:rFonts w:ascii="Calibri" w:eastAsia="Times New Roman" w:hAnsi="Calibri" w:cs="Calibri"/>
                <w:b/>
                <w:bCs/>
                <w:color w:val="000000"/>
                <w:sz w:val="14"/>
                <w:szCs w:val="16"/>
                <w:lang w:val="en-GB"/>
              </w:rPr>
              <w:t> </w:t>
            </w:r>
          </w:p>
        </w:tc>
        <w:tc>
          <w:tcPr>
            <w:tcW w:w="277" w:type="pct"/>
            <w:tcBorders>
              <w:top w:val="nil"/>
              <w:left w:val="nil"/>
              <w:bottom w:val="single" w:sz="8" w:space="0" w:color="auto"/>
              <w:right w:val="single" w:sz="8" w:space="0" w:color="auto"/>
            </w:tcBorders>
            <w:shd w:val="clear" w:color="auto" w:fill="auto"/>
            <w:vAlign w:val="center"/>
            <w:hideMark/>
          </w:tcPr>
          <w:p w14:paraId="7DFE08D6" w14:textId="77777777" w:rsidR="00DA4369" w:rsidRPr="00A66F03" w:rsidRDefault="00976636" w:rsidP="00CF4DEE">
            <w:pPr>
              <w:spacing w:after="0" w:line="240" w:lineRule="auto"/>
              <w:jc w:val="center"/>
              <w:rPr>
                <w:rFonts w:ascii="Calibri" w:eastAsia="Times New Roman" w:hAnsi="Calibri" w:cs="Calibri"/>
                <w:b/>
                <w:bCs/>
                <w:i/>
                <w:iCs/>
                <w:color w:val="000000"/>
                <w:sz w:val="14"/>
                <w:szCs w:val="16"/>
                <w:lang w:val="en-GB"/>
              </w:rPr>
            </w:pPr>
            <w:r w:rsidRPr="00A66F03">
              <w:rPr>
                <w:rFonts w:ascii="Calibri" w:eastAsia="Times New Roman" w:hAnsi="Calibri" w:cs="Calibri"/>
                <w:b/>
                <w:bCs/>
                <w:i/>
                <w:iCs/>
                <w:color w:val="000000"/>
                <w:sz w:val="14"/>
                <w:szCs w:val="16"/>
                <w:lang w:val="en-GB"/>
              </w:rPr>
              <w:t> </w:t>
            </w:r>
          </w:p>
        </w:tc>
        <w:tc>
          <w:tcPr>
            <w:tcW w:w="409" w:type="pct"/>
            <w:tcBorders>
              <w:top w:val="nil"/>
              <w:left w:val="nil"/>
              <w:bottom w:val="single" w:sz="8" w:space="0" w:color="auto"/>
              <w:right w:val="single" w:sz="8" w:space="0" w:color="auto"/>
            </w:tcBorders>
            <w:shd w:val="clear" w:color="auto" w:fill="auto"/>
            <w:vAlign w:val="center"/>
            <w:hideMark/>
          </w:tcPr>
          <w:p w14:paraId="15A60304" w14:textId="77777777" w:rsidR="00DA4369" w:rsidRPr="00A66F03" w:rsidRDefault="00976636" w:rsidP="00CF4DEE">
            <w:pPr>
              <w:spacing w:after="0" w:line="240" w:lineRule="auto"/>
              <w:rPr>
                <w:rFonts w:ascii="Calibri" w:eastAsia="Times New Roman" w:hAnsi="Calibri" w:cs="Calibri"/>
                <w:b/>
                <w:bCs/>
                <w:color w:val="000000"/>
                <w:sz w:val="14"/>
                <w:szCs w:val="16"/>
                <w:lang w:val="en-GB"/>
              </w:rPr>
            </w:pPr>
            <w:r w:rsidRPr="00A66F03">
              <w:rPr>
                <w:rFonts w:ascii="Calibri" w:eastAsia="Times New Roman" w:hAnsi="Calibri" w:cs="Calibri"/>
                <w:b/>
                <w:bCs/>
                <w:color w:val="000000"/>
                <w:sz w:val="14"/>
                <w:szCs w:val="16"/>
                <w:lang w:val="en-GB"/>
              </w:rPr>
              <w:t xml:space="preserve">           665,364,995  </w:t>
            </w:r>
          </w:p>
        </w:tc>
        <w:tc>
          <w:tcPr>
            <w:tcW w:w="409" w:type="pct"/>
            <w:tcBorders>
              <w:top w:val="nil"/>
              <w:left w:val="nil"/>
              <w:bottom w:val="single" w:sz="8" w:space="0" w:color="auto"/>
              <w:right w:val="single" w:sz="8" w:space="0" w:color="auto"/>
            </w:tcBorders>
            <w:shd w:val="clear" w:color="auto" w:fill="auto"/>
            <w:vAlign w:val="center"/>
            <w:hideMark/>
          </w:tcPr>
          <w:p w14:paraId="1CCE5AF1" w14:textId="77777777" w:rsidR="00DA4369" w:rsidRPr="00A66F03" w:rsidRDefault="00976636" w:rsidP="00CF4DEE">
            <w:pPr>
              <w:spacing w:after="0" w:line="240" w:lineRule="auto"/>
              <w:rPr>
                <w:rFonts w:ascii="Calibri" w:eastAsia="Times New Roman" w:hAnsi="Calibri" w:cs="Calibri"/>
                <w:b/>
                <w:bCs/>
                <w:color w:val="000000"/>
                <w:sz w:val="14"/>
                <w:szCs w:val="16"/>
                <w:lang w:val="en-GB"/>
              </w:rPr>
            </w:pPr>
            <w:r w:rsidRPr="00A66F03">
              <w:rPr>
                <w:rFonts w:ascii="Calibri" w:eastAsia="Times New Roman" w:hAnsi="Calibri" w:cs="Calibri"/>
                <w:b/>
                <w:bCs/>
                <w:color w:val="000000"/>
                <w:sz w:val="14"/>
                <w:szCs w:val="16"/>
                <w:lang w:val="en-GB"/>
              </w:rPr>
              <w:t xml:space="preserve">              23,929,641   </w:t>
            </w:r>
          </w:p>
        </w:tc>
        <w:tc>
          <w:tcPr>
            <w:tcW w:w="409" w:type="pct"/>
            <w:tcBorders>
              <w:top w:val="nil"/>
              <w:left w:val="nil"/>
              <w:bottom w:val="single" w:sz="8" w:space="0" w:color="auto"/>
              <w:right w:val="single" w:sz="8" w:space="0" w:color="auto"/>
            </w:tcBorders>
            <w:shd w:val="clear" w:color="auto" w:fill="auto"/>
            <w:vAlign w:val="center"/>
            <w:hideMark/>
          </w:tcPr>
          <w:p w14:paraId="338382A7" w14:textId="77777777" w:rsidR="00DA4369" w:rsidRPr="00A66F03" w:rsidRDefault="00976636" w:rsidP="00CF4DEE">
            <w:pPr>
              <w:spacing w:after="0" w:line="240" w:lineRule="auto"/>
              <w:rPr>
                <w:rFonts w:ascii="Calibri" w:eastAsia="Times New Roman" w:hAnsi="Calibri" w:cs="Calibri"/>
                <w:b/>
                <w:bCs/>
                <w:color w:val="000000"/>
                <w:sz w:val="14"/>
                <w:szCs w:val="16"/>
                <w:lang w:val="en-GB"/>
              </w:rPr>
            </w:pPr>
            <w:r w:rsidRPr="00A66F03">
              <w:rPr>
                <w:rFonts w:ascii="Calibri" w:eastAsia="Times New Roman" w:hAnsi="Calibri" w:cs="Calibri"/>
                <w:b/>
                <w:bCs/>
                <w:color w:val="000000"/>
                <w:sz w:val="14"/>
                <w:szCs w:val="16"/>
                <w:lang w:val="en-GB"/>
              </w:rPr>
              <w:t xml:space="preserve">       3,265,997,094   </w:t>
            </w:r>
          </w:p>
        </w:tc>
      </w:tr>
    </w:tbl>
    <w:p w14:paraId="5863B1B9" w14:textId="77777777" w:rsidR="00D40B1F" w:rsidRPr="00A66F03" w:rsidRDefault="00D40B1F" w:rsidP="00B72629">
      <w:pPr>
        <w:shd w:val="clear" w:color="auto" w:fill="FFFFFF"/>
        <w:spacing w:after="0" w:line="276" w:lineRule="auto"/>
        <w:rPr>
          <w:rFonts w:ascii="Times New Roman" w:eastAsia="Times New Roman" w:hAnsi="Times New Roman" w:cs="Times New Roman"/>
          <w:color w:val="444444"/>
          <w:sz w:val="24"/>
          <w:szCs w:val="24"/>
          <w:lang w:val="en-GB"/>
        </w:rPr>
      </w:pPr>
    </w:p>
    <w:p w14:paraId="03A5E392" w14:textId="77777777" w:rsidR="00D40B1F" w:rsidRPr="00A66F03" w:rsidRDefault="00D40B1F" w:rsidP="00B72629">
      <w:pPr>
        <w:shd w:val="clear" w:color="auto" w:fill="FFFFFF"/>
        <w:spacing w:after="0" w:line="276" w:lineRule="auto"/>
        <w:rPr>
          <w:rFonts w:ascii="Times New Roman" w:eastAsia="Times New Roman" w:hAnsi="Times New Roman" w:cs="Times New Roman"/>
          <w:color w:val="444444"/>
          <w:sz w:val="24"/>
          <w:szCs w:val="24"/>
          <w:lang w:val="en-GB"/>
        </w:rPr>
        <w:sectPr w:rsidR="00D40B1F" w:rsidRPr="00A66F03" w:rsidSect="00D40B1F">
          <w:headerReference w:type="default" r:id="rId10"/>
          <w:pgSz w:w="16838" w:h="11906" w:orient="landscape"/>
          <w:pgMar w:top="1417" w:right="1417" w:bottom="1417" w:left="1417" w:header="708" w:footer="708" w:gutter="0"/>
          <w:cols w:space="708"/>
          <w:docGrid w:linePitch="360"/>
        </w:sectPr>
      </w:pPr>
    </w:p>
    <w:p w14:paraId="0E1817F5" w14:textId="77777777" w:rsidR="00E26663" w:rsidRPr="00A66F03" w:rsidRDefault="00976636" w:rsidP="00B72629">
      <w:pPr>
        <w:spacing w:after="0" w:line="276" w:lineRule="auto"/>
        <w:rPr>
          <w:rFonts w:ascii="Times New Roman" w:eastAsia="Times New Roman" w:hAnsi="Times New Roman" w:cs="Times New Roman"/>
          <w:color w:val="3366CC"/>
          <w:sz w:val="24"/>
          <w:szCs w:val="24"/>
          <w:lang w:val="en-GB"/>
        </w:rPr>
      </w:pPr>
      <w:r w:rsidRPr="00A66F03">
        <w:rPr>
          <w:rFonts w:ascii="Times New Roman" w:eastAsia="Times New Roman" w:hAnsi="Times New Roman" w:cs="Times New Roman"/>
          <w:b/>
          <w:bCs/>
          <w:i/>
          <w:iCs/>
          <w:sz w:val="24"/>
          <w:szCs w:val="24"/>
          <w:lang w:val="en-GB"/>
        </w:rPr>
        <w:lastRenderedPageBreak/>
        <w:t>Justification</w:t>
      </w:r>
    </w:p>
    <w:p w14:paraId="4D5BC328" w14:textId="77777777" w:rsidR="005A428A" w:rsidRPr="00A66F03" w:rsidRDefault="005A428A" w:rsidP="00B72629">
      <w:pPr>
        <w:shd w:val="clear" w:color="auto" w:fill="FFFFFF"/>
        <w:spacing w:after="0" w:line="276" w:lineRule="auto"/>
        <w:rPr>
          <w:rFonts w:ascii="Times New Roman" w:eastAsia="Times New Roman" w:hAnsi="Times New Roman" w:cs="Times New Roman"/>
          <w:b/>
          <w:i/>
          <w:sz w:val="24"/>
          <w:szCs w:val="24"/>
          <w:lang w:val="en-GB"/>
        </w:rPr>
      </w:pPr>
    </w:p>
    <w:p w14:paraId="545AB55D" w14:textId="77777777" w:rsidR="009B7FFA" w:rsidRPr="00A66F03" w:rsidRDefault="00976636" w:rsidP="00B72629">
      <w:pPr>
        <w:autoSpaceDE w:val="0"/>
        <w:autoSpaceDN w:val="0"/>
        <w:adjustRightInd w:val="0"/>
        <w:spacing w:after="0" w:line="276" w:lineRule="auto"/>
        <w:jc w:val="both"/>
        <w:rPr>
          <w:rFonts w:ascii="Times New Roman" w:hAnsi="Times New Roman" w:cs="Times New Roman"/>
          <w:color w:val="000000"/>
          <w:lang w:val="en-GB"/>
        </w:rPr>
      </w:pPr>
      <w:r w:rsidRPr="00A66F03">
        <w:rPr>
          <w:rFonts w:ascii="Times New Roman" w:hAnsi="Times New Roman" w:cs="Times New Roman"/>
          <w:color w:val="000000"/>
          <w:lang w:val="en-GB"/>
        </w:rPr>
        <w:t xml:space="preserve">In line with Article 3(2a) of </w:t>
      </w:r>
      <w:r w:rsidRPr="00A66F03">
        <w:rPr>
          <w:rFonts w:ascii="Times New Roman" w:hAnsi="Times New Roman" w:cs="Times New Roman"/>
          <w:color w:val="000000"/>
          <w:lang w:val="en-GB"/>
        </w:rPr>
        <w:t>Regulation 372/2018, the definition of the preliminary financial allocation by policy objective and specific objective is defined by taking into account the thematic concentration of the ERDF at the level of categories of regions (Western Slovenia Cohesion</w:t>
      </w:r>
      <w:r w:rsidRPr="00A66F03">
        <w:rPr>
          <w:rFonts w:ascii="Times New Roman" w:hAnsi="Times New Roman" w:cs="Times New Roman"/>
          <w:color w:val="000000"/>
          <w:lang w:val="en-GB"/>
        </w:rPr>
        <w:t xml:space="preserve"> Region as a more developed region under Article 3(4a) of Regulation 372/2018 and Eastern Slovenia Cohesion Region as a less developed region under Article 3(4c) of Regulation 372/2018).</w:t>
      </w:r>
    </w:p>
    <w:p w14:paraId="36EC96D7" w14:textId="77777777" w:rsidR="003D19B8" w:rsidRPr="00A66F03" w:rsidRDefault="00976636" w:rsidP="00B72629">
      <w:pPr>
        <w:autoSpaceDE w:val="0"/>
        <w:autoSpaceDN w:val="0"/>
        <w:adjustRightInd w:val="0"/>
        <w:spacing w:after="0" w:line="276" w:lineRule="auto"/>
        <w:jc w:val="both"/>
        <w:rPr>
          <w:rFonts w:ascii="Times New Roman" w:hAnsi="Times New Roman" w:cs="Times New Roman"/>
          <w:color w:val="000000"/>
          <w:lang w:val="en-GB"/>
        </w:rPr>
      </w:pPr>
      <w:r w:rsidRPr="00A66F03">
        <w:rPr>
          <w:rFonts w:ascii="Times New Roman" w:hAnsi="Times New Roman" w:cs="Times New Roman"/>
          <w:color w:val="000000"/>
          <w:lang w:val="en-GB"/>
        </w:rPr>
        <w:t xml:space="preserve"> </w:t>
      </w:r>
    </w:p>
    <w:p w14:paraId="2D6378B8" w14:textId="77777777" w:rsidR="003D19B8" w:rsidRPr="00A66F03" w:rsidRDefault="00976636" w:rsidP="00B72629">
      <w:pPr>
        <w:autoSpaceDE w:val="0"/>
        <w:autoSpaceDN w:val="0"/>
        <w:adjustRightInd w:val="0"/>
        <w:spacing w:after="0" w:line="276" w:lineRule="auto"/>
        <w:jc w:val="both"/>
        <w:rPr>
          <w:rFonts w:ascii="Times New Roman" w:hAnsi="Times New Roman" w:cs="Times New Roman"/>
          <w:color w:val="000000"/>
          <w:lang w:val="en-GB"/>
        </w:rPr>
      </w:pPr>
      <w:r w:rsidRPr="00A66F03">
        <w:rPr>
          <w:rFonts w:ascii="Times New Roman" w:hAnsi="Times New Roman" w:cs="Times New Roman"/>
          <w:color w:val="000000"/>
          <w:lang w:val="en-GB"/>
        </w:rPr>
        <w:t xml:space="preserve">For the first time, Slovenia faces a situation where, at the level </w:t>
      </w:r>
      <w:r w:rsidRPr="00A66F03">
        <w:rPr>
          <w:rFonts w:ascii="Times New Roman" w:hAnsi="Times New Roman" w:cs="Times New Roman"/>
          <w:color w:val="000000"/>
          <w:lang w:val="en-GB"/>
        </w:rPr>
        <w:t>of cohesion regions, it has two diametrically opposite levels of development: the Western Cohesion Region as a more developed region and the Eastern Cohesion Region as a less developed region. This calls for a balance to be struck between urgently needed (</w:t>
      </w:r>
      <w:r w:rsidRPr="00A66F03">
        <w:rPr>
          <w:rFonts w:ascii="Times New Roman" w:hAnsi="Times New Roman" w:cs="Times New Roman"/>
          <w:color w:val="000000"/>
          <w:lang w:val="en-GB"/>
        </w:rPr>
        <w:t xml:space="preserve">national) investment in increasing excellence and productivity growth through investment in RDI, SMEs, skills and digitalisation on the one hand, and the specificities of the two cohesion regions, which are at very different stages of development (despite </w:t>
      </w:r>
      <w:r w:rsidRPr="00A66F03">
        <w:rPr>
          <w:rFonts w:ascii="Times New Roman" w:hAnsi="Times New Roman" w:cs="Times New Roman"/>
          <w:color w:val="000000"/>
          <w:lang w:val="en-GB"/>
        </w:rPr>
        <w:t>the relative nature of the disparities, as there are more specific differences at NUTS 3 level that are not only simply due to Eastern or Western Cohesion Regions status, given the not insignificant fact that the surrounding area of the capital city is ent</w:t>
      </w:r>
      <w:r w:rsidRPr="00A66F03">
        <w:rPr>
          <w:rFonts w:ascii="Times New Roman" w:hAnsi="Times New Roman" w:cs="Times New Roman"/>
          <w:color w:val="000000"/>
          <w:lang w:val="en-GB"/>
        </w:rPr>
        <w:t>irely part of the Western Slovenia Cohesion Region, which in part also distorts the picture). Slovenia has therefore decided to use the regional criterion for the financially most extensive fund (ERDF) when considering thematic concentration, which indicat</w:t>
      </w:r>
      <w:r w:rsidRPr="00A66F03">
        <w:rPr>
          <w:rFonts w:ascii="Times New Roman" w:hAnsi="Times New Roman" w:cs="Times New Roman"/>
          <w:color w:val="000000"/>
          <w:lang w:val="en-GB"/>
        </w:rPr>
        <w:t>es most intensively the difference between the two cohesion regions. At the same time, Slovenia proposes to transfer part (8.5%) of ESF+ resources to the ERDF due to objective (positive) labour market circumstances.</w:t>
      </w:r>
    </w:p>
    <w:p w14:paraId="5C1AF0AD" w14:textId="77777777" w:rsidR="009B7FFA" w:rsidRPr="00A66F03" w:rsidRDefault="009B7FFA" w:rsidP="00B72629">
      <w:pPr>
        <w:autoSpaceDE w:val="0"/>
        <w:autoSpaceDN w:val="0"/>
        <w:adjustRightInd w:val="0"/>
        <w:spacing w:after="0" w:line="276" w:lineRule="auto"/>
        <w:jc w:val="both"/>
        <w:rPr>
          <w:rFonts w:ascii="Times New Roman" w:hAnsi="Times New Roman" w:cs="Times New Roman"/>
          <w:color w:val="000000"/>
          <w:lang w:val="en-GB"/>
        </w:rPr>
      </w:pPr>
    </w:p>
    <w:p w14:paraId="109001C7" w14:textId="77777777" w:rsidR="003D19B8" w:rsidRPr="00A66F03" w:rsidRDefault="00976636" w:rsidP="00B72629">
      <w:pPr>
        <w:autoSpaceDE w:val="0"/>
        <w:autoSpaceDN w:val="0"/>
        <w:adjustRightInd w:val="0"/>
        <w:spacing w:after="0" w:line="276" w:lineRule="auto"/>
        <w:jc w:val="both"/>
        <w:rPr>
          <w:rFonts w:ascii="Times New Roman" w:hAnsi="Times New Roman" w:cs="Times New Roman"/>
          <w:color w:val="000000"/>
          <w:lang w:val="en-GB"/>
        </w:rPr>
      </w:pPr>
      <w:r w:rsidRPr="00A66F03">
        <w:rPr>
          <w:rFonts w:ascii="Times New Roman" w:hAnsi="Times New Roman" w:cs="Times New Roman"/>
          <w:color w:val="000000"/>
          <w:lang w:val="en-GB"/>
        </w:rPr>
        <w:t>At the level of individual policy objec</w:t>
      </w:r>
      <w:r w:rsidRPr="00A66F03">
        <w:rPr>
          <w:rFonts w:ascii="Times New Roman" w:hAnsi="Times New Roman" w:cs="Times New Roman"/>
          <w:color w:val="000000"/>
          <w:lang w:val="en-GB"/>
        </w:rPr>
        <w:t xml:space="preserve">tives, and in order to match European and Slovenian national priorities as closely as possible, Slovenia proposes that funds be planned under one programme at national level, i.e. ten priorities, to exploit the synergistic effect of the funds by trying to </w:t>
      </w:r>
      <w:r w:rsidRPr="00A66F03">
        <w:rPr>
          <w:rFonts w:ascii="Times New Roman" w:hAnsi="Times New Roman" w:cs="Times New Roman"/>
          <w:color w:val="000000"/>
          <w:lang w:val="en-GB"/>
        </w:rPr>
        <w:t>align the interventions from one fund as closely as possible with those of the another (e.g. ERDF and ESF in addressing competencies for the future).</w:t>
      </w:r>
    </w:p>
    <w:p w14:paraId="7FA0FC77" w14:textId="77777777" w:rsidR="003D19B8" w:rsidRPr="00A66F03" w:rsidRDefault="003D19B8" w:rsidP="00B72629">
      <w:pPr>
        <w:autoSpaceDE w:val="0"/>
        <w:autoSpaceDN w:val="0"/>
        <w:adjustRightInd w:val="0"/>
        <w:spacing w:after="0" w:line="276" w:lineRule="auto"/>
        <w:jc w:val="both"/>
        <w:rPr>
          <w:rFonts w:ascii="Times New Roman" w:hAnsi="Times New Roman" w:cs="Times New Roman"/>
          <w:i/>
          <w:iCs/>
          <w:color w:val="000000"/>
          <w:lang w:val="en-GB"/>
        </w:rPr>
      </w:pPr>
    </w:p>
    <w:p w14:paraId="5E0264E1" w14:textId="77777777" w:rsidR="007977A2" w:rsidRPr="00A66F03" w:rsidRDefault="00976636" w:rsidP="00B72629">
      <w:pPr>
        <w:autoSpaceDE w:val="0"/>
        <w:autoSpaceDN w:val="0"/>
        <w:adjustRightInd w:val="0"/>
        <w:spacing w:after="0" w:line="276" w:lineRule="auto"/>
        <w:jc w:val="both"/>
        <w:rPr>
          <w:rFonts w:ascii="Times New Roman" w:hAnsi="Times New Roman" w:cs="Times New Roman"/>
          <w:color w:val="000000"/>
          <w:lang w:val="en-GB"/>
        </w:rPr>
      </w:pPr>
      <w:r w:rsidRPr="00A66F03">
        <w:rPr>
          <w:rFonts w:ascii="Times New Roman" w:hAnsi="Times New Roman" w:cs="Times New Roman"/>
          <w:color w:val="000000"/>
          <w:lang w:val="en-GB"/>
        </w:rPr>
        <w:t>The number of possible priorities is minimal, where we particularly highlight the integration of the labo</w:t>
      </w:r>
      <w:r w:rsidRPr="00A66F03">
        <w:rPr>
          <w:rFonts w:ascii="Times New Roman" w:hAnsi="Times New Roman" w:cs="Times New Roman"/>
          <w:color w:val="000000"/>
          <w:lang w:val="en-GB"/>
        </w:rPr>
        <w:t>ur market and competencies, education and lifelong learning into a common priority (the same applies to social inclusion and health). This builds on the good experiences to date in integrating and complementing the funds, which improves the multiplier effe</w:t>
      </w:r>
      <w:r w:rsidRPr="00A66F03">
        <w:rPr>
          <w:rFonts w:ascii="Times New Roman" w:hAnsi="Times New Roman" w:cs="Times New Roman"/>
          <w:color w:val="000000"/>
          <w:lang w:val="en-GB"/>
        </w:rPr>
        <w:t>ct of European cohesion funds. Actions beyond the ten thematic priorities will also provide horizontally for local community development (via the CLLD mechanism), sustainable urban development (via the CTN mechanism) and endogenous regional policy (via a n</w:t>
      </w:r>
      <w:r w:rsidRPr="00A66F03">
        <w:rPr>
          <w:rFonts w:ascii="Times New Roman" w:hAnsi="Times New Roman" w:cs="Times New Roman"/>
          <w:color w:val="000000"/>
          <w:lang w:val="en-GB"/>
        </w:rPr>
        <w:t xml:space="preserve">ational tool to address regionally specific disparities at the level of development regions, i.e. NUTS 3). </w:t>
      </w:r>
    </w:p>
    <w:p w14:paraId="1CE4EB20" w14:textId="77777777" w:rsidR="005A428A" w:rsidRPr="00A66F03" w:rsidRDefault="005A428A" w:rsidP="00B72629">
      <w:pPr>
        <w:shd w:val="clear" w:color="auto" w:fill="FFFFFF"/>
        <w:spacing w:after="0" w:line="276" w:lineRule="auto"/>
        <w:jc w:val="both"/>
        <w:rPr>
          <w:rFonts w:ascii="Times New Roman" w:eastAsia="Times New Roman" w:hAnsi="Times New Roman" w:cs="Times New Roman"/>
          <w:b/>
          <w:bCs/>
          <w:color w:val="5B9BD5" w:themeColor="accent1"/>
          <w:sz w:val="27"/>
          <w:szCs w:val="27"/>
          <w:lang w:val="en-GB"/>
        </w:rPr>
      </w:pPr>
    </w:p>
    <w:p w14:paraId="151CE6DF" w14:textId="77777777" w:rsidR="00C65166" w:rsidRPr="00A66F03" w:rsidRDefault="00C65166" w:rsidP="00B72629">
      <w:pPr>
        <w:shd w:val="clear" w:color="auto" w:fill="FFFFFF"/>
        <w:spacing w:after="0" w:line="276" w:lineRule="auto"/>
        <w:jc w:val="both"/>
        <w:rPr>
          <w:rFonts w:ascii="Times New Roman" w:eastAsia="Times New Roman" w:hAnsi="Times New Roman" w:cs="Times New Roman"/>
          <w:b/>
          <w:bCs/>
          <w:color w:val="5B9BD5" w:themeColor="accent1"/>
          <w:sz w:val="27"/>
          <w:szCs w:val="27"/>
          <w:lang w:val="en-GB"/>
        </w:rPr>
      </w:pPr>
    </w:p>
    <w:p w14:paraId="10D1ADFD" w14:textId="77777777" w:rsidR="009C7946" w:rsidRPr="00A66F03" w:rsidRDefault="009C7946" w:rsidP="00B72629">
      <w:pPr>
        <w:shd w:val="clear" w:color="auto" w:fill="FFFFFF"/>
        <w:spacing w:after="0" w:line="276" w:lineRule="auto"/>
        <w:jc w:val="both"/>
        <w:rPr>
          <w:rFonts w:ascii="Times New Roman" w:eastAsia="Times New Roman" w:hAnsi="Times New Roman" w:cs="Times New Roman"/>
          <w:b/>
          <w:bCs/>
          <w:color w:val="5B9BD5" w:themeColor="accent1"/>
          <w:sz w:val="27"/>
          <w:szCs w:val="27"/>
          <w:lang w:val="en-GB"/>
        </w:rPr>
      </w:pPr>
    </w:p>
    <w:p w14:paraId="570C867F" w14:textId="77777777" w:rsidR="009C7946" w:rsidRPr="00A66F03" w:rsidRDefault="009C7946" w:rsidP="00B72629">
      <w:pPr>
        <w:shd w:val="clear" w:color="auto" w:fill="FFFFFF"/>
        <w:spacing w:after="0" w:line="276" w:lineRule="auto"/>
        <w:jc w:val="both"/>
        <w:rPr>
          <w:rFonts w:ascii="Times New Roman" w:eastAsia="Times New Roman" w:hAnsi="Times New Roman" w:cs="Times New Roman"/>
          <w:b/>
          <w:bCs/>
          <w:color w:val="5B9BD5" w:themeColor="accent1"/>
          <w:sz w:val="27"/>
          <w:szCs w:val="27"/>
          <w:lang w:val="en-GB"/>
        </w:rPr>
      </w:pPr>
    </w:p>
    <w:p w14:paraId="169089D6" w14:textId="77777777" w:rsidR="009C7946" w:rsidRPr="00A66F03" w:rsidRDefault="009C7946" w:rsidP="00B72629">
      <w:pPr>
        <w:shd w:val="clear" w:color="auto" w:fill="FFFFFF"/>
        <w:spacing w:after="0" w:line="276" w:lineRule="auto"/>
        <w:jc w:val="both"/>
        <w:rPr>
          <w:rFonts w:ascii="Times New Roman" w:eastAsia="Times New Roman" w:hAnsi="Times New Roman" w:cs="Times New Roman"/>
          <w:b/>
          <w:bCs/>
          <w:color w:val="5B9BD5" w:themeColor="accent1"/>
          <w:sz w:val="27"/>
          <w:szCs w:val="27"/>
          <w:lang w:val="en-GB"/>
        </w:rPr>
      </w:pPr>
    </w:p>
    <w:p w14:paraId="42048619" w14:textId="77777777" w:rsidR="009C7946" w:rsidRPr="00A66F03" w:rsidRDefault="009C7946" w:rsidP="00B72629">
      <w:pPr>
        <w:shd w:val="clear" w:color="auto" w:fill="FFFFFF"/>
        <w:spacing w:after="0" w:line="276" w:lineRule="auto"/>
        <w:jc w:val="both"/>
        <w:rPr>
          <w:rFonts w:ascii="Times New Roman" w:eastAsia="Times New Roman" w:hAnsi="Times New Roman" w:cs="Times New Roman"/>
          <w:b/>
          <w:bCs/>
          <w:color w:val="5B9BD5" w:themeColor="accent1"/>
          <w:sz w:val="27"/>
          <w:szCs w:val="27"/>
          <w:lang w:val="en-GB"/>
        </w:rPr>
      </w:pPr>
    </w:p>
    <w:p w14:paraId="42993F21" w14:textId="77777777" w:rsidR="009C7946" w:rsidRPr="00A66F03" w:rsidRDefault="009C7946" w:rsidP="00B72629">
      <w:pPr>
        <w:shd w:val="clear" w:color="auto" w:fill="FFFFFF"/>
        <w:spacing w:after="0" w:line="276" w:lineRule="auto"/>
        <w:jc w:val="both"/>
        <w:rPr>
          <w:rFonts w:ascii="Times New Roman" w:eastAsia="Times New Roman" w:hAnsi="Times New Roman" w:cs="Times New Roman"/>
          <w:b/>
          <w:bCs/>
          <w:color w:val="5B9BD5" w:themeColor="accent1"/>
          <w:sz w:val="27"/>
          <w:szCs w:val="27"/>
          <w:lang w:val="en-GB"/>
        </w:rPr>
      </w:pPr>
    </w:p>
    <w:p w14:paraId="0C17AADC" w14:textId="77777777" w:rsidR="009C7946" w:rsidRPr="00A66F03" w:rsidRDefault="009C7946" w:rsidP="00B72629">
      <w:pPr>
        <w:shd w:val="clear" w:color="auto" w:fill="FFFFFF"/>
        <w:spacing w:after="0" w:line="276" w:lineRule="auto"/>
        <w:jc w:val="both"/>
        <w:rPr>
          <w:rFonts w:ascii="Times New Roman" w:eastAsia="Times New Roman" w:hAnsi="Times New Roman" w:cs="Times New Roman"/>
          <w:b/>
          <w:bCs/>
          <w:color w:val="5B9BD5" w:themeColor="accent1"/>
          <w:sz w:val="27"/>
          <w:szCs w:val="27"/>
          <w:lang w:val="en-GB"/>
        </w:rPr>
      </w:pPr>
    </w:p>
    <w:p w14:paraId="0302738C" w14:textId="77777777" w:rsidR="009C7946" w:rsidRPr="00A66F03" w:rsidRDefault="009C7946" w:rsidP="00B72629">
      <w:pPr>
        <w:shd w:val="clear" w:color="auto" w:fill="FFFFFF"/>
        <w:spacing w:after="0" w:line="276" w:lineRule="auto"/>
        <w:jc w:val="both"/>
        <w:rPr>
          <w:rFonts w:ascii="Times New Roman" w:eastAsia="Times New Roman" w:hAnsi="Times New Roman" w:cs="Times New Roman"/>
          <w:b/>
          <w:bCs/>
          <w:color w:val="5B9BD5" w:themeColor="accent1"/>
          <w:sz w:val="27"/>
          <w:szCs w:val="27"/>
          <w:lang w:val="en-GB"/>
        </w:rPr>
      </w:pPr>
    </w:p>
    <w:p w14:paraId="10176920" w14:textId="77777777" w:rsidR="00A76FF9" w:rsidRPr="00A66F03" w:rsidRDefault="00976636" w:rsidP="00B72629">
      <w:pPr>
        <w:pStyle w:val="Naslov1"/>
        <w:spacing w:before="0" w:line="276" w:lineRule="auto"/>
        <w:rPr>
          <w:rFonts w:eastAsia="Times New Roman" w:cs="Times New Roman"/>
          <w:lang w:val="en-GB"/>
        </w:rPr>
      </w:pPr>
      <w:bookmarkStart w:id="36" w:name="_Toc115336026"/>
      <w:r w:rsidRPr="00A66F03">
        <w:rPr>
          <w:rFonts w:eastAsia="Times New Roman" w:cs="Times New Roman"/>
          <w:bCs/>
          <w:lang w:val="en-GB"/>
        </w:rPr>
        <w:lastRenderedPageBreak/>
        <w:t xml:space="preserve">8.   List of planned programmes under the funds covered by the Partnership Agreement with the respective preliminary financial allocations </w:t>
      </w:r>
      <w:r w:rsidRPr="00A66F03">
        <w:rPr>
          <w:rFonts w:eastAsia="Times New Roman" w:cs="Times New Roman"/>
          <w:bCs/>
          <w:lang w:val="en-GB"/>
        </w:rPr>
        <w:t>by fund and the corresponding contribution by category of region</w:t>
      </w:r>
      <w:bookmarkEnd w:id="36"/>
    </w:p>
    <w:p w14:paraId="6D28AAFE" w14:textId="77777777" w:rsidR="00BE4EEC" w:rsidRPr="00A66F03" w:rsidRDefault="00BE4EEC" w:rsidP="00B72629">
      <w:pPr>
        <w:shd w:val="clear" w:color="auto" w:fill="FFFFFF"/>
        <w:spacing w:after="0" w:line="276" w:lineRule="auto"/>
        <w:jc w:val="both"/>
        <w:rPr>
          <w:rFonts w:ascii="Times New Roman" w:eastAsia="Times New Roman" w:hAnsi="Times New Roman" w:cs="Times New Roman"/>
          <w:b/>
          <w:bCs/>
          <w:color w:val="5B9BD5" w:themeColor="accent1"/>
          <w:sz w:val="27"/>
          <w:szCs w:val="27"/>
          <w:lang w:val="en-GB"/>
        </w:rPr>
      </w:pPr>
    </w:p>
    <w:p w14:paraId="4C34D639" w14:textId="77777777" w:rsidR="00B929B4" w:rsidRPr="00A66F03" w:rsidRDefault="00976636" w:rsidP="00B929B4">
      <w:pPr>
        <w:shd w:val="clear" w:color="auto" w:fill="FFFFFF"/>
        <w:spacing w:after="0" w:line="276" w:lineRule="auto"/>
        <w:rPr>
          <w:rFonts w:ascii="Times New Roman" w:eastAsia="Times New Roman" w:hAnsi="Times New Roman" w:cs="Times New Roman"/>
          <w:color w:val="444444"/>
          <w:sz w:val="24"/>
          <w:szCs w:val="24"/>
          <w:lang w:val="en-GB"/>
        </w:rPr>
      </w:pPr>
      <w:r w:rsidRPr="00A66F03">
        <w:rPr>
          <w:rFonts w:ascii="Times New Roman" w:hAnsi="Times New Roman" w:cs="Times New Roman"/>
          <w:color w:val="444444"/>
          <w:sz w:val="24"/>
          <w:szCs w:val="24"/>
          <w:lang w:val="en-GB"/>
        </w:rPr>
        <w:t>Table 9B: List of planned programmes</w:t>
      </w:r>
      <w:r w:rsidRPr="00A66F03">
        <w:rPr>
          <w:rFonts w:ascii="Times New Roman" w:hAnsi="Times New Roman" w:cs="Times New Roman"/>
          <w:sz w:val="24"/>
          <w:szCs w:val="24"/>
          <w:lang w:val="en-GB"/>
        </w:rPr>
        <w:t xml:space="preserve"> </w:t>
      </w:r>
      <w:r w:rsidRPr="00A66F03">
        <w:rPr>
          <w:rFonts w:ascii="Times New Roman" w:hAnsi="Times New Roman" w:cs="Times New Roman"/>
          <w:color w:val="444444"/>
          <w:sz w:val="24"/>
          <w:szCs w:val="24"/>
          <w:lang w:val="en-GB"/>
        </w:rPr>
        <w:t>with preliminary financial allocations</w:t>
      </w:r>
    </w:p>
    <w:p w14:paraId="220B1D9A" w14:textId="77777777" w:rsidR="006D02CF" w:rsidRPr="00A66F03" w:rsidRDefault="006D02CF" w:rsidP="00B929B4">
      <w:pPr>
        <w:shd w:val="clear" w:color="auto" w:fill="FFFFFF"/>
        <w:spacing w:after="0" w:line="276" w:lineRule="auto"/>
        <w:rPr>
          <w:rFonts w:ascii="Times New Roman" w:eastAsia="Times New Roman" w:hAnsi="Times New Roman" w:cs="Times New Roman"/>
          <w:color w:val="444444"/>
          <w:sz w:val="24"/>
          <w:szCs w:val="24"/>
          <w:lang w:val="en-GB"/>
        </w:rPr>
      </w:pPr>
    </w:p>
    <w:tbl>
      <w:tblPr>
        <w:tblW w:w="9280" w:type="dxa"/>
        <w:tblCellMar>
          <w:left w:w="70" w:type="dxa"/>
          <w:right w:w="70" w:type="dxa"/>
        </w:tblCellMar>
        <w:tblLook w:val="04A0" w:firstRow="1" w:lastRow="0" w:firstColumn="1" w:lastColumn="0" w:noHBand="0" w:noVBand="1"/>
      </w:tblPr>
      <w:tblGrid>
        <w:gridCol w:w="1680"/>
        <w:gridCol w:w="960"/>
        <w:gridCol w:w="960"/>
        <w:gridCol w:w="1420"/>
        <w:gridCol w:w="1420"/>
        <w:gridCol w:w="1420"/>
        <w:gridCol w:w="1420"/>
      </w:tblGrid>
      <w:tr w:rsidR="00143DBE" w:rsidRPr="00A66F03" w14:paraId="6C78A20A" w14:textId="77777777" w:rsidTr="00874C8B">
        <w:tc>
          <w:tcPr>
            <w:tcW w:w="16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F7B6F12" w14:textId="77777777" w:rsidR="00DA4369" w:rsidRPr="00A66F03" w:rsidRDefault="00976636" w:rsidP="00CF4DEE">
            <w:pPr>
              <w:spacing w:after="0" w:line="240" w:lineRule="auto"/>
              <w:rPr>
                <w:rFonts w:ascii="Calibri" w:eastAsia="Times New Roman" w:hAnsi="Calibri" w:cs="Calibri"/>
                <w:b/>
                <w:bCs/>
                <w:color w:val="000000"/>
                <w:sz w:val="16"/>
                <w:szCs w:val="16"/>
                <w:lang w:val="en-GB"/>
              </w:rPr>
            </w:pPr>
            <w:r w:rsidRPr="00A66F03">
              <w:rPr>
                <w:rFonts w:ascii="Calibri" w:eastAsia="Times New Roman" w:hAnsi="Calibri" w:cs="Calibri"/>
                <w:b/>
                <w:bCs/>
                <w:color w:val="000000"/>
                <w:sz w:val="16"/>
                <w:szCs w:val="16"/>
                <w:lang w:val="en-GB"/>
              </w:rPr>
              <w:t>Programme</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D60BC03" w14:textId="77777777" w:rsidR="00DA4369" w:rsidRPr="00A66F03" w:rsidRDefault="00976636" w:rsidP="00CF4DEE">
            <w:pPr>
              <w:spacing w:after="0" w:line="240" w:lineRule="auto"/>
              <w:rPr>
                <w:rFonts w:ascii="Calibri" w:eastAsia="Times New Roman" w:hAnsi="Calibri" w:cs="Calibri"/>
                <w:b/>
                <w:bCs/>
                <w:color w:val="000000"/>
                <w:sz w:val="16"/>
                <w:szCs w:val="16"/>
                <w:lang w:val="en-GB"/>
              </w:rPr>
            </w:pPr>
            <w:r w:rsidRPr="00A66F03">
              <w:rPr>
                <w:rFonts w:ascii="Calibri" w:eastAsia="Times New Roman" w:hAnsi="Calibri" w:cs="Calibri"/>
                <w:b/>
                <w:bCs/>
                <w:color w:val="000000"/>
                <w:sz w:val="16"/>
                <w:szCs w:val="16"/>
                <w:lang w:val="en-GB"/>
              </w:rPr>
              <w:t>Fund</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3199AF3" w14:textId="77777777" w:rsidR="00DA4369" w:rsidRPr="00A66F03" w:rsidRDefault="00976636" w:rsidP="00CF4DEE">
            <w:pPr>
              <w:spacing w:after="0" w:line="240" w:lineRule="auto"/>
              <w:rPr>
                <w:rFonts w:ascii="Calibri" w:eastAsia="Times New Roman" w:hAnsi="Calibri" w:cs="Calibri"/>
                <w:b/>
                <w:bCs/>
                <w:color w:val="000000"/>
                <w:sz w:val="16"/>
                <w:szCs w:val="16"/>
                <w:lang w:val="en-GB"/>
              </w:rPr>
            </w:pPr>
            <w:r w:rsidRPr="00A66F03">
              <w:rPr>
                <w:rFonts w:ascii="Calibri" w:eastAsia="Times New Roman" w:hAnsi="Calibri" w:cs="Calibri"/>
                <w:b/>
                <w:bCs/>
                <w:color w:val="000000"/>
                <w:sz w:val="16"/>
                <w:szCs w:val="16"/>
                <w:lang w:val="en-GB"/>
              </w:rPr>
              <w:t>Category of region</w:t>
            </w:r>
          </w:p>
        </w:tc>
        <w:tc>
          <w:tcPr>
            <w:tcW w:w="2840" w:type="dxa"/>
            <w:gridSpan w:val="2"/>
            <w:tcBorders>
              <w:top w:val="single" w:sz="8" w:space="0" w:color="auto"/>
              <w:left w:val="nil"/>
              <w:bottom w:val="single" w:sz="8" w:space="0" w:color="auto"/>
              <w:right w:val="single" w:sz="8" w:space="0" w:color="000000"/>
            </w:tcBorders>
            <w:shd w:val="clear" w:color="auto" w:fill="auto"/>
            <w:vAlign w:val="center"/>
            <w:hideMark/>
          </w:tcPr>
          <w:p w14:paraId="685A50A4" w14:textId="77777777" w:rsidR="00DA4369" w:rsidRPr="00A66F03" w:rsidRDefault="00976636" w:rsidP="00CF4DEE">
            <w:pPr>
              <w:spacing w:after="0" w:line="240" w:lineRule="auto"/>
              <w:rPr>
                <w:rFonts w:ascii="Calibri" w:eastAsia="Times New Roman" w:hAnsi="Calibri" w:cs="Calibri"/>
                <w:b/>
                <w:bCs/>
                <w:color w:val="000000"/>
                <w:sz w:val="16"/>
                <w:szCs w:val="16"/>
                <w:lang w:val="en-GB"/>
              </w:rPr>
            </w:pPr>
            <w:r w:rsidRPr="00A66F03">
              <w:rPr>
                <w:rFonts w:ascii="Calibri" w:eastAsia="Times New Roman" w:hAnsi="Calibri" w:cs="Calibri"/>
                <w:b/>
                <w:bCs/>
                <w:color w:val="000000"/>
                <w:sz w:val="16"/>
                <w:szCs w:val="16"/>
                <w:lang w:val="en-GB"/>
              </w:rPr>
              <w:t>Union contribution</w:t>
            </w:r>
          </w:p>
        </w:tc>
        <w:tc>
          <w:tcPr>
            <w:tcW w:w="14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BD480C9" w14:textId="77777777" w:rsidR="00DA4369" w:rsidRPr="00A66F03" w:rsidRDefault="00976636" w:rsidP="00CF4DEE">
            <w:pPr>
              <w:spacing w:after="0" w:line="240" w:lineRule="auto"/>
              <w:rPr>
                <w:rFonts w:ascii="Calibri" w:eastAsia="Times New Roman" w:hAnsi="Calibri" w:cs="Calibri"/>
                <w:b/>
                <w:bCs/>
                <w:color w:val="000000"/>
                <w:sz w:val="16"/>
                <w:szCs w:val="16"/>
                <w:lang w:val="en-GB"/>
              </w:rPr>
            </w:pPr>
            <w:r w:rsidRPr="00A66F03">
              <w:rPr>
                <w:rFonts w:ascii="Calibri" w:eastAsia="Times New Roman" w:hAnsi="Calibri" w:cs="Calibri"/>
                <w:b/>
                <w:bCs/>
                <w:color w:val="000000"/>
                <w:sz w:val="16"/>
                <w:szCs w:val="16"/>
                <w:lang w:val="en-GB"/>
              </w:rPr>
              <w:t>National contribution</w:t>
            </w:r>
          </w:p>
        </w:tc>
        <w:tc>
          <w:tcPr>
            <w:tcW w:w="14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25D9DB9" w14:textId="77777777" w:rsidR="00DA4369" w:rsidRPr="00A66F03" w:rsidRDefault="00976636" w:rsidP="00CF4DEE">
            <w:pPr>
              <w:spacing w:after="0" w:line="240" w:lineRule="auto"/>
              <w:rPr>
                <w:rFonts w:ascii="Calibri" w:eastAsia="Times New Roman" w:hAnsi="Calibri" w:cs="Calibri"/>
                <w:b/>
                <w:bCs/>
                <w:color w:val="000000"/>
                <w:sz w:val="16"/>
                <w:szCs w:val="16"/>
                <w:lang w:val="en-GB"/>
              </w:rPr>
            </w:pPr>
            <w:r w:rsidRPr="00A66F03">
              <w:rPr>
                <w:rFonts w:ascii="Calibri" w:eastAsia="Times New Roman" w:hAnsi="Calibri" w:cs="Calibri"/>
                <w:b/>
                <w:bCs/>
                <w:color w:val="000000"/>
                <w:sz w:val="16"/>
                <w:szCs w:val="16"/>
                <w:lang w:val="en-GB"/>
              </w:rPr>
              <w:t xml:space="preserve">Total </w:t>
            </w:r>
          </w:p>
        </w:tc>
      </w:tr>
      <w:tr w:rsidR="00143DBE" w:rsidRPr="00A66F03" w14:paraId="79529B16" w14:textId="77777777" w:rsidTr="00874C8B">
        <w:tc>
          <w:tcPr>
            <w:tcW w:w="1680" w:type="dxa"/>
            <w:vMerge/>
            <w:tcBorders>
              <w:top w:val="single" w:sz="8" w:space="0" w:color="auto"/>
              <w:left w:val="single" w:sz="8" w:space="0" w:color="auto"/>
              <w:bottom w:val="single" w:sz="8" w:space="0" w:color="000000"/>
              <w:right w:val="single" w:sz="8" w:space="0" w:color="auto"/>
            </w:tcBorders>
            <w:vAlign w:val="center"/>
            <w:hideMark/>
          </w:tcPr>
          <w:p w14:paraId="6AED3FAF" w14:textId="77777777" w:rsidR="00DA4369" w:rsidRPr="00A66F03" w:rsidRDefault="00DA4369" w:rsidP="00CF4DEE">
            <w:pPr>
              <w:spacing w:after="0" w:line="240" w:lineRule="auto"/>
              <w:rPr>
                <w:rFonts w:ascii="Calibri" w:eastAsia="Times New Roman" w:hAnsi="Calibri" w:cs="Calibri"/>
                <w:b/>
                <w:bCs/>
                <w:color w:val="000000"/>
                <w:sz w:val="16"/>
                <w:szCs w:val="16"/>
                <w:lang w:val="en-GB"/>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2AB105B3" w14:textId="77777777" w:rsidR="00DA4369" w:rsidRPr="00A66F03" w:rsidRDefault="00DA4369" w:rsidP="00CF4DEE">
            <w:pPr>
              <w:spacing w:after="0" w:line="240" w:lineRule="auto"/>
              <w:rPr>
                <w:rFonts w:ascii="Calibri" w:eastAsia="Times New Roman" w:hAnsi="Calibri" w:cs="Calibri"/>
                <w:b/>
                <w:bCs/>
                <w:color w:val="000000"/>
                <w:sz w:val="16"/>
                <w:szCs w:val="16"/>
                <w:lang w:val="en-GB"/>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643477DF" w14:textId="77777777" w:rsidR="00DA4369" w:rsidRPr="00A66F03" w:rsidRDefault="00DA4369" w:rsidP="00CF4DEE">
            <w:pPr>
              <w:spacing w:after="0" w:line="240" w:lineRule="auto"/>
              <w:rPr>
                <w:rFonts w:ascii="Calibri" w:eastAsia="Times New Roman" w:hAnsi="Calibri" w:cs="Calibri"/>
                <w:b/>
                <w:bCs/>
                <w:color w:val="000000"/>
                <w:sz w:val="16"/>
                <w:szCs w:val="16"/>
                <w:lang w:val="en-GB"/>
              </w:rPr>
            </w:pPr>
          </w:p>
        </w:tc>
        <w:tc>
          <w:tcPr>
            <w:tcW w:w="1420" w:type="dxa"/>
            <w:tcBorders>
              <w:top w:val="nil"/>
              <w:left w:val="nil"/>
              <w:bottom w:val="single" w:sz="8" w:space="0" w:color="auto"/>
              <w:right w:val="single" w:sz="8" w:space="0" w:color="auto"/>
            </w:tcBorders>
            <w:shd w:val="clear" w:color="auto" w:fill="auto"/>
            <w:vAlign w:val="center"/>
            <w:hideMark/>
          </w:tcPr>
          <w:p w14:paraId="4BE789AA" w14:textId="77777777" w:rsidR="00DA4369" w:rsidRPr="00A66F03" w:rsidRDefault="00976636" w:rsidP="00CF4DEE">
            <w:pPr>
              <w:spacing w:after="0" w:line="240" w:lineRule="auto"/>
              <w:rPr>
                <w:rFonts w:ascii="Calibri" w:eastAsia="Times New Roman" w:hAnsi="Calibri" w:cs="Calibri"/>
                <w:b/>
                <w:bCs/>
                <w:color w:val="000000"/>
                <w:sz w:val="16"/>
                <w:szCs w:val="16"/>
                <w:lang w:val="en-GB"/>
              </w:rPr>
            </w:pPr>
            <w:r w:rsidRPr="00A66F03">
              <w:rPr>
                <w:rFonts w:ascii="Calibri" w:eastAsia="Times New Roman" w:hAnsi="Calibri" w:cs="Calibri"/>
                <w:b/>
                <w:bCs/>
                <w:color w:val="000000"/>
                <w:sz w:val="16"/>
                <w:szCs w:val="16"/>
                <w:lang w:val="en-GB"/>
              </w:rPr>
              <w:t xml:space="preserve">Union contribution without </w:t>
            </w:r>
            <w:r w:rsidRPr="00A66F03">
              <w:rPr>
                <w:rFonts w:ascii="Calibri" w:eastAsia="Times New Roman" w:hAnsi="Calibri" w:cs="Calibri"/>
                <w:b/>
                <w:bCs/>
                <w:color w:val="000000"/>
                <w:sz w:val="16"/>
                <w:szCs w:val="16"/>
                <w:lang w:val="en-GB"/>
              </w:rPr>
              <w:t>technical assistance pursuant to Article 36(5) CPR</w:t>
            </w:r>
          </w:p>
        </w:tc>
        <w:tc>
          <w:tcPr>
            <w:tcW w:w="1420" w:type="dxa"/>
            <w:tcBorders>
              <w:top w:val="nil"/>
              <w:left w:val="nil"/>
              <w:bottom w:val="single" w:sz="8" w:space="0" w:color="auto"/>
              <w:right w:val="single" w:sz="8" w:space="0" w:color="auto"/>
            </w:tcBorders>
            <w:shd w:val="clear" w:color="auto" w:fill="auto"/>
            <w:vAlign w:val="center"/>
            <w:hideMark/>
          </w:tcPr>
          <w:p w14:paraId="0C992EEE" w14:textId="77777777" w:rsidR="00DA4369" w:rsidRPr="00A66F03" w:rsidRDefault="00976636" w:rsidP="00CF4DEE">
            <w:pPr>
              <w:spacing w:after="0" w:line="240" w:lineRule="auto"/>
              <w:rPr>
                <w:rFonts w:ascii="Calibri" w:eastAsia="Times New Roman" w:hAnsi="Calibri" w:cs="Calibri"/>
                <w:b/>
                <w:bCs/>
                <w:color w:val="000000"/>
                <w:sz w:val="16"/>
                <w:szCs w:val="16"/>
                <w:lang w:val="en-GB"/>
              </w:rPr>
            </w:pPr>
            <w:r w:rsidRPr="00A66F03">
              <w:rPr>
                <w:rFonts w:ascii="Calibri" w:eastAsia="Times New Roman" w:hAnsi="Calibri" w:cs="Calibri"/>
                <w:b/>
                <w:bCs/>
                <w:color w:val="000000"/>
                <w:sz w:val="16"/>
                <w:szCs w:val="16"/>
                <w:lang w:val="en-GB"/>
              </w:rPr>
              <w:t>Union contribution for technical assistance pursuant to Article 36(5) CPR</w:t>
            </w: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6BAA10B6" w14:textId="77777777" w:rsidR="00DA4369" w:rsidRPr="00A66F03" w:rsidRDefault="00DA4369" w:rsidP="00CF4DEE">
            <w:pPr>
              <w:spacing w:after="0" w:line="240" w:lineRule="auto"/>
              <w:rPr>
                <w:rFonts w:ascii="Calibri" w:eastAsia="Times New Roman" w:hAnsi="Calibri" w:cs="Calibri"/>
                <w:b/>
                <w:bCs/>
                <w:color w:val="000000"/>
                <w:sz w:val="16"/>
                <w:szCs w:val="16"/>
                <w:lang w:val="en-GB"/>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7650156B" w14:textId="77777777" w:rsidR="00DA4369" w:rsidRPr="00A66F03" w:rsidRDefault="00DA4369" w:rsidP="00CF4DEE">
            <w:pPr>
              <w:spacing w:after="0" w:line="240" w:lineRule="auto"/>
              <w:rPr>
                <w:rFonts w:ascii="Calibri" w:eastAsia="Times New Roman" w:hAnsi="Calibri" w:cs="Calibri"/>
                <w:b/>
                <w:bCs/>
                <w:color w:val="000000"/>
                <w:sz w:val="16"/>
                <w:szCs w:val="16"/>
                <w:lang w:val="en-GB"/>
              </w:rPr>
            </w:pPr>
          </w:p>
        </w:tc>
      </w:tr>
      <w:tr w:rsidR="00143DBE" w:rsidRPr="00A66F03" w14:paraId="6E19EACA" w14:textId="77777777" w:rsidTr="00874C8B">
        <w:tc>
          <w:tcPr>
            <w:tcW w:w="1680" w:type="dxa"/>
            <w:vMerge w:val="restart"/>
            <w:tcBorders>
              <w:top w:val="nil"/>
              <w:left w:val="single" w:sz="8" w:space="0" w:color="auto"/>
              <w:bottom w:val="single" w:sz="8" w:space="0" w:color="000000"/>
              <w:right w:val="single" w:sz="8" w:space="0" w:color="auto"/>
            </w:tcBorders>
            <w:shd w:val="clear" w:color="auto" w:fill="auto"/>
            <w:vAlign w:val="center"/>
            <w:hideMark/>
          </w:tcPr>
          <w:p w14:paraId="71148683" w14:textId="77777777" w:rsidR="00DA4369" w:rsidRPr="00A66F03" w:rsidRDefault="00976636" w:rsidP="00CF4DEE">
            <w:pPr>
              <w:spacing w:after="0" w:line="240" w:lineRule="auto"/>
              <w:rPr>
                <w:rFonts w:ascii="Calibri" w:eastAsia="Times New Roman" w:hAnsi="Calibri" w:cs="Calibri"/>
                <w:color w:val="000000"/>
                <w:sz w:val="16"/>
                <w:szCs w:val="16"/>
                <w:lang w:val="en-GB"/>
              </w:rPr>
            </w:pPr>
            <w:r w:rsidRPr="00A66F03">
              <w:rPr>
                <w:rFonts w:ascii="Calibri" w:eastAsia="Times New Roman" w:hAnsi="Calibri" w:cs="Calibri"/>
                <w:color w:val="000000"/>
                <w:sz w:val="16"/>
                <w:szCs w:val="16"/>
                <w:lang w:val="en-GB"/>
              </w:rPr>
              <w:t>European Cohesion Policy Programme in Slovenia 2021–2027</w:t>
            </w:r>
          </w:p>
        </w:tc>
        <w:tc>
          <w:tcPr>
            <w:tcW w:w="960" w:type="dxa"/>
            <w:tcBorders>
              <w:top w:val="nil"/>
              <w:left w:val="nil"/>
              <w:bottom w:val="single" w:sz="8" w:space="0" w:color="auto"/>
              <w:right w:val="single" w:sz="8" w:space="0" w:color="auto"/>
            </w:tcBorders>
            <w:shd w:val="clear" w:color="auto" w:fill="auto"/>
            <w:vAlign w:val="center"/>
            <w:hideMark/>
          </w:tcPr>
          <w:p w14:paraId="3B79429B" w14:textId="77777777" w:rsidR="00DA4369" w:rsidRPr="00A66F03" w:rsidRDefault="00976636" w:rsidP="00CF4DEE">
            <w:pPr>
              <w:spacing w:after="0" w:line="240" w:lineRule="auto"/>
              <w:rPr>
                <w:rFonts w:ascii="Calibri" w:eastAsia="Times New Roman" w:hAnsi="Calibri" w:cs="Calibri"/>
                <w:color w:val="000000"/>
                <w:sz w:val="16"/>
                <w:szCs w:val="16"/>
                <w:lang w:val="en-GB"/>
              </w:rPr>
            </w:pPr>
            <w:r w:rsidRPr="00A66F03">
              <w:rPr>
                <w:rFonts w:ascii="Calibri" w:eastAsia="Times New Roman" w:hAnsi="Calibri" w:cs="Calibri"/>
                <w:color w:val="000000"/>
                <w:sz w:val="16"/>
                <w:szCs w:val="16"/>
                <w:lang w:val="en-GB"/>
              </w:rPr>
              <w:t>CF</w:t>
            </w:r>
          </w:p>
        </w:tc>
        <w:tc>
          <w:tcPr>
            <w:tcW w:w="960" w:type="dxa"/>
            <w:tcBorders>
              <w:top w:val="nil"/>
              <w:left w:val="nil"/>
              <w:bottom w:val="single" w:sz="8" w:space="0" w:color="auto"/>
              <w:right w:val="single" w:sz="8" w:space="0" w:color="auto"/>
            </w:tcBorders>
            <w:shd w:val="clear" w:color="auto" w:fill="auto"/>
            <w:vAlign w:val="center"/>
            <w:hideMark/>
          </w:tcPr>
          <w:p w14:paraId="35FD0741" w14:textId="77777777" w:rsidR="00DA4369" w:rsidRPr="00A66F03" w:rsidRDefault="00976636" w:rsidP="00CF4DEE">
            <w:pPr>
              <w:spacing w:after="0" w:line="240" w:lineRule="auto"/>
              <w:rPr>
                <w:rFonts w:ascii="Calibri" w:eastAsia="Times New Roman" w:hAnsi="Calibri" w:cs="Calibri"/>
                <w:b/>
                <w:bCs/>
                <w:color w:val="000000"/>
                <w:sz w:val="16"/>
                <w:szCs w:val="16"/>
                <w:lang w:val="en-GB"/>
              </w:rPr>
            </w:pPr>
            <w:r w:rsidRPr="00A66F03">
              <w:rPr>
                <w:rFonts w:ascii="Calibri" w:eastAsia="Times New Roman" w:hAnsi="Calibri" w:cs="Calibri"/>
                <w:b/>
                <w:bCs/>
                <w:color w:val="000000"/>
                <w:sz w:val="16"/>
                <w:szCs w:val="16"/>
                <w:lang w:val="en-GB"/>
              </w:rPr>
              <w:t> </w:t>
            </w:r>
          </w:p>
        </w:tc>
        <w:tc>
          <w:tcPr>
            <w:tcW w:w="1420" w:type="dxa"/>
            <w:tcBorders>
              <w:top w:val="nil"/>
              <w:left w:val="nil"/>
              <w:bottom w:val="single" w:sz="8" w:space="0" w:color="auto"/>
              <w:right w:val="single" w:sz="8" w:space="0" w:color="auto"/>
            </w:tcBorders>
            <w:shd w:val="clear" w:color="auto" w:fill="auto"/>
            <w:vAlign w:val="center"/>
            <w:hideMark/>
          </w:tcPr>
          <w:p w14:paraId="470C2560" w14:textId="77777777" w:rsidR="00DA4369" w:rsidRPr="00A66F03" w:rsidRDefault="00976636" w:rsidP="00CF4DEE">
            <w:pPr>
              <w:spacing w:after="0" w:line="240" w:lineRule="auto"/>
              <w:jc w:val="right"/>
              <w:rPr>
                <w:rFonts w:ascii="Calibri" w:eastAsia="Times New Roman" w:hAnsi="Calibri" w:cs="Calibri"/>
                <w:color w:val="000000"/>
                <w:sz w:val="16"/>
                <w:szCs w:val="16"/>
                <w:lang w:val="en-GB"/>
              </w:rPr>
            </w:pPr>
            <w:r w:rsidRPr="00A66F03">
              <w:rPr>
                <w:rFonts w:ascii="Calibri" w:eastAsia="Times New Roman" w:hAnsi="Calibri" w:cs="Calibri"/>
                <w:color w:val="000000"/>
                <w:sz w:val="16"/>
                <w:szCs w:val="16"/>
                <w:lang w:val="en-GB"/>
              </w:rPr>
              <w:t xml:space="preserve">           700,675,720   </w:t>
            </w:r>
          </w:p>
        </w:tc>
        <w:tc>
          <w:tcPr>
            <w:tcW w:w="1420" w:type="dxa"/>
            <w:tcBorders>
              <w:top w:val="nil"/>
              <w:left w:val="nil"/>
              <w:bottom w:val="single" w:sz="8" w:space="0" w:color="auto"/>
              <w:right w:val="single" w:sz="8" w:space="0" w:color="auto"/>
            </w:tcBorders>
            <w:shd w:val="clear" w:color="auto" w:fill="auto"/>
            <w:vAlign w:val="center"/>
            <w:hideMark/>
          </w:tcPr>
          <w:p w14:paraId="3802A8C5" w14:textId="77777777" w:rsidR="00DA4369" w:rsidRPr="00A66F03" w:rsidRDefault="00976636" w:rsidP="00CF4DEE">
            <w:pPr>
              <w:spacing w:after="0" w:line="240" w:lineRule="auto"/>
              <w:jc w:val="right"/>
              <w:rPr>
                <w:rFonts w:ascii="Calibri" w:eastAsia="Times New Roman" w:hAnsi="Calibri" w:cs="Calibri"/>
                <w:color w:val="000000"/>
                <w:sz w:val="16"/>
                <w:szCs w:val="16"/>
                <w:lang w:val="en-GB"/>
              </w:rPr>
            </w:pPr>
            <w:r w:rsidRPr="00A66F03">
              <w:rPr>
                <w:rFonts w:ascii="Calibri" w:eastAsia="Times New Roman" w:hAnsi="Calibri" w:cs="Calibri"/>
                <w:color w:val="000000"/>
                <w:sz w:val="16"/>
                <w:szCs w:val="16"/>
                <w:lang w:val="en-GB"/>
              </w:rPr>
              <w:t xml:space="preserve">              17,516,893   </w:t>
            </w:r>
          </w:p>
        </w:tc>
        <w:tc>
          <w:tcPr>
            <w:tcW w:w="1420" w:type="dxa"/>
            <w:tcBorders>
              <w:top w:val="nil"/>
              <w:left w:val="nil"/>
              <w:bottom w:val="single" w:sz="8" w:space="0" w:color="auto"/>
              <w:right w:val="single" w:sz="8" w:space="0" w:color="auto"/>
            </w:tcBorders>
            <w:shd w:val="clear" w:color="auto" w:fill="auto"/>
            <w:vAlign w:val="center"/>
            <w:hideMark/>
          </w:tcPr>
          <w:p w14:paraId="59115FB0" w14:textId="77777777" w:rsidR="00DA4369" w:rsidRPr="00A66F03" w:rsidRDefault="00976636" w:rsidP="00CF4DEE">
            <w:pPr>
              <w:spacing w:after="0" w:line="240" w:lineRule="auto"/>
              <w:jc w:val="right"/>
              <w:rPr>
                <w:rFonts w:ascii="Calibri" w:eastAsia="Times New Roman" w:hAnsi="Calibri" w:cs="Calibri"/>
                <w:color w:val="000000"/>
                <w:sz w:val="16"/>
                <w:szCs w:val="16"/>
                <w:lang w:val="en-GB"/>
              </w:rPr>
            </w:pPr>
            <w:r w:rsidRPr="00A66F03">
              <w:rPr>
                <w:rFonts w:ascii="Calibri" w:eastAsia="Times New Roman" w:hAnsi="Calibri" w:cs="Calibri"/>
                <w:color w:val="000000"/>
                <w:sz w:val="16"/>
                <w:szCs w:val="16"/>
                <w:lang w:val="en-GB"/>
              </w:rPr>
              <w:t xml:space="preserve">           126,739,873   </w:t>
            </w:r>
          </w:p>
        </w:tc>
        <w:tc>
          <w:tcPr>
            <w:tcW w:w="1420" w:type="dxa"/>
            <w:tcBorders>
              <w:top w:val="nil"/>
              <w:left w:val="nil"/>
              <w:bottom w:val="single" w:sz="8" w:space="0" w:color="auto"/>
              <w:right w:val="single" w:sz="8" w:space="0" w:color="auto"/>
            </w:tcBorders>
            <w:shd w:val="clear" w:color="auto" w:fill="auto"/>
            <w:vAlign w:val="center"/>
            <w:hideMark/>
          </w:tcPr>
          <w:p w14:paraId="0A90BFC7" w14:textId="77777777" w:rsidR="00DA4369" w:rsidRPr="00A66F03" w:rsidRDefault="00976636" w:rsidP="00CF4DEE">
            <w:pPr>
              <w:spacing w:after="0" w:line="240" w:lineRule="auto"/>
              <w:jc w:val="right"/>
              <w:rPr>
                <w:rFonts w:ascii="Calibri" w:eastAsia="Times New Roman" w:hAnsi="Calibri" w:cs="Calibri"/>
                <w:color w:val="000000"/>
                <w:sz w:val="16"/>
                <w:szCs w:val="16"/>
                <w:lang w:val="en-GB"/>
              </w:rPr>
            </w:pPr>
            <w:r w:rsidRPr="00A66F03">
              <w:rPr>
                <w:rFonts w:ascii="Calibri" w:eastAsia="Times New Roman" w:hAnsi="Calibri" w:cs="Calibri"/>
                <w:color w:val="000000"/>
                <w:sz w:val="16"/>
                <w:szCs w:val="16"/>
                <w:lang w:val="en-GB"/>
              </w:rPr>
              <w:t xml:space="preserve">           844,932,486   </w:t>
            </w:r>
          </w:p>
        </w:tc>
      </w:tr>
      <w:tr w:rsidR="00143DBE" w:rsidRPr="00A66F03" w14:paraId="25809FEC" w14:textId="77777777" w:rsidTr="00874C8B">
        <w:tc>
          <w:tcPr>
            <w:tcW w:w="1680" w:type="dxa"/>
            <w:vMerge/>
            <w:tcBorders>
              <w:top w:val="nil"/>
              <w:left w:val="single" w:sz="8" w:space="0" w:color="auto"/>
              <w:bottom w:val="single" w:sz="8" w:space="0" w:color="000000"/>
              <w:right w:val="single" w:sz="8" w:space="0" w:color="auto"/>
            </w:tcBorders>
            <w:vAlign w:val="center"/>
            <w:hideMark/>
          </w:tcPr>
          <w:p w14:paraId="73513BBE" w14:textId="77777777" w:rsidR="00DA4369" w:rsidRPr="00A66F03" w:rsidRDefault="00DA4369" w:rsidP="00CF4DEE">
            <w:pPr>
              <w:spacing w:after="0" w:line="240" w:lineRule="auto"/>
              <w:rPr>
                <w:rFonts w:ascii="Calibri" w:eastAsia="Times New Roman" w:hAnsi="Calibri" w:cs="Calibri"/>
                <w:color w:val="000000"/>
                <w:sz w:val="16"/>
                <w:szCs w:val="16"/>
                <w:lang w:val="en-GB"/>
              </w:rPr>
            </w:pPr>
          </w:p>
        </w:tc>
        <w:tc>
          <w:tcPr>
            <w:tcW w:w="960" w:type="dxa"/>
            <w:tcBorders>
              <w:top w:val="nil"/>
              <w:left w:val="nil"/>
              <w:bottom w:val="single" w:sz="8" w:space="0" w:color="auto"/>
              <w:right w:val="single" w:sz="8" w:space="0" w:color="auto"/>
            </w:tcBorders>
            <w:shd w:val="clear" w:color="auto" w:fill="auto"/>
            <w:vAlign w:val="center"/>
            <w:hideMark/>
          </w:tcPr>
          <w:p w14:paraId="0E6DEBAD" w14:textId="77777777" w:rsidR="00DA4369" w:rsidRPr="00A66F03" w:rsidRDefault="00976636" w:rsidP="00CF4DEE">
            <w:pPr>
              <w:spacing w:after="0" w:line="240" w:lineRule="auto"/>
              <w:rPr>
                <w:rFonts w:ascii="Calibri" w:eastAsia="Times New Roman" w:hAnsi="Calibri" w:cs="Calibri"/>
                <w:color w:val="000000"/>
                <w:sz w:val="16"/>
                <w:szCs w:val="16"/>
                <w:lang w:val="en-GB"/>
              </w:rPr>
            </w:pPr>
            <w:r w:rsidRPr="00A66F03">
              <w:rPr>
                <w:rFonts w:ascii="Calibri" w:eastAsia="Times New Roman" w:hAnsi="Calibri" w:cs="Calibri"/>
                <w:color w:val="000000"/>
                <w:sz w:val="16"/>
                <w:szCs w:val="16"/>
                <w:lang w:val="en-GB"/>
              </w:rPr>
              <w:t>JTF</w:t>
            </w:r>
          </w:p>
        </w:tc>
        <w:tc>
          <w:tcPr>
            <w:tcW w:w="960" w:type="dxa"/>
            <w:tcBorders>
              <w:top w:val="nil"/>
              <w:left w:val="nil"/>
              <w:bottom w:val="single" w:sz="8" w:space="0" w:color="auto"/>
              <w:right w:val="single" w:sz="8" w:space="0" w:color="auto"/>
            </w:tcBorders>
            <w:shd w:val="clear" w:color="auto" w:fill="auto"/>
            <w:vAlign w:val="center"/>
            <w:hideMark/>
          </w:tcPr>
          <w:p w14:paraId="29F704DF" w14:textId="77777777" w:rsidR="00DA4369" w:rsidRPr="00A66F03" w:rsidRDefault="00976636" w:rsidP="00CF4DEE">
            <w:pPr>
              <w:spacing w:after="0" w:line="240" w:lineRule="auto"/>
              <w:rPr>
                <w:rFonts w:ascii="Calibri" w:eastAsia="Times New Roman" w:hAnsi="Calibri" w:cs="Calibri"/>
                <w:b/>
                <w:bCs/>
                <w:color w:val="000000"/>
                <w:sz w:val="16"/>
                <w:szCs w:val="16"/>
                <w:lang w:val="en-GB"/>
              </w:rPr>
            </w:pPr>
            <w:r w:rsidRPr="00A66F03">
              <w:rPr>
                <w:rFonts w:ascii="Calibri" w:eastAsia="Times New Roman" w:hAnsi="Calibri" w:cs="Calibri"/>
                <w:b/>
                <w:bCs/>
                <w:color w:val="000000"/>
                <w:sz w:val="16"/>
                <w:szCs w:val="16"/>
                <w:lang w:val="en-GB"/>
              </w:rPr>
              <w:t> </w:t>
            </w:r>
          </w:p>
        </w:tc>
        <w:tc>
          <w:tcPr>
            <w:tcW w:w="1420" w:type="dxa"/>
            <w:tcBorders>
              <w:top w:val="nil"/>
              <w:left w:val="nil"/>
              <w:bottom w:val="single" w:sz="8" w:space="0" w:color="auto"/>
              <w:right w:val="single" w:sz="8" w:space="0" w:color="auto"/>
            </w:tcBorders>
            <w:shd w:val="clear" w:color="auto" w:fill="auto"/>
            <w:vAlign w:val="center"/>
            <w:hideMark/>
          </w:tcPr>
          <w:p w14:paraId="04829B42" w14:textId="77777777" w:rsidR="00DA4369" w:rsidRPr="00A66F03" w:rsidRDefault="00976636" w:rsidP="00CF4DEE">
            <w:pPr>
              <w:spacing w:after="0" w:line="240" w:lineRule="auto"/>
              <w:jc w:val="right"/>
              <w:rPr>
                <w:rFonts w:ascii="Calibri" w:eastAsia="Times New Roman" w:hAnsi="Calibri" w:cs="Calibri"/>
                <w:color w:val="000000"/>
                <w:sz w:val="16"/>
                <w:szCs w:val="16"/>
                <w:lang w:val="en-GB"/>
              </w:rPr>
            </w:pPr>
            <w:r w:rsidRPr="00A66F03">
              <w:rPr>
                <w:rFonts w:ascii="Calibri" w:eastAsia="Times New Roman" w:hAnsi="Calibri" w:cs="Calibri"/>
                <w:color w:val="000000"/>
                <w:sz w:val="16"/>
                <w:szCs w:val="16"/>
                <w:lang w:val="en-GB"/>
              </w:rPr>
              <w:t xml:space="preserve">           248,773,600   </w:t>
            </w:r>
          </w:p>
        </w:tc>
        <w:tc>
          <w:tcPr>
            <w:tcW w:w="1420" w:type="dxa"/>
            <w:tcBorders>
              <w:top w:val="nil"/>
              <w:left w:val="nil"/>
              <w:bottom w:val="single" w:sz="8" w:space="0" w:color="auto"/>
              <w:right w:val="single" w:sz="8" w:space="0" w:color="auto"/>
            </w:tcBorders>
            <w:shd w:val="clear" w:color="auto" w:fill="auto"/>
            <w:vAlign w:val="center"/>
            <w:hideMark/>
          </w:tcPr>
          <w:p w14:paraId="218AE7F4" w14:textId="77777777" w:rsidR="00DA4369" w:rsidRPr="00A66F03" w:rsidRDefault="00976636" w:rsidP="00CF4DEE">
            <w:pPr>
              <w:spacing w:after="0" w:line="240" w:lineRule="auto"/>
              <w:jc w:val="right"/>
              <w:rPr>
                <w:rFonts w:ascii="Calibri" w:eastAsia="Times New Roman" w:hAnsi="Calibri" w:cs="Calibri"/>
                <w:color w:val="000000"/>
                <w:sz w:val="16"/>
                <w:szCs w:val="16"/>
                <w:lang w:val="en-GB"/>
              </w:rPr>
            </w:pPr>
            <w:r w:rsidRPr="00A66F03">
              <w:rPr>
                <w:rFonts w:ascii="Calibri" w:eastAsia="Times New Roman" w:hAnsi="Calibri" w:cs="Calibri"/>
                <w:color w:val="000000"/>
                <w:sz w:val="16"/>
                <w:szCs w:val="16"/>
                <w:lang w:val="en-GB"/>
              </w:rPr>
              <w:t xml:space="preserve">                 9,950,943   </w:t>
            </w:r>
          </w:p>
        </w:tc>
        <w:tc>
          <w:tcPr>
            <w:tcW w:w="1420" w:type="dxa"/>
            <w:tcBorders>
              <w:top w:val="nil"/>
              <w:left w:val="nil"/>
              <w:bottom w:val="single" w:sz="8" w:space="0" w:color="auto"/>
              <w:right w:val="single" w:sz="8" w:space="0" w:color="auto"/>
            </w:tcBorders>
            <w:shd w:val="clear" w:color="auto" w:fill="auto"/>
            <w:vAlign w:val="center"/>
            <w:hideMark/>
          </w:tcPr>
          <w:p w14:paraId="68F13F39" w14:textId="77777777" w:rsidR="00DA4369" w:rsidRPr="00A66F03" w:rsidRDefault="00976636" w:rsidP="00CF4DEE">
            <w:pPr>
              <w:spacing w:after="0" w:line="240" w:lineRule="auto"/>
              <w:jc w:val="right"/>
              <w:rPr>
                <w:rFonts w:ascii="Calibri" w:eastAsia="Times New Roman" w:hAnsi="Calibri" w:cs="Calibri"/>
                <w:color w:val="000000"/>
                <w:sz w:val="16"/>
                <w:szCs w:val="16"/>
                <w:lang w:val="en-GB"/>
              </w:rPr>
            </w:pPr>
            <w:r w:rsidRPr="00A66F03">
              <w:rPr>
                <w:rFonts w:ascii="Calibri" w:eastAsia="Times New Roman" w:hAnsi="Calibri" w:cs="Calibri"/>
                <w:color w:val="000000"/>
                <w:sz w:val="16"/>
                <w:szCs w:val="16"/>
                <w:lang w:val="en-GB"/>
              </w:rPr>
              <w:t xml:space="preserve">              45,657,272   </w:t>
            </w:r>
          </w:p>
        </w:tc>
        <w:tc>
          <w:tcPr>
            <w:tcW w:w="1420" w:type="dxa"/>
            <w:tcBorders>
              <w:top w:val="nil"/>
              <w:left w:val="nil"/>
              <w:bottom w:val="single" w:sz="8" w:space="0" w:color="auto"/>
              <w:right w:val="single" w:sz="8" w:space="0" w:color="auto"/>
            </w:tcBorders>
            <w:shd w:val="clear" w:color="auto" w:fill="auto"/>
            <w:vAlign w:val="center"/>
            <w:hideMark/>
          </w:tcPr>
          <w:p w14:paraId="0A1367C5" w14:textId="77777777" w:rsidR="00DA4369" w:rsidRPr="00A66F03" w:rsidRDefault="00976636" w:rsidP="00CF4DEE">
            <w:pPr>
              <w:spacing w:after="0" w:line="240" w:lineRule="auto"/>
              <w:jc w:val="right"/>
              <w:rPr>
                <w:rFonts w:ascii="Calibri" w:eastAsia="Times New Roman" w:hAnsi="Calibri" w:cs="Calibri"/>
                <w:color w:val="000000"/>
                <w:sz w:val="16"/>
                <w:szCs w:val="16"/>
                <w:lang w:val="en-GB"/>
              </w:rPr>
            </w:pPr>
            <w:r w:rsidRPr="00A66F03">
              <w:rPr>
                <w:rFonts w:ascii="Calibri" w:eastAsia="Times New Roman" w:hAnsi="Calibri" w:cs="Calibri"/>
                <w:color w:val="000000"/>
                <w:sz w:val="16"/>
                <w:szCs w:val="16"/>
                <w:lang w:val="en-GB"/>
              </w:rPr>
              <w:t xml:space="preserve">           304,381,815   </w:t>
            </w:r>
          </w:p>
        </w:tc>
      </w:tr>
      <w:tr w:rsidR="00143DBE" w:rsidRPr="00A66F03" w14:paraId="2F38D877" w14:textId="77777777" w:rsidTr="00874C8B">
        <w:tc>
          <w:tcPr>
            <w:tcW w:w="1680" w:type="dxa"/>
            <w:vMerge/>
            <w:tcBorders>
              <w:top w:val="nil"/>
              <w:left w:val="single" w:sz="8" w:space="0" w:color="auto"/>
              <w:bottom w:val="single" w:sz="8" w:space="0" w:color="000000"/>
              <w:right w:val="single" w:sz="8" w:space="0" w:color="auto"/>
            </w:tcBorders>
            <w:vAlign w:val="center"/>
            <w:hideMark/>
          </w:tcPr>
          <w:p w14:paraId="5283F2C8" w14:textId="77777777" w:rsidR="00DA4369" w:rsidRPr="00A66F03" w:rsidRDefault="00DA4369" w:rsidP="00CF4DEE">
            <w:pPr>
              <w:spacing w:after="0" w:line="240" w:lineRule="auto"/>
              <w:rPr>
                <w:rFonts w:ascii="Calibri" w:eastAsia="Times New Roman" w:hAnsi="Calibri" w:cs="Calibri"/>
                <w:color w:val="000000"/>
                <w:sz w:val="16"/>
                <w:szCs w:val="16"/>
                <w:lang w:val="en-GB"/>
              </w:rPr>
            </w:pP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2B05B887" w14:textId="77777777" w:rsidR="00DA4369" w:rsidRPr="00A66F03" w:rsidRDefault="00976636" w:rsidP="00CF4DEE">
            <w:pPr>
              <w:spacing w:after="0" w:line="240" w:lineRule="auto"/>
              <w:rPr>
                <w:rFonts w:ascii="Calibri" w:eastAsia="Times New Roman" w:hAnsi="Calibri" w:cs="Calibri"/>
                <w:color w:val="000000"/>
                <w:sz w:val="16"/>
                <w:szCs w:val="16"/>
                <w:lang w:val="en-GB"/>
              </w:rPr>
            </w:pPr>
            <w:r w:rsidRPr="00A66F03">
              <w:rPr>
                <w:rFonts w:ascii="Calibri" w:eastAsia="Times New Roman" w:hAnsi="Calibri" w:cs="Calibri"/>
                <w:color w:val="000000"/>
                <w:sz w:val="16"/>
                <w:szCs w:val="16"/>
                <w:lang w:val="en-GB"/>
              </w:rPr>
              <w:t>ERDF</w:t>
            </w:r>
          </w:p>
        </w:tc>
        <w:tc>
          <w:tcPr>
            <w:tcW w:w="960" w:type="dxa"/>
            <w:tcBorders>
              <w:top w:val="nil"/>
              <w:left w:val="nil"/>
              <w:bottom w:val="single" w:sz="8" w:space="0" w:color="auto"/>
              <w:right w:val="single" w:sz="8" w:space="0" w:color="auto"/>
            </w:tcBorders>
            <w:shd w:val="clear" w:color="auto" w:fill="auto"/>
            <w:vAlign w:val="center"/>
            <w:hideMark/>
          </w:tcPr>
          <w:p w14:paraId="1584CCAA" w14:textId="77777777" w:rsidR="00DA4369" w:rsidRPr="00A66F03" w:rsidRDefault="00976636" w:rsidP="00CF4DEE">
            <w:pPr>
              <w:spacing w:after="0" w:line="240" w:lineRule="auto"/>
              <w:rPr>
                <w:rFonts w:ascii="Calibri" w:eastAsia="Times New Roman" w:hAnsi="Calibri" w:cs="Calibri"/>
                <w:color w:val="000000"/>
                <w:sz w:val="16"/>
                <w:szCs w:val="16"/>
                <w:lang w:val="en-GB"/>
              </w:rPr>
            </w:pPr>
            <w:r w:rsidRPr="00A66F03">
              <w:rPr>
                <w:rFonts w:ascii="Calibri" w:eastAsia="Times New Roman" w:hAnsi="Calibri" w:cs="Calibri"/>
                <w:color w:val="000000"/>
                <w:sz w:val="16"/>
                <w:szCs w:val="16"/>
                <w:lang w:val="en-GB"/>
              </w:rPr>
              <w:t>More developed</w:t>
            </w:r>
          </w:p>
        </w:tc>
        <w:tc>
          <w:tcPr>
            <w:tcW w:w="1420" w:type="dxa"/>
            <w:tcBorders>
              <w:top w:val="nil"/>
              <w:left w:val="nil"/>
              <w:bottom w:val="single" w:sz="8" w:space="0" w:color="auto"/>
              <w:right w:val="single" w:sz="8" w:space="0" w:color="auto"/>
            </w:tcBorders>
            <w:shd w:val="clear" w:color="auto" w:fill="auto"/>
            <w:vAlign w:val="center"/>
            <w:hideMark/>
          </w:tcPr>
          <w:p w14:paraId="22AC6363" w14:textId="77777777" w:rsidR="00DA4369" w:rsidRPr="00A66F03" w:rsidRDefault="00976636" w:rsidP="00CF4DEE">
            <w:pPr>
              <w:spacing w:after="0" w:line="240" w:lineRule="auto"/>
              <w:jc w:val="right"/>
              <w:rPr>
                <w:rFonts w:ascii="Calibri" w:eastAsia="Times New Roman" w:hAnsi="Calibri" w:cs="Calibri"/>
                <w:color w:val="000000"/>
                <w:sz w:val="16"/>
                <w:szCs w:val="16"/>
                <w:lang w:val="en-GB"/>
              </w:rPr>
            </w:pPr>
            <w:r w:rsidRPr="00A66F03">
              <w:rPr>
                <w:rFonts w:ascii="Calibri" w:eastAsia="Times New Roman" w:hAnsi="Calibri" w:cs="Calibri"/>
                <w:color w:val="000000"/>
                <w:sz w:val="16"/>
                <w:szCs w:val="16"/>
                <w:lang w:val="en-GB"/>
              </w:rPr>
              <w:t xml:space="preserve">           370,648,766   </w:t>
            </w:r>
          </w:p>
        </w:tc>
        <w:tc>
          <w:tcPr>
            <w:tcW w:w="1420" w:type="dxa"/>
            <w:tcBorders>
              <w:top w:val="nil"/>
              <w:left w:val="nil"/>
              <w:bottom w:val="single" w:sz="8" w:space="0" w:color="auto"/>
              <w:right w:val="single" w:sz="8" w:space="0" w:color="auto"/>
            </w:tcBorders>
            <w:shd w:val="clear" w:color="auto" w:fill="auto"/>
            <w:vAlign w:val="center"/>
            <w:hideMark/>
          </w:tcPr>
          <w:p w14:paraId="4A6D8755" w14:textId="77777777" w:rsidR="00DA4369" w:rsidRPr="00A66F03" w:rsidRDefault="00976636" w:rsidP="00CF4DEE">
            <w:pPr>
              <w:spacing w:after="0" w:line="240" w:lineRule="auto"/>
              <w:jc w:val="right"/>
              <w:rPr>
                <w:rFonts w:ascii="Calibri" w:eastAsia="Times New Roman" w:hAnsi="Calibri" w:cs="Calibri"/>
                <w:color w:val="000000"/>
                <w:sz w:val="16"/>
                <w:szCs w:val="16"/>
                <w:lang w:val="en-GB"/>
              </w:rPr>
            </w:pPr>
            <w:r w:rsidRPr="00A66F03">
              <w:rPr>
                <w:rFonts w:ascii="Calibri" w:eastAsia="Times New Roman" w:hAnsi="Calibri" w:cs="Calibri"/>
                <w:color w:val="000000"/>
                <w:sz w:val="16"/>
                <w:szCs w:val="16"/>
                <w:lang w:val="en-GB"/>
              </w:rPr>
              <w:t xml:space="preserve">              12,972,706   </w:t>
            </w:r>
          </w:p>
        </w:tc>
        <w:tc>
          <w:tcPr>
            <w:tcW w:w="1420" w:type="dxa"/>
            <w:tcBorders>
              <w:top w:val="nil"/>
              <w:left w:val="nil"/>
              <w:bottom w:val="single" w:sz="8" w:space="0" w:color="auto"/>
              <w:right w:val="single" w:sz="8" w:space="0" w:color="auto"/>
            </w:tcBorders>
            <w:shd w:val="clear" w:color="auto" w:fill="auto"/>
            <w:vAlign w:val="center"/>
            <w:hideMark/>
          </w:tcPr>
          <w:p w14:paraId="66EDB4D3" w14:textId="77777777" w:rsidR="00DA4369" w:rsidRPr="00A66F03" w:rsidRDefault="00976636" w:rsidP="00CF4DEE">
            <w:pPr>
              <w:spacing w:after="0" w:line="240" w:lineRule="auto"/>
              <w:jc w:val="right"/>
              <w:rPr>
                <w:rFonts w:ascii="Calibri" w:eastAsia="Times New Roman" w:hAnsi="Calibri" w:cs="Calibri"/>
                <w:color w:val="000000"/>
                <w:sz w:val="16"/>
                <w:szCs w:val="16"/>
                <w:lang w:val="en-GB"/>
              </w:rPr>
            </w:pPr>
            <w:r w:rsidRPr="00A66F03">
              <w:rPr>
                <w:rFonts w:ascii="Calibri" w:eastAsia="Times New Roman" w:hAnsi="Calibri" w:cs="Calibri"/>
                <w:color w:val="000000"/>
                <w:sz w:val="16"/>
                <w:szCs w:val="16"/>
                <w:lang w:val="en-GB"/>
              </w:rPr>
              <w:t xml:space="preserve">           575,432,208   </w:t>
            </w:r>
          </w:p>
        </w:tc>
        <w:tc>
          <w:tcPr>
            <w:tcW w:w="1420" w:type="dxa"/>
            <w:tcBorders>
              <w:top w:val="nil"/>
              <w:left w:val="nil"/>
              <w:bottom w:val="single" w:sz="8" w:space="0" w:color="auto"/>
              <w:right w:val="single" w:sz="8" w:space="0" w:color="auto"/>
            </w:tcBorders>
            <w:shd w:val="clear" w:color="auto" w:fill="auto"/>
            <w:vAlign w:val="center"/>
            <w:hideMark/>
          </w:tcPr>
          <w:p w14:paraId="483EE08A" w14:textId="77777777" w:rsidR="00DA4369" w:rsidRPr="00A66F03" w:rsidRDefault="00976636" w:rsidP="00CF4DEE">
            <w:pPr>
              <w:spacing w:after="0" w:line="240" w:lineRule="auto"/>
              <w:jc w:val="right"/>
              <w:rPr>
                <w:rFonts w:ascii="Calibri" w:eastAsia="Times New Roman" w:hAnsi="Calibri" w:cs="Calibri"/>
                <w:color w:val="000000"/>
                <w:sz w:val="16"/>
                <w:szCs w:val="16"/>
                <w:lang w:val="en-GB"/>
              </w:rPr>
            </w:pPr>
            <w:r w:rsidRPr="00A66F03">
              <w:rPr>
                <w:rFonts w:ascii="Calibri" w:eastAsia="Times New Roman" w:hAnsi="Calibri" w:cs="Calibri"/>
                <w:color w:val="000000"/>
                <w:sz w:val="16"/>
                <w:szCs w:val="16"/>
                <w:lang w:val="en-GB"/>
              </w:rPr>
              <w:t xml:space="preserve">           959,053,680   </w:t>
            </w:r>
          </w:p>
        </w:tc>
      </w:tr>
      <w:tr w:rsidR="00143DBE" w:rsidRPr="00A66F03" w14:paraId="3E01EFF2" w14:textId="77777777" w:rsidTr="00874C8B">
        <w:tc>
          <w:tcPr>
            <w:tcW w:w="1680" w:type="dxa"/>
            <w:vMerge/>
            <w:tcBorders>
              <w:top w:val="nil"/>
              <w:left w:val="single" w:sz="8" w:space="0" w:color="auto"/>
              <w:bottom w:val="single" w:sz="8" w:space="0" w:color="000000"/>
              <w:right w:val="single" w:sz="8" w:space="0" w:color="auto"/>
            </w:tcBorders>
            <w:vAlign w:val="center"/>
            <w:hideMark/>
          </w:tcPr>
          <w:p w14:paraId="32D507E7" w14:textId="77777777" w:rsidR="00DA4369" w:rsidRPr="00A66F03" w:rsidRDefault="00DA4369" w:rsidP="00CF4DEE">
            <w:pPr>
              <w:spacing w:after="0" w:line="240" w:lineRule="auto"/>
              <w:rPr>
                <w:rFonts w:ascii="Calibri" w:eastAsia="Times New Roman" w:hAnsi="Calibri" w:cs="Calibri"/>
                <w:color w:val="000000"/>
                <w:sz w:val="16"/>
                <w:szCs w:val="16"/>
                <w:lang w:val="en-GB"/>
              </w:rPr>
            </w:pPr>
          </w:p>
        </w:tc>
        <w:tc>
          <w:tcPr>
            <w:tcW w:w="960" w:type="dxa"/>
            <w:vMerge/>
            <w:tcBorders>
              <w:top w:val="nil"/>
              <w:left w:val="single" w:sz="8" w:space="0" w:color="auto"/>
              <w:bottom w:val="single" w:sz="8" w:space="0" w:color="000000"/>
              <w:right w:val="single" w:sz="8" w:space="0" w:color="auto"/>
            </w:tcBorders>
            <w:vAlign w:val="center"/>
            <w:hideMark/>
          </w:tcPr>
          <w:p w14:paraId="319CE503" w14:textId="77777777" w:rsidR="00DA4369" w:rsidRPr="00A66F03" w:rsidRDefault="00DA4369" w:rsidP="00CF4DEE">
            <w:pPr>
              <w:spacing w:after="0" w:line="240" w:lineRule="auto"/>
              <w:rPr>
                <w:rFonts w:ascii="Calibri" w:eastAsia="Times New Roman" w:hAnsi="Calibri" w:cs="Calibri"/>
                <w:color w:val="000000"/>
                <w:sz w:val="16"/>
                <w:szCs w:val="16"/>
                <w:lang w:val="en-GB"/>
              </w:rPr>
            </w:pPr>
          </w:p>
        </w:tc>
        <w:tc>
          <w:tcPr>
            <w:tcW w:w="960" w:type="dxa"/>
            <w:tcBorders>
              <w:top w:val="nil"/>
              <w:left w:val="nil"/>
              <w:bottom w:val="single" w:sz="8" w:space="0" w:color="auto"/>
              <w:right w:val="single" w:sz="8" w:space="0" w:color="auto"/>
            </w:tcBorders>
            <w:shd w:val="clear" w:color="auto" w:fill="auto"/>
            <w:vAlign w:val="center"/>
            <w:hideMark/>
          </w:tcPr>
          <w:p w14:paraId="6B0A717D" w14:textId="77777777" w:rsidR="00DA4369" w:rsidRPr="00A66F03" w:rsidRDefault="00976636" w:rsidP="00CF4DEE">
            <w:pPr>
              <w:spacing w:after="0" w:line="240" w:lineRule="auto"/>
              <w:rPr>
                <w:rFonts w:ascii="Calibri" w:eastAsia="Times New Roman" w:hAnsi="Calibri" w:cs="Calibri"/>
                <w:color w:val="000000"/>
                <w:sz w:val="16"/>
                <w:szCs w:val="16"/>
                <w:lang w:val="en-GB"/>
              </w:rPr>
            </w:pPr>
            <w:r w:rsidRPr="00A66F03">
              <w:rPr>
                <w:rFonts w:ascii="Calibri" w:eastAsia="Times New Roman" w:hAnsi="Calibri" w:cs="Calibri"/>
                <w:color w:val="000000"/>
                <w:sz w:val="16"/>
                <w:szCs w:val="16"/>
                <w:lang w:val="en-GB"/>
              </w:rPr>
              <w:t>Less developed</w:t>
            </w:r>
          </w:p>
        </w:tc>
        <w:tc>
          <w:tcPr>
            <w:tcW w:w="1420" w:type="dxa"/>
            <w:tcBorders>
              <w:top w:val="nil"/>
              <w:left w:val="nil"/>
              <w:bottom w:val="single" w:sz="8" w:space="0" w:color="auto"/>
              <w:right w:val="single" w:sz="8" w:space="0" w:color="auto"/>
            </w:tcBorders>
            <w:shd w:val="clear" w:color="auto" w:fill="auto"/>
            <w:vAlign w:val="center"/>
            <w:hideMark/>
          </w:tcPr>
          <w:p w14:paraId="0AB0BA9B" w14:textId="77777777" w:rsidR="00DA4369" w:rsidRPr="00A66F03" w:rsidRDefault="00976636" w:rsidP="00CF4DEE">
            <w:pPr>
              <w:spacing w:after="0" w:line="240" w:lineRule="auto"/>
              <w:jc w:val="right"/>
              <w:rPr>
                <w:rFonts w:ascii="Calibri" w:eastAsia="Times New Roman" w:hAnsi="Calibri" w:cs="Calibri"/>
                <w:color w:val="000000"/>
                <w:sz w:val="16"/>
                <w:szCs w:val="16"/>
                <w:lang w:val="en-GB"/>
              </w:rPr>
            </w:pPr>
            <w:r w:rsidRPr="00A66F03">
              <w:rPr>
                <w:rFonts w:ascii="Calibri" w:eastAsia="Times New Roman" w:hAnsi="Calibri" w:cs="Calibri"/>
                <w:color w:val="000000"/>
                <w:sz w:val="16"/>
                <w:szCs w:val="16"/>
                <w:lang w:val="en-GB"/>
              </w:rPr>
              <w:t xml:space="preserve">       1,175,037,517   </w:t>
            </w:r>
          </w:p>
        </w:tc>
        <w:tc>
          <w:tcPr>
            <w:tcW w:w="1420" w:type="dxa"/>
            <w:tcBorders>
              <w:top w:val="nil"/>
              <w:left w:val="nil"/>
              <w:bottom w:val="single" w:sz="8" w:space="0" w:color="auto"/>
              <w:right w:val="single" w:sz="8" w:space="0" w:color="auto"/>
            </w:tcBorders>
            <w:shd w:val="clear" w:color="auto" w:fill="auto"/>
            <w:vAlign w:val="center"/>
            <w:hideMark/>
          </w:tcPr>
          <w:p w14:paraId="38F378E4" w14:textId="77777777" w:rsidR="00DA4369" w:rsidRPr="00A66F03" w:rsidRDefault="00976636" w:rsidP="00CF4DEE">
            <w:pPr>
              <w:spacing w:after="0" w:line="240" w:lineRule="auto"/>
              <w:jc w:val="right"/>
              <w:rPr>
                <w:rFonts w:ascii="Calibri" w:eastAsia="Times New Roman" w:hAnsi="Calibri" w:cs="Calibri"/>
                <w:color w:val="000000"/>
                <w:sz w:val="16"/>
                <w:szCs w:val="16"/>
                <w:lang w:val="en-GB"/>
              </w:rPr>
            </w:pPr>
            <w:r w:rsidRPr="00A66F03">
              <w:rPr>
                <w:rFonts w:ascii="Calibri" w:eastAsia="Times New Roman" w:hAnsi="Calibri" w:cs="Calibri"/>
                <w:color w:val="000000"/>
                <w:sz w:val="16"/>
                <w:szCs w:val="16"/>
                <w:lang w:val="en-GB"/>
              </w:rPr>
              <w:t xml:space="preserve">              41,126,313   </w:t>
            </w:r>
          </w:p>
        </w:tc>
        <w:tc>
          <w:tcPr>
            <w:tcW w:w="1420" w:type="dxa"/>
            <w:tcBorders>
              <w:top w:val="nil"/>
              <w:left w:val="nil"/>
              <w:bottom w:val="single" w:sz="8" w:space="0" w:color="auto"/>
              <w:right w:val="single" w:sz="8" w:space="0" w:color="auto"/>
            </w:tcBorders>
            <w:shd w:val="clear" w:color="auto" w:fill="auto"/>
            <w:vAlign w:val="center"/>
            <w:hideMark/>
          </w:tcPr>
          <w:p w14:paraId="6F719F96" w14:textId="77777777" w:rsidR="00DA4369" w:rsidRPr="00A66F03" w:rsidRDefault="00976636" w:rsidP="00CF4DEE">
            <w:pPr>
              <w:spacing w:after="0" w:line="240" w:lineRule="auto"/>
              <w:jc w:val="right"/>
              <w:rPr>
                <w:rFonts w:ascii="Calibri" w:eastAsia="Times New Roman" w:hAnsi="Calibri" w:cs="Calibri"/>
                <w:color w:val="000000"/>
                <w:sz w:val="16"/>
                <w:szCs w:val="16"/>
                <w:lang w:val="en-GB"/>
              </w:rPr>
            </w:pPr>
            <w:r w:rsidRPr="00A66F03">
              <w:rPr>
                <w:rFonts w:ascii="Calibri" w:eastAsia="Times New Roman" w:hAnsi="Calibri" w:cs="Calibri"/>
                <w:color w:val="000000"/>
                <w:sz w:val="16"/>
                <w:szCs w:val="16"/>
                <w:lang w:val="en-GB"/>
              </w:rPr>
              <w:t xml:space="preserve">           214,617,146   </w:t>
            </w:r>
          </w:p>
        </w:tc>
        <w:tc>
          <w:tcPr>
            <w:tcW w:w="1420" w:type="dxa"/>
            <w:tcBorders>
              <w:top w:val="nil"/>
              <w:left w:val="nil"/>
              <w:bottom w:val="single" w:sz="8" w:space="0" w:color="auto"/>
              <w:right w:val="single" w:sz="8" w:space="0" w:color="auto"/>
            </w:tcBorders>
            <w:shd w:val="clear" w:color="auto" w:fill="auto"/>
            <w:vAlign w:val="center"/>
            <w:hideMark/>
          </w:tcPr>
          <w:p w14:paraId="750438BF" w14:textId="77777777" w:rsidR="00DA4369" w:rsidRPr="00A66F03" w:rsidRDefault="00976636" w:rsidP="00CF4DEE">
            <w:pPr>
              <w:spacing w:after="0" w:line="240" w:lineRule="auto"/>
              <w:jc w:val="right"/>
              <w:rPr>
                <w:rFonts w:ascii="Calibri" w:eastAsia="Times New Roman" w:hAnsi="Calibri" w:cs="Calibri"/>
                <w:color w:val="000000"/>
                <w:sz w:val="16"/>
                <w:szCs w:val="16"/>
                <w:lang w:val="en-GB"/>
              </w:rPr>
            </w:pPr>
            <w:r w:rsidRPr="00A66F03">
              <w:rPr>
                <w:rFonts w:ascii="Calibri" w:eastAsia="Times New Roman" w:hAnsi="Calibri" w:cs="Calibri"/>
                <w:color w:val="000000"/>
                <w:sz w:val="16"/>
                <w:szCs w:val="16"/>
                <w:lang w:val="en-GB"/>
              </w:rPr>
              <w:t xml:space="preserve">       1,430,780,976   </w:t>
            </w:r>
          </w:p>
        </w:tc>
      </w:tr>
      <w:tr w:rsidR="00143DBE" w:rsidRPr="00A66F03" w14:paraId="08B9FFF0" w14:textId="77777777" w:rsidTr="00874C8B">
        <w:tc>
          <w:tcPr>
            <w:tcW w:w="1680" w:type="dxa"/>
            <w:vMerge/>
            <w:tcBorders>
              <w:top w:val="nil"/>
              <w:left w:val="single" w:sz="8" w:space="0" w:color="auto"/>
              <w:bottom w:val="single" w:sz="8" w:space="0" w:color="000000"/>
              <w:right w:val="single" w:sz="8" w:space="0" w:color="auto"/>
            </w:tcBorders>
            <w:vAlign w:val="center"/>
            <w:hideMark/>
          </w:tcPr>
          <w:p w14:paraId="6B5EFACB" w14:textId="77777777" w:rsidR="00DA4369" w:rsidRPr="00A66F03" w:rsidRDefault="00DA4369" w:rsidP="00CF4DEE">
            <w:pPr>
              <w:spacing w:after="0" w:line="240" w:lineRule="auto"/>
              <w:rPr>
                <w:rFonts w:ascii="Calibri" w:eastAsia="Times New Roman" w:hAnsi="Calibri" w:cs="Calibri"/>
                <w:color w:val="000000"/>
                <w:sz w:val="16"/>
                <w:szCs w:val="16"/>
                <w:lang w:val="en-GB"/>
              </w:rPr>
            </w:pP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35C81C75" w14:textId="77777777" w:rsidR="00DA4369" w:rsidRPr="00A66F03" w:rsidRDefault="00976636" w:rsidP="00CF4DEE">
            <w:pPr>
              <w:spacing w:after="0" w:line="240" w:lineRule="auto"/>
              <w:rPr>
                <w:rFonts w:ascii="Calibri" w:eastAsia="Times New Roman" w:hAnsi="Calibri" w:cs="Calibri"/>
                <w:color w:val="000000"/>
                <w:sz w:val="16"/>
                <w:szCs w:val="16"/>
                <w:lang w:val="en-GB"/>
              </w:rPr>
            </w:pPr>
            <w:r w:rsidRPr="00A66F03">
              <w:rPr>
                <w:rFonts w:ascii="Calibri" w:eastAsia="Times New Roman" w:hAnsi="Calibri" w:cs="Calibri"/>
                <w:color w:val="000000"/>
                <w:sz w:val="16"/>
                <w:szCs w:val="16"/>
                <w:lang w:val="en-GB"/>
              </w:rPr>
              <w:t>ESF+</w:t>
            </w:r>
          </w:p>
        </w:tc>
        <w:tc>
          <w:tcPr>
            <w:tcW w:w="960" w:type="dxa"/>
            <w:tcBorders>
              <w:top w:val="nil"/>
              <w:left w:val="nil"/>
              <w:bottom w:val="single" w:sz="8" w:space="0" w:color="auto"/>
              <w:right w:val="single" w:sz="8" w:space="0" w:color="auto"/>
            </w:tcBorders>
            <w:shd w:val="clear" w:color="auto" w:fill="auto"/>
            <w:vAlign w:val="center"/>
            <w:hideMark/>
          </w:tcPr>
          <w:p w14:paraId="58F87EC2" w14:textId="77777777" w:rsidR="00DA4369" w:rsidRPr="00A66F03" w:rsidRDefault="00976636" w:rsidP="00CF4DEE">
            <w:pPr>
              <w:spacing w:after="0" w:line="240" w:lineRule="auto"/>
              <w:rPr>
                <w:rFonts w:ascii="Calibri" w:eastAsia="Times New Roman" w:hAnsi="Calibri" w:cs="Calibri"/>
                <w:color w:val="000000"/>
                <w:sz w:val="16"/>
                <w:szCs w:val="16"/>
                <w:lang w:val="en-GB"/>
              </w:rPr>
            </w:pPr>
            <w:r w:rsidRPr="00A66F03">
              <w:rPr>
                <w:rFonts w:ascii="Calibri" w:eastAsia="Times New Roman" w:hAnsi="Calibri" w:cs="Calibri"/>
                <w:color w:val="000000"/>
                <w:sz w:val="16"/>
                <w:szCs w:val="16"/>
                <w:lang w:val="en-GB"/>
              </w:rPr>
              <w:t>More developed</w:t>
            </w:r>
          </w:p>
        </w:tc>
        <w:tc>
          <w:tcPr>
            <w:tcW w:w="1420" w:type="dxa"/>
            <w:tcBorders>
              <w:top w:val="nil"/>
              <w:left w:val="nil"/>
              <w:bottom w:val="single" w:sz="8" w:space="0" w:color="auto"/>
              <w:right w:val="single" w:sz="8" w:space="0" w:color="auto"/>
            </w:tcBorders>
            <w:shd w:val="clear" w:color="auto" w:fill="auto"/>
            <w:vAlign w:val="center"/>
            <w:hideMark/>
          </w:tcPr>
          <w:p w14:paraId="5023B28A" w14:textId="77777777" w:rsidR="00DA4369" w:rsidRPr="00A66F03" w:rsidRDefault="00976636" w:rsidP="00CF4DEE">
            <w:pPr>
              <w:spacing w:after="0" w:line="240" w:lineRule="auto"/>
              <w:jc w:val="right"/>
              <w:rPr>
                <w:rFonts w:ascii="Calibri" w:eastAsia="Times New Roman" w:hAnsi="Calibri" w:cs="Calibri"/>
                <w:color w:val="000000"/>
                <w:sz w:val="16"/>
                <w:szCs w:val="16"/>
                <w:lang w:val="en-GB"/>
              </w:rPr>
            </w:pPr>
            <w:r w:rsidRPr="00A66F03">
              <w:rPr>
                <w:rFonts w:ascii="Calibri" w:eastAsia="Times New Roman" w:hAnsi="Calibri" w:cs="Calibri"/>
                <w:color w:val="000000"/>
                <w:sz w:val="16"/>
                <w:szCs w:val="16"/>
                <w:lang w:val="en-GB"/>
              </w:rPr>
              <w:t xml:space="preserve">           142,107,283   </w:t>
            </w:r>
          </w:p>
        </w:tc>
        <w:tc>
          <w:tcPr>
            <w:tcW w:w="1420" w:type="dxa"/>
            <w:tcBorders>
              <w:top w:val="nil"/>
              <w:left w:val="nil"/>
              <w:bottom w:val="single" w:sz="8" w:space="0" w:color="auto"/>
              <w:right w:val="single" w:sz="8" w:space="0" w:color="auto"/>
            </w:tcBorders>
            <w:shd w:val="clear" w:color="auto" w:fill="auto"/>
            <w:vAlign w:val="center"/>
            <w:hideMark/>
          </w:tcPr>
          <w:p w14:paraId="04853EB7" w14:textId="77777777" w:rsidR="00DA4369" w:rsidRPr="00A66F03" w:rsidRDefault="00976636" w:rsidP="00CF4DEE">
            <w:pPr>
              <w:spacing w:after="0" w:line="240" w:lineRule="auto"/>
              <w:jc w:val="right"/>
              <w:rPr>
                <w:rFonts w:ascii="Calibri" w:eastAsia="Times New Roman" w:hAnsi="Calibri" w:cs="Calibri"/>
                <w:color w:val="000000"/>
                <w:sz w:val="16"/>
                <w:szCs w:val="16"/>
                <w:lang w:val="en-GB"/>
              </w:rPr>
            </w:pPr>
            <w:r w:rsidRPr="00A66F03">
              <w:rPr>
                <w:rFonts w:ascii="Calibri" w:eastAsia="Times New Roman" w:hAnsi="Calibri" w:cs="Calibri"/>
                <w:color w:val="000000"/>
                <w:sz w:val="16"/>
                <w:szCs w:val="16"/>
                <w:lang w:val="en-GB"/>
              </w:rPr>
              <w:t xml:space="preserve">                 5,684,291   </w:t>
            </w:r>
          </w:p>
        </w:tc>
        <w:tc>
          <w:tcPr>
            <w:tcW w:w="1420" w:type="dxa"/>
            <w:tcBorders>
              <w:top w:val="nil"/>
              <w:left w:val="nil"/>
              <w:bottom w:val="single" w:sz="8" w:space="0" w:color="auto"/>
              <w:right w:val="single" w:sz="8" w:space="0" w:color="auto"/>
            </w:tcBorders>
            <w:shd w:val="clear" w:color="auto" w:fill="auto"/>
            <w:vAlign w:val="center"/>
            <w:hideMark/>
          </w:tcPr>
          <w:p w14:paraId="06C39926" w14:textId="77777777" w:rsidR="00DA4369" w:rsidRPr="00A66F03" w:rsidRDefault="00976636" w:rsidP="00CF4DEE">
            <w:pPr>
              <w:spacing w:after="0" w:line="240" w:lineRule="auto"/>
              <w:jc w:val="right"/>
              <w:rPr>
                <w:rFonts w:ascii="Calibri" w:eastAsia="Times New Roman" w:hAnsi="Calibri" w:cs="Calibri"/>
                <w:color w:val="000000"/>
                <w:sz w:val="16"/>
                <w:szCs w:val="16"/>
                <w:lang w:val="en-GB"/>
              </w:rPr>
            </w:pPr>
            <w:r w:rsidRPr="00A66F03">
              <w:rPr>
                <w:rFonts w:ascii="Calibri" w:eastAsia="Times New Roman" w:hAnsi="Calibri" w:cs="Calibri"/>
                <w:color w:val="000000"/>
                <w:sz w:val="16"/>
                <w:szCs w:val="16"/>
                <w:lang w:val="en-GB"/>
              </w:rPr>
              <w:t xml:space="preserve">           221,687,361   </w:t>
            </w:r>
          </w:p>
        </w:tc>
        <w:tc>
          <w:tcPr>
            <w:tcW w:w="1420" w:type="dxa"/>
            <w:tcBorders>
              <w:top w:val="nil"/>
              <w:left w:val="nil"/>
              <w:bottom w:val="single" w:sz="8" w:space="0" w:color="auto"/>
              <w:right w:val="single" w:sz="8" w:space="0" w:color="auto"/>
            </w:tcBorders>
            <w:shd w:val="clear" w:color="auto" w:fill="auto"/>
            <w:vAlign w:val="center"/>
            <w:hideMark/>
          </w:tcPr>
          <w:p w14:paraId="18D6EFCB" w14:textId="77777777" w:rsidR="00DA4369" w:rsidRPr="00A66F03" w:rsidRDefault="00976636" w:rsidP="00CF4DEE">
            <w:pPr>
              <w:spacing w:after="0" w:line="240" w:lineRule="auto"/>
              <w:jc w:val="right"/>
              <w:rPr>
                <w:rFonts w:ascii="Calibri" w:eastAsia="Times New Roman" w:hAnsi="Calibri" w:cs="Calibri"/>
                <w:color w:val="000000"/>
                <w:sz w:val="16"/>
                <w:szCs w:val="16"/>
                <w:lang w:val="en-GB"/>
              </w:rPr>
            </w:pPr>
            <w:r w:rsidRPr="00A66F03">
              <w:rPr>
                <w:rFonts w:ascii="Calibri" w:eastAsia="Times New Roman" w:hAnsi="Calibri" w:cs="Calibri"/>
                <w:color w:val="000000"/>
                <w:sz w:val="16"/>
                <w:szCs w:val="16"/>
                <w:lang w:val="en-GB"/>
              </w:rPr>
              <w:t xml:space="preserve">           369,478,935   </w:t>
            </w:r>
          </w:p>
        </w:tc>
      </w:tr>
      <w:tr w:rsidR="00143DBE" w:rsidRPr="00A66F03" w14:paraId="5D2E17AE" w14:textId="77777777" w:rsidTr="00874C8B">
        <w:tc>
          <w:tcPr>
            <w:tcW w:w="1680" w:type="dxa"/>
            <w:vMerge/>
            <w:tcBorders>
              <w:top w:val="nil"/>
              <w:left w:val="single" w:sz="8" w:space="0" w:color="auto"/>
              <w:bottom w:val="single" w:sz="8" w:space="0" w:color="000000"/>
              <w:right w:val="single" w:sz="8" w:space="0" w:color="auto"/>
            </w:tcBorders>
            <w:vAlign w:val="center"/>
            <w:hideMark/>
          </w:tcPr>
          <w:p w14:paraId="629C4EB6" w14:textId="77777777" w:rsidR="00DA4369" w:rsidRPr="00A66F03" w:rsidRDefault="00DA4369" w:rsidP="00CF4DEE">
            <w:pPr>
              <w:spacing w:after="0" w:line="240" w:lineRule="auto"/>
              <w:rPr>
                <w:rFonts w:ascii="Calibri" w:eastAsia="Times New Roman" w:hAnsi="Calibri" w:cs="Calibri"/>
                <w:color w:val="000000"/>
                <w:sz w:val="16"/>
                <w:szCs w:val="16"/>
                <w:lang w:val="en-GB"/>
              </w:rPr>
            </w:pPr>
          </w:p>
        </w:tc>
        <w:tc>
          <w:tcPr>
            <w:tcW w:w="960" w:type="dxa"/>
            <w:vMerge/>
            <w:tcBorders>
              <w:top w:val="nil"/>
              <w:left w:val="single" w:sz="8" w:space="0" w:color="auto"/>
              <w:bottom w:val="single" w:sz="8" w:space="0" w:color="000000"/>
              <w:right w:val="single" w:sz="8" w:space="0" w:color="auto"/>
            </w:tcBorders>
            <w:vAlign w:val="center"/>
            <w:hideMark/>
          </w:tcPr>
          <w:p w14:paraId="2184829F" w14:textId="77777777" w:rsidR="00DA4369" w:rsidRPr="00A66F03" w:rsidRDefault="00DA4369" w:rsidP="00CF4DEE">
            <w:pPr>
              <w:spacing w:after="0" w:line="240" w:lineRule="auto"/>
              <w:rPr>
                <w:rFonts w:ascii="Calibri" w:eastAsia="Times New Roman" w:hAnsi="Calibri" w:cs="Calibri"/>
                <w:color w:val="000000"/>
                <w:sz w:val="16"/>
                <w:szCs w:val="16"/>
                <w:lang w:val="en-GB"/>
              </w:rPr>
            </w:pPr>
          </w:p>
        </w:tc>
        <w:tc>
          <w:tcPr>
            <w:tcW w:w="960" w:type="dxa"/>
            <w:tcBorders>
              <w:top w:val="nil"/>
              <w:left w:val="nil"/>
              <w:bottom w:val="single" w:sz="8" w:space="0" w:color="auto"/>
              <w:right w:val="single" w:sz="8" w:space="0" w:color="auto"/>
            </w:tcBorders>
            <w:shd w:val="clear" w:color="auto" w:fill="auto"/>
            <w:vAlign w:val="center"/>
            <w:hideMark/>
          </w:tcPr>
          <w:p w14:paraId="7393D3D1" w14:textId="77777777" w:rsidR="00DA4369" w:rsidRPr="00A66F03" w:rsidRDefault="00976636" w:rsidP="00CF4DEE">
            <w:pPr>
              <w:spacing w:after="0" w:line="240" w:lineRule="auto"/>
              <w:rPr>
                <w:rFonts w:ascii="Calibri" w:eastAsia="Times New Roman" w:hAnsi="Calibri" w:cs="Calibri"/>
                <w:color w:val="000000"/>
                <w:sz w:val="16"/>
                <w:szCs w:val="16"/>
                <w:lang w:val="en-GB"/>
              </w:rPr>
            </w:pPr>
            <w:r w:rsidRPr="00A66F03">
              <w:rPr>
                <w:rFonts w:ascii="Calibri" w:eastAsia="Times New Roman" w:hAnsi="Calibri" w:cs="Calibri"/>
                <w:color w:val="000000"/>
                <w:sz w:val="16"/>
                <w:szCs w:val="16"/>
                <w:lang w:val="en-GB"/>
              </w:rPr>
              <w:t>Less developed</w:t>
            </w:r>
          </w:p>
        </w:tc>
        <w:tc>
          <w:tcPr>
            <w:tcW w:w="1420" w:type="dxa"/>
            <w:tcBorders>
              <w:top w:val="nil"/>
              <w:left w:val="nil"/>
              <w:bottom w:val="single" w:sz="8" w:space="0" w:color="auto"/>
              <w:right w:val="single" w:sz="8" w:space="0" w:color="auto"/>
            </w:tcBorders>
            <w:shd w:val="clear" w:color="auto" w:fill="auto"/>
            <w:vAlign w:val="center"/>
            <w:hideMark/>
          </w:tcPr>
          <w:p w14:paraId="0931F2C3" w14:textId="77777777" w:rsidR="00DA4369" w:rsidRPr="00A66F03" w:rsidRDefault="00976636" w:rsidP="00CF4DEE">
            <w:pPr>
              <w:spacing w:after="0" w:line="240" w:lineRule="auto"/>
              <w:jc w:val="right"/>
              <w:rPr>
                <w:rFonts w:ascii="Calibri" w:eastAsia="Times New Roman" w:hAnsi="Calibri" w:cs="Calibri"/>
                <w:color w:val="000000"/>
                <w:sz w:val="16"/>
                <w:szCs w:val="16"/>
                <w:lang w:val="en-GB"/>
              </w:rPr>
            </w:pPr>
            <w:r w:rsidRPr="00A66F03">
              <w:rPr>
                <w:rFonts w:ascii="Calibri" w:eastAsia="Times New Roman" w:hAnsi="Calibri" w:cs="Calibri"/>
                <w:color w:val="000000"/>
                <w:sz w:val="16"/>
                <w:szCs w:val="16"/>
                <w:lang w:val="en-GB"/>
              </w:rPr>
              <w:t xml:space="preserve">           469,397,521   </w:t>
            </w:r>
          </w:p>
        </w:tc>
        <w:tc>
          <w:tcPr>
            <w:tcW w:w="1420" w:type="dxa"/>
            <w:tcBorders>
              <w:top w:val="nil"/>
              <w:left w:val="nil"/>
              <w:bottom w:val="single" w:sz="8" w:space="0" w:color="auto"/>
              <w:right w:val="single" w:sz="8" w:space="0" w:color="auto"/>
            </w:tcBorders>
            <w:shd w:val="clear" w:color="auto" w:fill="auto"/>
            <w:vAlign w:val="center"/>
            <w:hideMark/>
          </w:tcPr>
          <w:p w14:paraId="5C3AE3CD" w14:textId="77777777" w:rsidR="00DA4369" w:rsidRPr="00A66F03" w:rsidRDefault="00976636" w:rsidP="00CF4DEE">
            <w:pPr>
              <w:spacing w:after="0" w:line="240" w:lineRule="auto"/>
              <w:jc w:val="right"/>
              <w:rPr>
                <w:rFonts w:ascii="Calibri" w:eastAsia="Times New Roman" w:hAnsi="Calibri" w:cs="Calibri"/>
                <w:color w:val="000000"/>
                <w:sz w:val="16"/>
                <w:szCs w:val="16"/>
                <w:lang w:val="en-GB"/>
              </w:rPr>
            </w:pPr>
            <w:r w:rsidRPr="00A66F03">
              <w:rPr>
                <w:rFonts w:ascii="Calibri" w:eastAsia="Times New Roman" w:hAnsi="Calibri" w:cs="Calibri"/>
                <w:color w:val="000000"/>
                <w:sz w:val="16"/>
                <w:szCs w:val="16"/>
                <w:lang w:val="en-GB"/>
              </w:rPr>
              <w:t xml:space="preserve">              18,775,900   </w:t>
            </w:r>
          </w:p>
        </w:tc>
        <w:tc>
          <w:tcPr>
            <w:tcW w:w="1420" w:type="dxa"/>
            <w:tcBorders>
              <w:top w:val="nil"/>
              <w:left w:val="nil"/>
              <w:bottom w:val="single" w:sz="8" w:space="0" w:color="auto"/>
              <w:right w:val="single" w:sz="8" w:space="0" w:color="auto"/>
            </w:tcBorders>
            <w:shd w:val="clear" w:color="auto" w:fill="auto"/>
            <w:vAlign w:val="center"/>
            <w:hideMark/>
          </w:tcPr>
          <w:p w14:paraId="5A421BD1" w14:textId="77777777" w:rsidR="00DA4369" w:rsidRPr="00A66F03" w:rsidRDefault="00976636" w:rsidP="00CF4DEE">
            <w:pPr>
              <w:spacing w:after="0" w:line="240" w:lineRule="auto"/>
              <w:jc w:val="right"/>
              <w:rPr>
                <w:rFonts w:ascii="Calibri" w:eastAsia="Times New Roman" w:hAnsi="Calibri" w:cs="Calibri"/>
                <w:color w:val="000000"/>
                <w:sz w:val="16"/>
                <w:szCs w:val="16"/>
                <w:lang w:val="en-GB"/>
              </w:rPr>
            </w:pPr>
            <w:r w:rsidRPr="00A66F03">
              <w:rPr>
                <w:rFonts w:ascii="Calibri" w:eastAsia="Times New Roman" w:hAnsi="Calibri" w:cs="Calibri"/>
                <w:color w:val="000000"/>
                <w:sz w:val="16"/>
                <w:szCs w:val="16"/>
                <w:lang w:val="en-GB"/>
              </w:rPr>
              <w:t xml:space="preserve">              86,148,251   </w:t>
            </w:r>
          </w:p>
        </w:tc>
        <w:tc>
          <w:tcPr>
            <w:tcW w:w="1420" w:type="dxa"/>
            <w:tcBorders>
              <w:top w:val="nil"/>
              <w:left w:val="nil"/>
              <w:bottom w:val="single" w:sz="8" w:space="0" w:color="auto"/>
              <w:right w:val="single" w:sz="8" w:space="0" w:color="auto"/>
            </w:tcBorders>
            <w:shd w:val="clear" w:color="auto" w:fill="auto"/>
            <w:vAlign w:val="center"/>
            <w:hideMark/>
          </w:tcPr>
          <w:p w14:paraId="353213CB" w14:textId="77777777" w:rsidR="00DA4369" w:rsidRPr="00A66F03" w:rsidRDefault="00976636" w:rsidP="00CF4DEE">
            <w:pPr>
              <w:spacing w:after="0" w:line="240" w:lineRule="auto"/>
              <w:jc w:val="right"/>
              <w:rPr>
                <w:rFonts w:ascii="Calibri" w:eastAsia="Times New Roman" w:hAnsi="Calibri" w:cs="Calibri"/>
                <w:color w:val="000000"/>
                <w:sz w:val="16"/>
                <w:szCs w:val="16"/>
                <w:lang w:val="en-GB"/>
              </w:rPr>
            </w:pPr>
            <w:r w:rsidRPr="00A66F03">
              <w:rPr>
                <w:rFonts w:ascii="Calibri" w:eastAsia="Times New Roman" w:hAnsi="Calibri" w:cs="Calibri"/>
                <w:color w:val="000000"/>
                <w:sz w:val="16"/>
                <w:szCs w:val="16"/>
                <w:lang w:val="en-GB"/>
              </w:rPr>
              <w:t xml:space="preserve">           574,321,672   </w:t>
            </w:r>
          </w:p>
        </w:tc>
      </w:tr>
      <w:tr w:rsidR="00143DBE" w:rsidRPr="00A66F03" w14:paraId="08E1570F" w14:textId="77777777" w:rsidTr="00874C8B">
        <w:tc>
          <w:tcPr>
            <w:tcW w:w="1680" w:type="dxa"/>
            <w:vMerge w:val="restart"/>
            <w:tcBorders>
              <w:top w:val="nil"/>
              <w:left w:val="single" w:sz="8" w:space="0" w:color="auto"/>
              <w:bottom w:val="nil"/>
              <w:right w:val="single" w:sz="8" w:space="0" w:color="auto"/>
            </w:tcBorders>
            <w:shd w:val="clear" w:color="auto" w:fill="auto"/>
            <w:vAlign w:val="center"/>
            <w:hideMark/>
          </w:tcPr>
          <w:p w14:paraId="4C4F4C3F" w14:textId="77777777" w:rsidR="00DA4369" w:rsidRPr="00A66F03" w:rsidRDefault="00976636" w:rsidP="00CF4DEE">
            <w:pPr>
              <w:spacing w:after="0" w:line="240" w:lineRule="auto"/>
              <w:rPr>
                <w:rFonts w:ascii="Calibri" w:eastAsia="Times New Roman" w:hAnsi="Calibri" w:cs="Calibri"/>
                <w:color w:val="000000"/>
                <w:sz w:val="16"/>
                <w:szCs w:val="16"/>
                <w:lang w:val="en-GB"/>
              </w:rPr>
            </w:pPr>
            <w:r w:rsidRPr="00A66F03">
              <w:rPr>
                <w:rFonts w:ascii="Calibri" w:eastAsia="Times New Roman" w:hAnsi="Calibri" w:cs="Calibri"/>
                <w:color w:val="000000"/>
                <w:sz w:val="16"/>
                <w:szCs w:val="16"/>
                <w:lang w:val="en-GB"/>
              </w:rPr>
              <w:t>Programme to Eliminate Material Deprivation in Slovenia 2021–2027</w:t>
            </w:r>
          </w:p>
        </w:tc>
        <w:tc>
          <w:tcPr>
            <w:tcW w:w="960" w:type="dxa"/>
            <w:vMerge w:val="restart"/>
            <w:tcBorders>
              <w:top w:val="nil"/>
              <w:left w:val="single" w:sz="8" w:space="0" w:color="auto"/>
              <w:bottom w:val="nil"/>
              <w:right w:val="single" w:sz="8" w:space="0" w:color="auto"/>
            </w:tcBorders>
            <w:shd w:val="clear" w:color="auto" w:fill="auto"/>
            <w:vAlign w:val="center"/>
            <w:hideMark/>
          </w:tcPr>
          <w:p w14:paraId="192CE528" w14:textId="77777777" w:rsidR="00DA4369" w:rsidRPr="00A66F03" w:rsidRDefault="00976636" w:rsidP="00CF4DEE">
            <w:pPr>
              <w:spacing w:after="0" w:line="240" w:lineRule="auto"/>
              <w:rPr>
                <w:rFonts w:ascii="Calibri" w:eastAsia="Times New Roman" w:hAnsi="Calibri" w:cs="Calibri"/>
                <w:color w:val="000000"/>
                <w:sz w:val="16"/>
                <w:szCs w:val="16"/>
                <w:lang w:val="en-GB"/>
              </w:rPr>
            </w:pPr>
            <w:r w:rsidRPr="00A66F03">
              <w:rPr>
                <w:rFonts w:ascii="Calibri" w:eastAsia="Times New Roman" w:hAnsi="Calibri" w:cs="Calibri"/>
                <w:color w:val="000000"/>
                <w:sz w:val="16"/>
                <w:szCs w:val="16"/>
                <w:lang w:val="en-GB"/>
              </w:rPr>
              <w:t>ESF+</w:t>
            </w:r>
          </w:p>
        </w:tc>
        <w:tc>
          <w:tcPr>
            <w:tcW w:w="960" w:type="dxa"/>
            <w:tcBorders>
              <w:top w:val="nil"/>
              <w:left w:val="nil"/>
              <w:bottom w:val="single" w:sz="8" w:space="0" w:color="auto"/>
              <w:right w:val="single" w:sz="8" w:space="0" w:color="auto"/>
            </w:tcBorders>
            <w:shd w:val="clear" w:color="auto" w:fill="auto"/>
            <w:vAlign w:val="center"/>
            <w:hideMark/>
          </w:tcPr>
          <w:p w14:paraId="6A5FE1F5" w14:textId="77777777" w:rsidR="00DA4369" w:rsidRPr="00A66F03" w:rsidRDefault="00976636" w:rsidP="00CF4DEE">
            <w:pPr>
              <w:spacing w:after="0" w:line="240" w:lineRule="auto"/>
              <w:rPr>
                <w:rFonts w:ascii="Calibri" w:eastAsia="Times New Roman" w:hAnsi="Calibri" w:cs="Calibri"/>
                <w:color w:val="000000"/>
                <w:sz w:val="16"/>
                <w:szCs w:val="16"/>
                <w:lang w:val="en-GB"/>
              </w:rPr>
            </w:pPr>
            <w:r w:rsidRPr="00A66F03">
              <w:rPr>
                <w:rFonts w:ascii="Calibri" w:eastAsia="Times New Roman" w:hAnsi="Calibri" w:cs="Calibri"/>
                <w:color w:val="000000"/>
                <w:sz w:val="16"/>
                <w:szCs w:val="16"/>
                <w:lang w:val="en-GB"/>
              </w:rPr>
              <w:t xml:space="preserve">More </w:t>
            </w:r>
            <w:r w:rsidRPr="00A66F03">
              <w:rPr>
                <w:rFonts w:ascii="Calibri" w:eastAsia="Times New Roman" w:hAnsi="Calibri" w:cs="Calibri"/>
                <w:color w:val="000000"/>
                <w:sz w:val="16"/>
                <w:szCs w:val="16"/>
                <w:lang w:val="en-GB"/>
              </w:rPr>
              <w:t>developed</w:t>
            </w:r>
          </w:p>
        </w:tc>
        <w:tc>
          <w:tcPr>
            <w:tcW w:w="1420" w:type="dxa"/>
            <w:tcBorders>
              <w:top w:val="nil"/>
              <w:left w:val="nil"/>
              <w:bottom w:val="single" w:sz="8" w:space="0" w:color="auto"/>
              <w:right w:val="single" w:sz="8" w:space="0" w:color="auto"/>
            </w:tcBorders>
            <w:shd w:val="clear" w:color="auto" w:fill="auto"/>
            <w:vAlign w:val="center"/>
            <w:hideMark/>
          </w:tcPr>
          <w:p w14:paraId="7B6C5735" w14:textId="77777777" w:rsidR="00DA4369" w:rsidRPr="00A66F03" w:rsidRDefault="00976636" w:rsidP="00CF4DEE">
            <w:pPr>
              <w:spacing w:after="0" w:line="240" w:lineRule="auto"/>
              <w:jc w:val="right"/>
              <w:rPr>
                <w:rFonts w:ascii="Calibri" w:eastAsia="Times New Roman" w:hAnsi="Calibri" w:cs="Calibri"/>
                <w:color w:val="000000"/>
                <w:sz w:val="16"/>
                <w:szCs w:val="16"/>
                <w:lang w:val="en-GB"/>
              </w:rPr>
            </w:pPr>
            <w:r w:rsidRPr="00A66F03">
              <w:rPr>
                <w:rFonts w:ascii="Calibri" w:eastAsia="Times New Roman" w:hAnsi="Calibri" w:cs="Calibri"/>
                <w:color w:val="000000"/>
                <w:sz w:val="16"/>
                <w:szCs w:val="16"/>
                <w:lang w:val="en-GB"/>
              </w:rPr>
              <w:t xml:space="preserve"> 11,200,000   </w:t>
            </w:r>
          </w:p>
        </w:tc>
        <w:tc>
          <w:tcPr>
            <w:tcW w:w="1420" w:type="dxa"/>
            <w:tcBorders>
              <w:top w:val="nil"/>
              <w:left w:val="nil"/>
              <w:bottom w:val="single" w:sz="8" w:space="0" w:color="auto"/>
              <w:right w:val="single" w:sz="8" w:space="0" w:color="auto"/>
            </w:tcBorders>
            <w:shd w:val="clear" w:color="auto" w:fill="auto"/>
            <w:vAlign w:val="center"/>
            <w:hideMark/>
          </w:tcPr>
          <w:p w14:paraId="065A78FB" w14:textId="77777777" w:rsidR="00DA4369" w:rsidRPr="00A66F03" w:rsidRDefault="00976636" w:rsidP="00CF4DEE">
            <w:pPr>
              <w:spacing w:after="0" w:line="240" w:lineRule="auto"/>
              <w:jc w:val="right"/>
              <w:rPr>
                <w:rFonts w:ascii="Calibri" w:eastAsia="Times New Roman" w:hAnsi="Calibri" w:cs="Calibri"/>
                <w:color w:val="000000"/>
                <w:sz w:val="16"/>
                <w:szCs w:val="16"/>
                <w:lang w:val="en-GB"/>
              </w:rPr>
            </w:pPr>
            <w:r w:rsidRPr="00A66F03">
              <w:rPr>
                <w:rFonts w:ascii="Calibri" w:eastAsia="Times New Roman" w:hAnsi="Calibri" w:cs="Calibri"/>
                <w:color w:val="000000"/>
                <w:sz w:val="16"/>
                <w:szCs w:val="16"/>
                <w:lang w:val="en-GB"/>
              </w:rPr>
              <w:t xml:space="preserve"> 560,000   </w:t>
            </w:r>
          </w:p>
        </w:tc>
        <w:tc>
          <w:tcPr>
            <w:tcW w:w="1420" w:type="dxa"/>
            <w:tcBorders>
              <w:top w:val="nil"/>
              <w:left w:val="nil"/>
              <w:bottom w:val="single" w:sz="8" w:space="0" w:color="auto"/>
              <w:right w:val="single" w:sz="8" w:space="0" w:color="auto"/>
            </w:tcBorders>
            <w:shd w:val="clear" w:color="auto" w:fill="auto"/>
            <w:vAlign w:val="center"/>
            <w:hideMark/>
          </w:tcPr>
          <w:p w14:paraId="57DFD7E0" w14:textId="77777777" w:rsidR="00DA4369" w:rsidRPr="00A66F03" w:rsidRDefault="00976636" w:rsidP="00CF4DEE">
            <w:pPr>
              <w:spacing w:after="0" w:line="240" w:lineRule="auto"/>
              <w:jc w:val="right"/>
              <w:rPr>
                <w:rFonts w:ascii="Calibri" w:eastAsia="Times New Roman" w:hAnsi="Calibri" w:cs="Calibri"/>
                <w:color w:val="000000"/>
                <w:sz w:val="16"/>
                <w:szCs w:val="16"/>
                <w:lang w:val="en-GB"/>
              </w:rPr>
            </w:pPr>
            <w:r w:rsidRPr="00A66F03">
              <w:rPr>
                <w:rFonts w:ascii="Calibri" w:eastAsia="Times New Roman" w:hAnsi="Calibri" w:cs="Calibri"/>
                <w:color w:val="000000"/>
                <w:sz w:val="16"/>
                <w:szCs w:val="16"/>
                <w:lang w:val="en-GB"/>
              </w:rPr>
              <w:t xml:space="preserve">                 1,306,667   </w:t>
            </w:r>
          </w:p>
        </w:tc>
        <w:tc>
          <w:tcPr>
            <w:tcW w:w="1420" w:type="dxa"/>
            <w:tcBorders>
              <w:top w:val="nil"/>
              <w:left w:val="nil"/>
              <w:bottom w:val="single" w:sz="8" w:space="0" w:color="auto"/>
              <w:right w:val="single" w:sz="8" w:space="0" w:color="auto"/>
            </w:tcBorders>
            <w:shd w:val="clear" w:color="auto" w:fill="auto"/>
            <w:vAlign w:val="center"/>
            <w:hideMark/>
          </w:tcPr>
          <w:p w14:paraId="41698A09" w14:textId="77777777" w:rsidR="00DA4369" w:rsidRPr="00A66F03" w:rsidRDefault="00976636" w:rsidP="00CF4DEE">
            <w:pPr>
              <w:spacing w:after="0" w:line="240" w:lineRule="auto"/>
              <w:jc w:val="right"/>
              <w:rPr>
                <w:rFonts w:ascii="Calibri" w:eastAsia="Times New Roman" w:hAnsi="Calibri" w:cs="Calibri"/>
                <w:color w:val="000000"/>
                <w:sz w:val="16"/>
                <w:szCs w:val="16"/>
                <w:lang w:val="en-GB"/>
              </w:rPr>
            </w:pPr>
            <w:r w:rsidRPr="00A66F03">
              <w:rPr>
                <w:rFonts w:ascii="Calibri" w:eastAsia="Times New Roman" w:hAnsi="Calibri" w:cs="Calibri"/>
                <w:color w:val="000000"/>
                <w:sz w:val="16"/>
                <w:szCs w:val="16"/>
                <w:lang w:val="en-GB"/>
              </w:rPr>
              <w:t xml:space="preserve">              13,066,667   </w:t>
            </w:r>
          </w:p>
        </w:tc>
      </w:tr>
      <w:tr w:rsidR="00143DBE" w:rsidRPr="00A66F03" w14:paraId="17BC41C8" w14:textId="77777777" w:rsidTr="00874C8B">
        <w:tc>
          <w:tcPr>
            <w:tcW w:w="1680" w:type="dxa"/>
            <w:vMerge/>
            <w:tcBorders>
              <w:top w:val="nil"/>
              <w:left w:val="single" w:sz="8" w:space="0" w:color="auto"/>
              <w:bottom w:val="nil"/>
              <w:right w:val="single" w:sz="8" w:space="0" w:color="auto"/>
            </w:tcBorders>
            <w:vAlign w:val="center"/>
            <w:hideMark/>
          </w:tcPr>
          <w:p w14:paraId="47D5A17B" w14:textId="77777777" w:rsidR="00DA4369" w:rsidRPr="00A66F03" w:rsidRDefault="00DA4369" w:rsidP="00CF4DEE">
            <w:pPr>
              <w:spacing w:after="0" w:line="240" w:lineRule="auto"/>
              <w:rPr>
                <w:rFonts w:ascii="Calibri" w:eastAsia="Times New Roman" w:hAnsi="Calibri" w:cs="Calibri"/>
                <w:color w:val="000000"/>
                <w:sz w:val="16"/>
                <w:szCs w:val="16"/>
                <w:lang w:val="en-GB"/>
              </w:rPr>
            </w:pPr>
          </w:p>
        </w:tc>
        <w:tc>
          <w:tcPr>
            <w:tcW w:w="960" w:type="dxa"/>
            <w:vMerge/>
            <w:tcBorders>
              <w:top w:val="nil"/>
              <w:left w:val="single" w:sz="8" w:space="0" w:color="auto"/>
              <w:bottom w:val="nil"/>
              <w:right w:val="single" w:sz="8" w:space="0" w:color="auto"/>
            </w:tcBorders>
            <w:vAlign w:val="center"/>
            <w:hideMark/>
          </w:tcPr>
          <w:p w14:paraId="69A0CD03" w14:textId="77777777" w:rsidR="00DA4369" w:rsidRPr="00A66F03" w:rsidRDefault="00DA4369" w:rsidP="00CF4DEE">
            <w:pPr>
              <w:spacing w:after="0" w:line="240" w:lineRule="auto"/>
              <w:rPr>
                <w:rFonts w:ascii="Calibri" w:eastAsia="Times New Roman" w:hAnsi="Calibri" w:cs="Calibri"/>
                <w:color w:val="000000"/>
                <w:sz w:val="16"/>
                <w:szCs w:val="16"/>
                <w:lang w:val="en-GB"/>
              </w:rPr>
            </w:pPr>
          </w:p>
        </w:tc>
        <w:tc>
          <w:tcPr>
            <w:tcW w:w="960" w:type="dxa"/>
            <w:tcBorders>
              <w:top w:val="nil"/>
              <w:left w:val="nil"/>
              <w:bottom w:val="nil"/>
              <w:right w:val="single" w:sz="8" w:space="0" w:color="auto"/>
            </w:tcBorders>
            <w:shd w:val="clear" w:color="auto" w:fill="auto"/>
            <w:vAlign w:val="center"/>
            <w:hideMark/>
          </w:tcPr>
          <w:p w14:paraId="58E5EA6B" w14:textId="77777777" w:rsidR="00DA4369" w:rsidRPr="00A66F03" w:rsidRDefault="00976636" w:rsidP="00CF4DEE">
            <w:pPr>
              <w:spacing w:after="0" w:line="240" w:lineRule="auto"/>
              <w:rPr>
                <w:rFonts w:ascii="Calibri" w:eastAsia="Times New Roman" w:hAnsi="Calibri" w:cs="Calibri"/>
                <w:color w:val="000000"/>
                <w:sz w:val="16"/>
                <w:szCs w:val="16"/>
                <w:lang w:val="en-GB"/>
              </w:rPr>
            </w:pPr>
            <w:r w:rsidRPr="00A66F03">
              <w:rPr>
                <w:rFonts w:ascii="Calibri" w:eastAsia="Times New Roman" w:hAnsi="Calibri" w:cs="Calibri"/>
                <w:color w:val="000000"/>
                <w:sz w:val="16"/>
                <w:szCs w:val="16"/>
                <w:lang w:val="en-GB"/>
              </w:rPr>
              <w:t>Less developed</w:t>
            </w:r>
          </w:p>
        </w:tc>
        <w:tc>
          <w:tcPr>
            <w:tcW w:w="1420" w:type="dxa"/>
            <w:tcBorders>
              <w:top w:val="nil"/>
              <w:left w:val="nil"/>
              <w:bottom w:val="nil"/>
              <w:right w:val="single" w:sz="8" w:space="0" w:color="auto"/>
            </w:tcBorders>
            <w:shd w:val="clear" w:color="auto" w:fill="auto"/>
            <w:vAlign w:val="center"/>
            <w:hideMark/>
          </w:tcPr>
          <w:p w14:paraId="075EEE28" w14:textId="77777777" w:rsidR="00DA4369" w:rsidRPr="00A66F03" w:rsidRDefault="00976636" w:rsidP="00CF4DEE">
            <w:pPr>
              <w:spacing w:after="0" w:line="240" w:lineRule="auto"/>
              <w:jc w:val="right"/>
              <w:rPr>
                <w:rFonts w:ascii="Calibri" w:eastAsia="Times New Roman" w:hAnsi="Calibri" w:cs="Calibri"/>
                <w:color w:val="000000"/>
                <w:sz w:val="16"/>
                <w:szCs w:val="16"/>
                <w:lang w:val="en-GB"/>
              </w:rPr>
            </w:pPr>
            <w:r w:rsidRPr="00A66F03">
              <w:rPr>
                <w:rFonts w:ascii="Calibri" w:eastAsia="Times New Roman" w:hAnsi="Calibri" w:cs="Calibri"/>
                <w:color w:val="000000"/>
                <w:sz w:val="16"/>
                <w:szCs w:val="16"/>
                <w:lang w:val="en-GB"/>
              </w:rPr>
              <w:t xml:space="preserve"> 16,800,000   </w:t>
            </w:r>
          </w:p>
        </w:tc>
        <w:tc>
          <w:tcPr>
            <w:tcW w:w="1420" w:type="dxa"/>
            <w:tcBorders>
              <w:top w:val="nil"/>
              <w:left w:val="nil"/>
              <w:bottom w:val="nil"/>
              <w:right w:val="single" w:sz="8" w:space="0" w:color="auto"/>
            </w:tcBorders>
            <w:shd w:val="clear" w:color="auto" w:fill="auto"/>
            <w:vAlign w:val="center"/>
            <w:hideMark/>
          </w:tcPr>
          <w:p w14:paraId="5FE31B7E" w14:textId="77777777" w:rsidR="00DA4369" w:rsidRPr="00A66F03" w:rsidRDefault="00976636" w:rsidP="00CF4DEE">
            <w:pPr>
              <w:spacing w:after="0" w:line="240" w:lineRule="auto"/>
              <w:jc w:val="right"/>
              <w:rPr>
                <w:rFonts w:ascii="Calibri" w:eastAsia="Times New Roman" w:hAnsi="Calibri" w:cs="Calibri"/>
                <w:color w:val="000000"/>
                <w:sz w:val="16"/>
                <w:szCs w:val="16"/>
                <w:lang w:val="en-GB"/>
              </w:rPr>
            </w:pPr>
            <w:r w:rsidRPr="00A66F03">
              <w:rPr>
                <w:rFonts w:ascii="Calibri" w:eastAsia="Times New Roman" w:hAnsi="Calibri" w:cs="Calibri"/>
                <w:color w:val="000000"/>
                <w:sz w:val="16"/>
                <w:szCs w:val="16"/>
                <w:lang w:val="en-GB"/>
              </w:rPr>
              <w:t xml:space="preserve"> 840,000   </w:t>
            </w:r>
          </w:p>
        </w:tc>
        <w:tc>
          <w:tcPr>
            <w:tcW w:w="1420" w:type="dxa"/>
            <w:tcBorders>
              <w:top w:val="nil"/>
              <w:left w:val="nil"/>
              <w:bottom w:val="nil"/>
              <w:right w:val="single" w:sz="8" w:space="0" w:color="auto"/>
            </w:tcBorders>
            <w:shd w:val="clear" w:color="auto" w:fill="auto"/>
            <w:vAlign w:val="center"/>
            <w:hideMark/>
          </w:tcPr>
          <w:p w14:paraId="26A29BFF" w14:textId="77777777" w:rsidR="00DA4369" w:rsidRPr="00A66F03" w:rsidRDefault="00976636" w:rsidP="00CF4DEE">
            <w:pPr>
              <w:spacing w:after="0" w:line="240" w:lineRule="auto"/>
              <w:jc w:val="right"/>
              <w:rPr>
                <w:rFonts w:ascii="Calibri" w:eastAsia="Times New Roman" w:hAnsi="Calibri" w:cs="Calibri"/>
                <w:color w:val="000000"/>
                <w:sz w:val="16"/>
                <w:szCs w:val="16"/>
                <w:lang w:val="en-GB"/>
              </w:rPr>
            </w:pPr>
            <w:r w:rsidRPr="00A66F03">
              <w:rPr>
                <w:rFonts w:ascii="Calibri" w:eastAsia="Times New Roman" w:hAnsi="Calibri" w:cs="Calibri"/>
                <w:color w:val="000000"/>
                <w:sz w:val="16"/>
                <w:szCs w:val="16"/>
                <w:lang w:val="en-GB"/>
              </w:rPr>
              <w:t xml:space="preserve">                 1,960,000   </w:t>
            </w:r>
          </w:p>
        </w:tc>
        <w:tc>
          <w:tcPr>
            <w:tcW w:w="1420" w:type="dxa"/>
            <w:tcBorders>
              <w:top w:val="nil"/>
              <w:left w:val="nil"/>
              <w:bottom w:val="nil"/>
              <w:right w:val="single" w:sz="8" w:space="0" w:color="auto"/>
            </w:tcBorders>
            <w:shd w:val="clear" w:color="auto" w:fill="auto"/>
            <w:vAlign w:val="center"/>
            <w:hideMark/>
          </w:tcPr>
          <w:p w14:paraId="47475CB4" w14:textId="77777777" w:rsidR="00DA4369" w:rsidRPr="00A66F03" w:rsidRDefault="00976636" w:rsidP="00CF4DEE">
            <w:pPr>
              <w:spacing w:after="0" w:line="240" w:lineRule="auto"/>
              <w:jc w:val="right"/>
              <w:rPr>
                <w:rFonts w:ascii="Calibri" w:eastAsia="Times New Roman" w:hAnsi="Calibri" w:cs="Calibri"/>
                <w:color w:val="000000"/>
                <w:sz w:val="16"/>
                <w:szCs w:val="16"/>
                <w:lang w:val="en-GB"/>
              </w:rPr>
            </w:pPr>
            <w:r w:rsidRPr="00A66F03">
              <w:rPr>
                <w:rFonts w:ascii="Calibri" w:eastAsia="Times New Roman" w:hAnsi="Calibri" w:cs="Calibri"/>
                <w:color w:val="000000"/>
                <w:sz w:val="16"/>
                <w:szCs w:val="16"/>
                <w:lang w:val="en-GB"/>
              </w:rPr>
              <w:t xml:space="preserve">              19,600,000   </w:t>
            </w:r>
          </w:p>
        </w:tc>
      </w:tr>
      <w:tr w:rsidR="00143DBE" w:rsidRPr="00A66F03" w14:paraId="1AE38466" w14:textId="77777777" w:rsidTr="00874C8B">
        <w:tc>
          <w:tcPr>
            <w:tcW w:w="16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3447B6" w14:textId="77777777" w:rsidR="00DA4369" w:rsidRPr="00A66F03" w:rsidRDefault="00976636" w:rsidP="00CF4DEE">
            <w:pPr>
              <w:spacing w:after="0" w:line="240" w:lineRule="auto"/>
              <w:jc w:val="center"/>
              <w:rPr>
                <w:rFonts w:ascii="Calibri" w:eastAsia="Times New Roman" w:hAnsi="Calibri" w:cs="Calibri"/>
                <w:b/>
                <w:bCs/>
                <w:color w:val="000000"/>
                <w:sz w:val="16"/>
                <w:szCs w:val="16"/>
                <w:lang w:val="en-GB"/>
              </w:rPr>
            </w:pPr>
            <w:r w:rsidRPr="00A66F03">
              <w:rPr>
                <w:rFonts w:ascii="Calibri" w:eastAsia="Times New Roman" w:hAnsi="Calibri" w:cs="Calibri"/>
                <w:b/>
                <w:bCs/>
                <w:color w:val="000000"/>
                <w:sz w:val="16"/>
                <w:szCs w:val="16"/>
                <w:lang w:val="en-GB"/>
              </w:rPr>
              <w:t xml:space="preserve">Total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6CAFD17A" w14:textId="77777777" w:rsidR="00DA4369" w:rsidRPr="00A66F03" w:rsidRDefault="00976636" w:rsidP="00CF4DEE">
            <w:pPr>
              <w:spacing w:after="0" w:line="240" w:lineRule="auto"/>
              <w:jc w:val="center"/>
              <w:rPr>
                <w:rFonts w:ascii="Calibri" w:eastAsia="Times New Roman" w:hAnsi="Calibri" w:cs="Calibri"/>
                <w:b/>
                <w:bCs/>
                <w:color w:val="000000"/>
                <w:sz w:val="16"/>
                <w:szCs w:val="16"/>
                <w:lang w:val="en-GB"/>
              </w:rPr>
            </w:pPr>
            <w:r w:rsidRPr="00A66F03">
              <w:rPr>
                <w:rFonts w:ascii="Calibri" w:eastAsia="Times New Roman" w:hAnsi="Calibri" w:cs="Calibri"/>
                <w:b/>
                <w:bCs/>
                <w:color w:val="000000"/>
                <w:sz w:val="16"/>
                <w:szCs w:val="16"/>
                <w:lang w:val="en-GB"/>
              </w:rPr>
              <w:t>ERDF, CF, ESF+</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300436A6" w14:textId="77777777" w:rsidR="00DA4369" w:rsidRPr="00A66F03" w:rsidRDefault="00976636" w:rsidP="00CF4DEE">
            <w:pPr>
              <w:spacing w:after="0" w:line="240" w:lineRule="auto"/>
              <w:jc w:val="center"/>
              <w:rPr>
                <w:rFonts w:ascii="Calibri" w:eastAsia="Times New Roman" w:hAnsi="Calibri" w:cs="Calibri"/>
                <w:b/>
                <w:bCs/>
                <w:color w:val="000000"/>
                <w:sz w:val="16"/>
                <w:szCs w:val="16"/>
                <w:lang w:val="en-GB"/>
              </w:rPr>
            </w:pPr>
            <w:r w:rsidRPr="00A66F03">
              <w:rPr>
                <w:rFonts w:ascii="Calibri" w:eastAsia="Times New Roman" w:hAnsi="Calibri" w:cs="Calibri"/>
                <w:b/>
                <w:bCs/>
                <w:color w:val="000000"/>
                <w:sz w:val="16"/>
                <w:szCs w:val="16"/>
                <w:lang w:val="en-GB"/>
              </w:rPr>
              <w:t> </w:t>
            </w:r>
          </w:p>
        </w:tc>
        <w:tc>
          <w:tcPr>
            <w:tcW w:w="1420" w:type="dxa"/>
            <w:tcBorders>
              <w:top w:val="single" w:sz="8" w:space="0" w:color="auto"/>
              <w:left w:val="nil"/>
              <w:bottom w:val="single" w:sz="8" w:space="0" w:color="auto"/>
              <w:right w:val="single" w:sz="8" w:space="0" w:color="auto"/>
            </w:tcBorders>
            <w:shd w:val="clear" w:color="auto" w:fill="auto"/>
            <w:vAlign w:val="center"/>
            <w:hideMark/>
          </w:tcPr>
          <w:p w14:paraId="2CB14590" w14:textId="77777777" w:rsidR="00DA4369" w:rsidRPr="00A66F03" w:rsidRDefault="00976636" w:rsidP="00CF4DEE">
            <w:pPr>
              <w:spacing w:after="0" w:line="240" w:lineRule="auto"/>
              <w:jc w:val="right"/>
              <w:rPr>
                <w:rFonts w:ascii="Calibri" w:eastAsia="Times New Roman" w:hAnsi="Calibri" w:cs="Calibri"/>
                <w:b/>
                <w:bCs/>
                <w:color w:val="000000"/>
                <w:sz w:val="16"/>
                <w:szCs w:val="16"/>
                <w:lang w:val="en-GB"/>
              </w:rPr>
            </w:pPr>
            <w:r w:rsidRPr="00A66F03">
              <w:rPr>
                <w:rFonts w:ascii="Calibri" w:eastAsia="Times New Roman" w:hAnsi="Calibri" w:cs="Calibri"/>
                <w:b/>
                <w:bCs/>
                <w:color w:val="000000"/>
                <w:sz w:val="16"/>
                <w:szCs w:val="16"/>
                <w:lang w:val="en-GB"/>
              </w:rPr>
              <w:t xml:space="preserve"> 3,134,640,407   </w:t>
            </w:r>
          </w:p>
        </w:tc>
        <w:tc>
          <w:tcPr>
            <w:tcW w:w="1420" w:type="dxa"/>
            <w:tcBorders>
              <w:top w:val="single" w:sz="8" w:space="0" w:color="auto"/>
              <w:left w:val="nil"/>
              <w:bottom w:val="single" w:sz="8" w:space="0" w:color="auto"/>
              <w:right w:val="single" w:sz="8" w:space="0" w:color="auto"/>
            </w:tcBorders>
            <w:shd w:val="clear" w:color="auto" w:fill="auto"/>
            <w:vAlign w:val="center"/>
            <w:hideMark/>
          </w:tcPr>
          <w:p w14:paraId="27C67530" w14:textId="77777777" w:rsidR="00DA4369" w:rsidRPr="00A66F03" w:rsidRDefault="00976636" w:rsidP="00CF4DEE">
            <w:pPr>
              <w:spacing w:after="0" w:line="240" w:lineRule="auto"/>
              <w:jc w:val="right"/>
              <w:rPr>
                <w:rFonts w:ascii="Calibri" w:eastAsia="Times New Roman" w:hAnsi="Calibri" w:cs="Calibri"/>
                <w:b/>
                <w:bCs/>
                <w:color w:val="000000"/>
                <w:sz w:val="16"/>
                <w:szCs w:val="16"/>
                <w:lang w:val="en-GB"/>
              </w:rPr>
            </w:pPr>
            <w:r w:rsidRPr="00A66F03">
              <w:rPr>
                <w:rFonts w:ascii="Calibri" w:eastAsia="Times New Roman" w:hAnsi="Calibri" w:cs="Calibri"/>
                <w:b/>
                <w:bCs/>
                <w:color w:val="000000"/>
                <w:sz w:val="16"/>
                <w:szCs w:val="16"/>
                <w:lang w:val="en-GB"/>
              </w:rPr>
              <w:t xml:space="preserve"> 107,427,046   </w:t>
            </w:r>
          </w:p>
        </w:tc>
        <w:tc>
          <w:tcPr>
            <w:tcW w:w="1420" w:type="dxa"/>
            <w:tcBorders>
              <w:top w:val="single" w:sz="8" w:space="0" w:color="auto"/>
              <w:left w:val="nil"/>
              <w:bottom w:val="single" w:sz="8" w:space="0" w:color="auto"/>
              <w:right w:val="single" w:sz="8" w:space="0" w:color="auto"/>
            </w:tcBorders>
            <w:shd w:val="clear" w:color="auto" w:fill="auto"/>
            <w:vAlign w:val="center"/>
            <w:hideMark/>
          </w:tcPr>
          <w:p w14:paraId="038A7E0B" w14:textId="77777777" w:rsidR="00DA4369" w:rsidRPr="00A66F03" w:rsidRDefault="00976636" w:rsidP="00CF4DEE">
            <w:pPr>
              <w:spacing w:after="0" w:line="240" w:lineRule="auto"/>
              <w:jc w:val="right"/>
              <w:rPr>
                <w:rFonts w:ascii="Calibri" w:eastAsia="Times New Roman" w:hAnsi="Calibri" w:cs="Calibri"/>
                <w:b/>
                <w:bCs/>
                <w:color w:val="000000"/>
                <w:sz w:val="16"/>
                <w:szCs w:val="16"/>
                <w:lang w:val="en-GB"/>
              </w:rPr>
            </w:pPr>
            <w:r w:rsidRPr="00A66F03">
              <w:rPr>
                <w:rFonts w:ascii="Calibri" w:eastAsia="Times New Roman" w:hAnsi="Calibri" w:cs="Calibri"/>
                <w:b/>
                <w:bCs/>
                <w:color w:val="000000"/>
                <w:sz w:val="16"/>
                <w:szCs w:val="16"/>
                <w:lang w:val="en-GB"/>
              </w:rPr>
              <w:t xml:space="preserve"> 1,273,548,778   </w:t>
            </w:r>
          </w:p>
        </w:tc>
        <w:tc>
          <w:tcPr>
            <w:tcW w:w="1420" w:type="dxa"/>
            <w:tcBorders>
              <w:top w:val="single" w:sz="8" w:space="0" w:color="auto"/>
              <w:left w:val="nil"/>
              <w:bottom w:val="single" w:sz="8" w:space="0" w:color="auto"/>
              <w:right w:val="single" w:sz="8" w:space="0" w:color="auto"/>
            </w:tcBorders>
            <w:shd w:val="clear" w:color="auto" w:fill="auto"/>
            <w:vAlign w:val="center"/>
            <w:hideMark/>
          </w:tcPr>
          <w:p w14:paraId="73122A09" w14:textId="77777777" w:rsidR="00DA4369" w:rsidRPr="00A66F03" w:rsidRDefault="00976636" w:rsidP="00CF4DEE">
            <w:pPr>
              <w:spacing w:after="0" w:line="240" w:lineRule="auto"/>
              <w:jc w:val="right"/>
              <w:rPr>
                <w:rFonts w:ascii="Calibri" w:eastAsia="Times New Roman" w:hAnsi="Calibri" w:cs="Calibri"/>
                <w:b/>
                <w:bCs/>
                <w:color w:val="000000"/>
                <w:sz w:val="16"/>
                <w:szCs w:val="16"/>
                <w:lang w:val="en-GB"/>
              </w:rPr>
            </w:pPr>
            <w:r w:rsidRPr="00A66F03">
              <w:rPr>
                <w:rFonts w:ascii="Calibri" w:eastAsia="Times New Roman" w:hAnsi="Calibri" w:cs="Calibri"/>
                <w:b/>
                <w:bCs/>
                <w:color w:val="000000"/>
                <w:sz w:val="16"/>
                <w:szCs w:val="16"/>
                <w:lang w:val="en-GB"/>
              </w:rPr>
              <w:t xml:space="preserve"> 4,515,616,231   </w:t>
            </w:r>
          </w:p>
        </w:tc>
      </w:tr>
      <w:tr w:rsidR="00143DBE" w:rsidRPr="00A66F03" w14:paraId="11B9D6B8" w14:textId="77777777" w:rsidTr="00874C8B">
        <w:tc>
          <w:tcPr>
            <w:tcW w:w="1680" w:type="dxa"/>
            <w:tcBorders>
              <w:top w:val="nil"/>
              <w:left w:val="single" w:sz="8" w:space="0" w:color="auto"/>
              <w:bottom w:val="single" w:sz="8" w:space="0" w:color="auto"/>
              <w:right w:val="single" w:sz="8" w:space="0" w:color="auto"/>
            </w:tcBorders>
            <w:shd w:val="clear" w:color="auto" w:fill="auto"/>
            <w:vAlign w:val="center"/>
            <w:hideMark/>
          </w:tcPr>
          <w:p w14:paraId="255AEA8A" w14:textId="77777777" w:rsidR="00DA4369" w:rsidRPr="00A66F03" w:rsidRDefault="00976636" w:rsidP="00CF4DEE">
            <w:pPr>
              <w:spacing w:after="0" w:line="240" w:lineRule="auto"/>
              <w:rPr>
                <w:rFonts w:ascii="Calibri" w:eastAsia="Times New Roman" w:hAnsi="Calibri" w:cs="Calibri"/>
                <w:color w:val="000000"/>
                <w:sz w:val="16"/>
                <w:szCs w:val="16"/>
                <w:lang w:val="en-GB"/>
              </w:rPr>
            </w:pPr>
            <w:r w:rsidRPr="00A66F03">
              <w:rPr>
                <w:rFonts w:ascii="Calibri" w:eastAsia="Times New Roman" w:hAnsi="Calibri" w:cs="Calibri"/>
                <w:color w:val="000000"/>
                <w:sz w:val="16"/>
                <w:szCs w:val="16"/>
                <w:lang w:val="en-GB"/>
              </w:rPr>
              <w:t>MFAP</w:t>
            </w:r>
          </w:p>
        </w:tc>
        <w:tc>
          <w:tcPr>
            <w:tcW w:w="960" w:type="dxa"/>
            <w:tcBorders>
              <w:top w:val="nil"/>
              <w:left w:val="nil"/>
              <w:bottom w:val="single" w:sz="8" w:space="0" w:color="auto"/>
              <w:right w:val="single" w:sz="8" w:space="0" w:color="auto"/>
            </w:tcBorders>
            <w:shd w:val="clear" w:color="auto" w:fill="auto"/>
            <w:vAlign w:val="center"/>
            <w:hideMark/>
          </w:tcPr>
          <w:p w14:paraId="2BE46D6D" w14:textId="77777777" w:rsidR="00DA4369" w:rsidRPr="00A66F03" w:rsidRDefault="00976636" w:rsidP="00CF4DEE">
            <w:pPr>
              <w:spacing w:after="0" w:line="240" w:lineRule="auto"/>
              <w:jc w:val="center"/>
              <w:rPr>
                <w:rFonts w:ascii="Calibri" w:eastAsia="Times New Roman" w:hAnsi="Calibri" w:cs="Calibri"/>
                <w:color w:val="000000"/>
                <w:sz w:val="16"/>
                <w:szCs w:val="16"/>
                <w:lang w:val="en-GB"/>
              </w:rPr>
            </w:pPr>
            <w:r w:rsidRPr="00A66F03">
              <w:rPr>
                <w:rFonts w:ascii="Calibri" w:eastAsia="Times New Roman" w:hAnsi="Calibri" w:cs="Calibri"/>
                <w:color w:val="000000"/>
                <w:sz w:val="16"/>
                <w:szCs w:val="16"/>
                <w:lang w:val="en-GB"/>
              </w:rPr>
              <w:t>EMFF</w:t>
            </w:r>
          </w:p>
        </w:tc>
        <w:tc>
          <w:tcPr>
            <w:tcW w:w="960" w:type="dxa"/>
            <w:tcBorders>
              <w:top w:val="nil"/>
              <w:left w:val="nil"/>
              <w:bottom w:val="single" w:sz="8" w:space="0" w:color="auto"/>
              <w:right w:val="single" w:sz="8" w:space="0" w:color="auto"/>
            </w:tcBorders>
            <w:shd w:val="clear" w:color="auto" w:fill="auto"/>
            <w:vAlign w:val="center"/>
            <w:hideMark/>
          </w:tcPr>
          <w:p w14:paraId="7546B866" w14:textId="77777777" w:rsidR="00DA4369" w:rsidRPr="00A66F03" w:rsidRDefault="00976636" w:rsidP="00CF4DEE">
            <w:pPr>
              <w:spacing w:after="0" w:line="240" w:lineRule="auto"/>
              <w:jc w:val="center"/>
              <w:rPr>
                <w:rFonts w:ascii="Calibri" w:eastAsia="Times New Roman" w:hAnsi="Calibri" w:cs="Calibri"/>
                <w:color w:val="000000"/>
                <w:sz w:val="16"/>
                <w:szCs w:val="16"/>
                <w:lang w:val="en-GB"/>
              </w:rPr>
            </w:pPr>
            <w:r w:rsidRPr="00A66F03">
              <w:rPr>
                <w:rFonts w:ascii="Calibri" w:eastAsia="Times New Roman" w:hAnsi="Calibri" w:cs="Calibri"/>
                <w:color w:val="000000"/>
                <w:sz w:val="16"/>
                <w:szCs w:val="16"/>
                <w:lang w:val="en-GB"/>
              </w:rPr>
              <w:t> </w:t>
            </w:r>
          </w:p>
        </w:tc>
        <w:tc>
          <w:tcPr>
            <w:tcW w:w="1420" w:type="dxa"/>
            <w:tcBorders>
              <w:top w:val="nil"/>
              <w:left w:val="nil"/>
              <w:bottom w:val="single" w:sz="8" w:space="0" w:color="auto"/>
              <w:right w:val="single" w:sz="8" w:space="0" w:color="auto"/>
            </w:tcBorders>
            <w:shd w:val="clear" w:color="auto" w:fill="auto"/>
            <w:vAlign w:val="center"/>
            <w:hideMark/>
          </w:tcPr>
          <w:p w14:paraId="351D1E09" w14:textId="77777777" w:rsidR="00DA4369" w:rsidRPr="00A66F03" w:rsidRDefault="00976636" w:rsidP="00CF4DEE">
            <w:pPr>
              <w:spacing w:after="0" w:line="240" w:lineRule="auto"/>
              <w:jc w:val="right"/>
              <w:rPr>
                <w:rFonts w:ascii="Calibri" w:eastAsia="Times New Roman" w:hAnsi="Calibri" w:cs="Calibri"/>
                <w:color w:val="000000"/>
                <w:sz w:val="16"/>
                <w:szCs w:val="16"/>
                <w:lang w:val="en-GB"/>
              </w:rPr>
            </w:pPr>
            <w:r w:rsidRPr="00A66F03">
              <w:rPr>
                <w:rFonts w:ascii="Calibri" w:eastAsia="Times New Roman" w:hAnsi="Calibri" w:cs="Calibri"/>
                <w:color w:val="000000"/>
                <w:sz w:val="16"/>
                <w:szCs w:val="16"/>
                <w:lang w:val="en-GB"/>
              </w:rPr>
              <w:t xml:space="preserve">              22,575,134   </w:t>
            </w:r>
          </w:p>
        </w:tc>
        <w:tc>
          <w:tcPr>
            <w:tcW w:w="1420" w:type="dxa"/>
            <w:tcBorders>
              <w:top w:val="nil"/>
              <w:left w:val="nil"/>
              <w:bottom w:val="single" w:sz="8" w:space="0" w:color="auto"/>
              <w:right w:val="single" w:sz="8" w:space="0" w:color="auto"/>
            </w:tcBorders>
            <w:shd w:val="clear" w:color="auto" w:fill="auto"/>
            <w:vAlign w:val="center"/>
            <w:hideMark/>
          </w:tcPr>
          <w:p w14:paraId="39161836" w14:textId="77777777" w:rsidR="00DA4369" w:rsidRPr="00A66F03" w:rsidRDefault="00976636" w:rsidP="00CF4DEE">
            <w:pPr>
              <w:spacing w:after="0" w:line="240" w:lineRule="auto"/>
              <w:jc w:val="right"/>
              <w:rPr>
                <w:rFonts w:ascii="Calibri" w:eastAsia="Times New Roman" w:hAnsi="Calibri" w:cs="Calibri"/>
                <w:color w:val="000000"/>
                <w:sz w:val="16"/>
                <w:szCs w:val="16"/>
                <w:lang w:val="en-GB"/>
              </w:rPr>
            </w:pPr>
            <w:r w:rsidRPr="00A66F03">
              <w:rPr>
                <w:rFonts w:ascii="Calibri" w:eastAsia="Times New Roman" w:hAnsi="Calibri" w:cs="Calibri"/>
                <w:color w:val="000000"/>
                <w:sz w:val="16"/>
                <w:szCs w:val="16"/>
                <w:lang w:val="en-GB"/>
              </w:rPr>
              <w:t xml:space="preserve">                 1,354,507   </w:t>
            </w:r>
          </w:p>
        </w:tc>
        <w:tc>
          <w:tcPr>
            <w:tcW w:w="1420" w:type="dxa"/>
            <w:tcBorders>
              <w:top w:val="nil"/>
              <w:left w:val="nil"/>
              <w:bottom w:val="single" w:sz="8" w:space="0" w:color="auto"/>
              <w:right w:val="single" w:sz="8" w:space="0" w:color="auto"/>
            </w:tcBorders>
            <w:shd w:val="clear" w:color="auto" w:fill="auto"/>
            <w:vAlign w:val="center"/>
            <w:hideMark/>
          </w:tcPr>
          <w:p w14:paraId="1FAB9A66" w14:textId="77777777" w:rsidR="00DA4369" w:rsidRPr="00A66F03" w:rsidRDefault="00976636" w:rsidP="00CF4DEE">
            <w:pPr>
              <w:spacing w:after="0" w:line="240" w:lineRule="auto"/>
              <w:jc w:val="right"/>
              <w:rPr>
                <w:rFonts w:ascii="Calibri" w:eastAsia="Times New Roman" w:hAnsi="Calibri" w:cs="Calibri"/>
                <w:color w:val="000000"/>
                <w:sz w:val="16"/>
                <w:szCs w:val="16"/>
                <w:lang w:val="en-GB"/>
              </w:rPr>
            </w:pPr>
            <w:r w:rsidRPr="00A66F03">
              <w:rPr>
                <w:rFonts w:ascii="Calibri" w:eastAsia="Times New Roman" w:hAnsi="Calibri" w:cs="Calibri"/>
                <w:color w:val="000000"/>
                <w:sz w:val="16"/>
                <w:szCs w:val="16"/>
                <w:lang w:val="en-GB"/>
              </w:rPr>
              <w:t xml:space="preserve">              10,255,560   </w:t>
            </w:r>
          </w:p>
        </w:tc>
        <w:tc>
          <w:tcPr>
            <w:tcW w:w="1420" w:type="dxa"/>
            <w:tcBorders>
              <w:top w:val="nil"/>
              <w:left w:val="nil"/>
              <w:bottom w:val="single" w:sz="8" w:space="0" w:color="auto"/>
              <w:right w:val="single" w:sz="8" w:space="0" w:color="auto"/>
            </w:tcBorders>
            <w:shd w:val="clear" w:color="auto" w:fill="auto"/>
            <w:vAlign w:val="center"/>
            <w:hideMark/>
          </w:tcPr>
          <w:p w14:paraId="154EF92C" w14:textId="77777777" w:rsidR="00DA4369" w:rsidRPr="00A66F03" w:rsidRDefault="00976636" w:rsidP="00CF4DEE">
            <w:pPr>
              <w:spacing w:after="0" w:line="240" w:lineRule="auto"/>
              <w:jc w:val="right"/>
              <w:rPr>
                <w:rFonts w:ascii="Calibri" w:eastAsia="Times New Roman" w:hAnsi="Calibri" w:cs="Calibri"/>
                <w:b/>
                <w:bCs/>
                <w:color w:val="000000"/>
                <w:sz w:val="16"/>
                <w:szCs w:val="16"/>
                <w:lang w:val="en-GB"/>
              </w:rPr>
            </w:pPr>
            <w:r w:rsidRPr="00A66F03">
              <w:rPr>
                <w:rFonts w:ascii="Calibri" w:eastAsia="Times New Roman" w:hAnsi="Calibri" w:cs="Calibri"/>
                <w:b/>
                <w:bCs/>
                <w:color w:val="000000"/>
                <w:sz w:val="16"/>
                <w:szCs w:val="16"/>
                <w:lang w:val="en-GB"/>
              </w:rPr>
              <w:t xml:space="preserve">              34,185,201   </w:t>
            </w:r>
          </w:p>
        </w:tc>
      </w:tr>
      <w:tr w:rsidR="00143DBE" w:rsidRPr="00A66F03" w14:paraId="4512B855" w14:textId="77777777" w:rsidTr="00874C8B">
        <w:tc>
          <w:tcPr>
            <w:tcW w:w="1680" w:type="dxa"/>
            <w:tcBorders>
              <w:top w:val="nil"/>
              <w:left w:val="single" w:sz="8" w:space="0" w:color="auto"/>
              <w:bottom w:val="single" w:sz="8" w:space="0" w:color="auto"/>
              <w:right w:val="single" w:sz="8" w:space="0" w:color="auto"/>
            </w:tcBorders>
            <w:shd w:val="clear" w:color="auto" w:fill="auto"/>
            <w:vAlign w:val="center"/>
            <w:hideMark/>
          </w:tcPr>
          <w:p w14:paraId="216EFA22" w14:textId="77777777" w:rsidR="00DA4369" w:rsidRPr="00A66F03" w:rsidRDefault="00976636" w:rsidP="00CF4DEE">
            <w:pPr>
              <w:spacing w:after="0" w:line="240" w:lineRule="auto"/>
              <w:jc w:val="center"/>
              <w:rPr>
                <w:rFonts w:ascii="Calibri" w:eastAsia="Times New Roman" w:hAnsi="Calibri" w:cs="Calibri"/>
                <w:b/>
                <w:bCs/>
                <w:color w:val="000000"/>
                <w:sz w:val="16"/>
                <w:szCs w:val="16"/>
                <w:lang w:val="en-GB"/>
              </w:rPr>
            </w:pPr>
            <w:r w:rsidRPr="00A66F03">
              <w:rPr>
                <w:rFonts w:ascii="Calibri" w:eastAsia="Times New Roman" w:hAnsi="Calibri" w:cs="Calibri"/>
                <w:b/>
                <w:bCs/>
                <w:color w:val="000000"/>
                <w:sz w:val="16"/>
                <w:szCs w:val="16"/>
                <w:lang w:val="en-GB"/>
              </w:rPr>
              <w:t xml:space="preserve">Total </w:t>
            </w:r>
          </w:p>
        </w:tc>
        <w:tc>
          <w:tcPr>
            <w:tcW w:w="960" w:type="dxa"/>
            <w:tcBorders>
              <w:top w:val="nil"/>
              <w:left w:val="nil"/>
              <w:bottom w:val="single" w:sz="8" w:space="0" w:color="auto"/>
              <w:right w:val="single" w:sz="8" w:space="0" w:color="auto"/>
            </w:tcBorders>
            <w:shd w:val="clear" w:color="auto" w:fill="auto"/>
            <w:vAlign w:val="center"/>
            <w:hideMark/>
          </w:tcPr>
          <w:p w14:paraId="397EA10D" w14:textId="77777777" w:rsidR="00DA4369" w:rsidRPr="00A66F03" w:rsidRDefault="00976636" w:rsidP="00CF4DEE">
            <w:pPr>
              <w:spacing w:after="0" w:line="240" w:lineRule="auto"/>
              <w:jc w:val="center"/>
              <w:rPr>
                <w:rFonts w:ascii="Calibri" w:eastAsia="Times New Roman" w:hAnsi="Calibri" w:cs="Calibri"/>
                <w:b/>
                <w:bCs/>
                <w:color w:val="000000"/>
                <w:sz w:val="16"/>
                <w:szCs w:val="16"/>
                <w:lang w:val="en-GB"/>
              </w:rPr>
            </w:pPr>
            <w:r w:rsidRPr="00A66F03">
              <w:rPr>
                <w:rFonts w:ascii="Calibri" w:eastAsia="Times New Roman" w:hAnsi="Calibri" w:cs="Calibri"/>
                <w:b/>
                <w:bCs/>
                <w:color w:val="000000"/>
                <w:sz w:val="16"/>
                <w:szCs w:val="16"/>
                <w:lang w:val="en-GB"/>
              </w:rPr>
              <w:t>All funds</w:t>
            </w:r>
          </w:p>
        </w:tc>
        <w:tc>
          <w:tcPr>
            <w:tcW w:w="960" w:type="dxa"/>
            <w:tcBorders>
              <w:top w:val="nil"/>
              <w:left w:val="nil"/>
              <w:bottom w:val="single" w:sz="8" w:space="0" w:color="auto"/>
              <w:right w:val="single" w:sz="8" w:space="0" w:color="auto"/>
            </w:tcBorders>
            <w:shd w:val="clear" w:color="auto" w:fill="auto"/>
            <w:vAlign w:val="center"/>
            <w:hideMark/>
          </w:tcPr>
          <w:p w14:paraId="49F53A20" w14:textId="77777777" w:rsidR="00DA4369" w:rsidRPr="00A66F03" w:rsidRDefault="00976636" w:rsidP="00CF4DEE">
            <w:pPr>
              <w:spacing w:after="0" w:line="240" w:lineRule="auto"/>
              <w:jc w:val="center"/>
              <w:rPr>
                <w:rFonts w:ascii="Calibri" w:eastAsia="Times New Roman" w:hAnsi="Calibri" w:cs="Calibri"/>
                <w:b/>
                <w:bCs/>
                <w:color w:val="000000"/>
                <w:sz w:val="16"/>
                <w:szCs w:val="16"/>
                <w:lang w:val="en-GB"/>
              </w:rPr>
            </w:pPr>
            <w:r w:rsidRPr="00A66F03">
              <w:rPr>
                <w:rFonts w:ascii="Calibri" w:eastAsia="Times New Roman" w:hAnsi="Calibri" w:cs="Calibri"/>
                <w:b/>
                <w:bCs/>
                <w:color w:val="000000"/>
                <w:sz w:val="16"/>
                <w:szCs w:val="16"/>
                <w:lang w:val="en-GB"/>
              </w:rPr>
              <w:t> </w:t>
            </w:r>
          </w:p>
        </w:tc>
        <w:tc>
          <w:tcPr>
            <w:tcW w:w="1420" w:type="dxa"/>
            <w:tcBorders>
              <w:top w:val="nil"/>
              <w:left w:val="nil"/>
              <w:bottom w:val="single" w:sz="8" w:space="0" w:color="auto"/>
              <w:right w:val="single" w:sz="8" w:space="0" w:color="auto"/>
            </w:tcBorders>
            <w:shd w:val="clear" w:color="auto" w:fill="auto"/>
            <w:vAlign w:val="center"/>
            <w:hideMark/>
          </w:tcPr>
          <w:p w14:paraId="5FC3C5A0" w14:textId="77777777" w:rsidR="00DA4369" w:rsidRPr="00A66F03" w:rsidRDefault="00976636" w:rsidP="00CF4DEE">
            <w:pPr>
              <w:spacing w:after="0" w:line="240" w:lineRule="auto"/>
              <w:jc w:val="right"/>
              <w:rPr>
                <w:rFonts w:ascii="Calibri" w:eastAsia="Times New Roman" w:hAnsi="Calibri" w:cs="Calibri"/>
                <w:b/>
                <w:bCs/>
                <w:color w:val="000000"/>
                <w:sz w:val="16"/>
                <w:szCs w:val="16"/>
                <w:lang w:val="en-GB"/>
              </w:rPr>
            </w:pPr>
            <w:r w:rsidRPr="00A66F03">
              <w:rPr>
                <w:rFonts w:ascii="Calibri" w:eastAsia="Times New Roman" w:hAnsi="Calibri" w:cs="Calibri"/>
                <w:b/>
                <w:bCs/>
                <w:color w:val="000000"/>
                <w:sz w:val="16"/>
                <w:szCs w:val="16"/>
                <w:lang w:val="en-GB"/>
              </w:rPr>
              <w:t xml:space="preserve"> 3,157,215,541   </w:t>
            </w:r>
          </w:p>
        </w:tc>
        <w:tc>
          <w:tcPr>
            <w:tcW w:w="1420" w:type="dxa"/>
            <w:tcBorders>
              <w:top w:val="nil"/>
              <w:left w:val="nil"/>
              <w:bottom w:val="single" w:sz="8" w:space="0" w:color="auto"/>
              <w:right w:val="single" w:sz="8" w:space="0" w:color="auto"/>
            </w:tcBorders>
            <w:shd w:val="clear" w:color="auto" w:fill="auto"/>
            <w:vAlign w:val="center"/>
            <w:hideMark/>
          </w:tcPr>
          <w:p w14:paraId="74816975" w14:textId="77777777" w:rsidR="00DA4369" w:rsidRPr="00A66F03" w:rsidRDefault="00976636" w:rsidP="00CF4DEE">
            <w:pPr>
              <w:spacing w:after="0" w:line="240" w:lineRule="auto"/>
              <w:jc w:val="right"/>
              <w:rPr>
                <w:rFonts w:ascii="Calibri" w:eastAsia="Times New Roman" w:hAnsi="Calibri" w:cs="Calibri"/>
                <w:b/>
                <w:bCs/>
                <w:color w:val="000000"/>
                <w:sz w:val="16"/>
                <w:szCs w:val="16"/>
                <w:lang w:val="en-GB"/>
              </w:rPr>
            </w:pPr>
            <w:r w:rsidRPr="00A66F03">
              <w:rPr>
                <w:rFonts w:ascii="Calibri" w:eastAsia="Times New Roman" w:hAnsi="Calibri" w:cs="Calibri"/>
                <w:b/>
                <w:bCs/>
                <w:color w:val="000000"/>
                <w:sz w:val="16"/>
                <w:szCs w:val="16"/>
                <w:lang w:val="en-GB"/>
              </w:rPr>
              <w:t xml:space="preserve"> 108,781,553   </w:t>
            </w:r>
          </w:p>
        </w:tc>
        <w:tc>
          <w:tcPr>
            <w:tcW w:w="1420" w:type="dxa"/>
            <w:tcBorders>
              <w:top w:val="nil"/>
              <w:left w:val="nil"/>
              <w:bottom w:val="single" w:sz="8" w:space="0" w:color="auto"/>
              <w:right w:val="single" w:sz="8" w:space="0" w:color="auto"/>
            </w:tcBorders>
            <w:shd w:val="clear" w:color="auto" w:fill="auto"/>
            <w:vAlign w:val="center"/>
            <w:hideMark/>
          </w:tcPr>
          <w:p w14:paraId="23B7A1A5" w14:textId="77777777" w:rsidR="00DA4369" w:rsidRPr="00A66F03" w:rsidRDefault="00976636" w:rsidP="00CF4DEE">
            <w:pPr>
              <w:spacing w:after="0" w:line="240" w:lineRule="auto"/>
              <w:jc w:val="right"/>
              <w:rPr>
                <w:rFonts w:ascii="Calibri" w:eastAsia="Times New Roman" w:hAnsi="Calibri" w:cs="Calibri"/>
                <w:b/>
                <w:bCs/>
                <w:color w:val="000000"/>
                <w:sz w:val="16"/>
                <w:szCs w:val="16"/>
                <w:lang w:val="en-GB"/>
              </w:rPr>
            </w:pPr>
            <w:r w:rsidRPr="00A66F03">
              <w:rPr>
                <w:rFonts w:ascii="Calibri" w:eastAsia="Times New Roman" w:hAnsi="Calibri" w:cs="Calibri"/>
                <w:b/>
                <w:bCs/>
                <w:color w:val="000000"/>
                <w:sz w:val="16"/>
                <w:szCs w:val="16"/>
                <w:lang w:val="en-GB"/>
              </w:rPr>
              <w:t xml:space="preserve"> 1,283,804,338   </w:t>
            </w:r>
          </w:p>
        </w:tc>
        <w:tc>
          <w:tcPr>
            <w:tcW w:w="1420" w:type="dxa"/>
            <w:tcBorders>
              <w:top w:val="nil"/>
              <w:left w:val="nil"/>
              <w:bottom w:val="single" w:sz="8" w:space="0" w:color="auto"/>
              <w:right w:val="single" w:sz="8" w:space="0" w:color="auto"/>
            </w:tcBorders>
            <w:shd w:val="clear" w:color="auto" w:fill="auto"/>
            <w:vAlign w:val="center"/>
            <w:hideMark/>
          </w:tcPr>
          <w:p w14:paraId="56C0FF65" w14:textId="77777777" w:rsidR="00DA4369" w:rsidRPr="00A66F03" w:rsidRDefault="00976636" w:rsidP="00CF4DEE">
            <w:pPr>
              <w:spacing w:after="0" w:line="240" w:lineRule="auto"/>
              <w:jc w:val="right"/>
              <w:rPr>
                <w:rFonts w:ascii="Calibri" w:eastAsia="Times New Roman" w:hAnsi="Calibri" w:cs="Calibri"/>
                <w:b/>
                <w:bCs/>
                <w:color w:val="000000"/>
                <w:sz w:val="16"/>
                <w:szCs w:val="16"/>
                <w:lang w:val="en-GB"/>
              </w:rPr>
            </w:pPr>
            <w:r w:rsidRPr="00A66F03">
              <w:rPr>
                <w:rFonts w:ascii="Calibri" w:eastAsia="Times New Roman" w:hAnsi="Calibri" w:cs="Calibri"/>
                <w:b/>
                <w:bCs/>
                <w:color w:val="000000"/>
                <w:sz w:val="16"/>
                <w:szCs w:val="16"/>
                <w:lang w:val="en-GB"/>
              </w:rPr>
              <w:t xml:space="preserve"> 4,549,801,432   </w:t>
            </w:r>
          </w:p>
        </w:tc>
      </w:tr>
    </w:tbl>
    <w:p w14:paraId="7A366B45" w14:textId="77777777" w:rsidR="007977A2" w:rsidRPr="00A66F03" w:rsidRDefault="007977A2" w:rsidP="00B72629">
      <w:pPr>
        <w:shd w:val="clear" w:color="auto" w:fill="FFFFFF"/>
        <w:spacing w:after="0" w:line="276" w:lineRule="auto"/>
        <w:jc w:val="both"/>
        <w:rPr>
          <w:rFonts w:ascii="Times New Roman" w:eastAsia="Times New Roman" w:hAnsi="Times New Roman" w:cs="Times New Roman"/>
          <w:b/>
          <w:bCs/>
          <w:color w:val="444444"/>
          <w:sz w:val="27"/>
          <w:szCs w:val="27"/>
          <w:lang w:val="en-GB"/>
        </w:rPr>
      </w:pPr>
    </w:p>
    <w:p w14:paraId="14BE2078" w14:textId="77777777" w:rsidR="00A76FF9" w:rsidRPr="00A66F03" w:rsidRDefault="00976636" w:rsidP="00B72629">
      <w:pPr>
        <w:shd w:val="clear" w:color="auto" w:fill="FFFFFF"/>
        <w:spacing w:after="0" w:line="276" w:lineRule="auto"/>
        <w:rPr>
          <w:rFonts w:ascii="Times New Roman" w:eastAsia="Times New Roman" w:hAnsi="Times New Roman" w:cs="Times New Roman"/>
          <w:color w:val="444444"/>
          <w:sz w:val="24"/>
          <w:szCs w:val="24"/>
          <w:lang w:val="en-GB"/>
        </w:rPr>
      </w:pPr>
      <w:r w:rsidRPr="00A66F03">
        <w:rPr>
          <w:rFonts w:ascii="Times New Roman" w:eastAsia="Times New Roman" w:hAnsi="Times New Roman" w:cs="Times New Roman"/>
          <w:color w:val="444444"/>
          <w:sz w:val="24"/>
          <w:szCs w:val="24"/>
          <w:lang w:val="en-GB"/>
        </w:rPr>
        <w:t>Table 10: List of planned Interreg programmes</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143"/>
        <w:gridCol w:w="6913"/>
      </w:tblGrid>
      <w:tr w:rsidR="00143DBE" w:rsidRPr="00A66F03" w14:paraId="0F6A07F2" w14:textId="77777777" w:rsidTr="00A76FF9">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CF04C5F" w14:textId="77777777" w:rsidR="00DD575F" w:rsidRPr="00A66F03" w:rsidRDefault="00976636" w:rsidP="00B72629">
            <w:pPr>
              <w:spacing w:after="0" w:line="276" w:lineRule="auto"/>
              <w:rPr>
                <w:rFonts w:ascii="Times New Roman" w:eastAsia="Times New Roman" w:hAnsi="Times New Roman" w:cs="Times New Roman"/>
                <w:noProof/>
                <w:lang w:val="en-GB"/>
              </w:rPr>
            </w:pPr>
            <w:r w:rsidRPr="00A66F03">
              <w:rPr>
                <w:rFonts w:ascii="Times New Roman" w:hAnsi="Times New Roman" w:cs="Times New Roman"/>
                <w:noProof/>
                <w:lang w:val="en-GB"/>
              </w:rPr>
              <w:t xml:space="preserve">Programme 1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9AEBBDF" w14:textId="77777777" w:rsidR="00DD575F" w:rsidRPr="00A66F03" w:rsidRDefault="00976636" w:rsidP="00B72629">
            <w:pPr>
              <w:spacing w:after="0" w:line="276" w:lineRule="auto"/>
              <w:rPr>
                <w:rFonts w:ascii="Times New Roman" w:eastAsia="Times New Roman" w:hAnsi="Times New Roman" w:cs="Times New Roman"/>
                <w:noProof/>
                <w:lang w:val="en-GB"/>
              </w:rPr>
            </w:pPr>
            <w:r w:rsidRPr="00A66F03">
              <w:rPr>
                <w:rFonts w:ascii="Times New Roman" w:hAnsi="Times New Roman" w:cs="Times New Roman"/>
                <w:noProof/>
                <w:lang w:val="en-GB"/>
              </w:rPr>
              <w:t>for cross-border cooperation: Italy-Slovenia</w:t>
            </w:r>
          </w:p>
        </w:tc>
      </w:tr>
      <w:tr w:rsidR="00143DBE" w:rsidRPr="00A66F03" w14:paraId="03C0F81E" w14:textId="77777777" w:rsidTr="00A76FF9">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1BF8FA6" w14:textId="77777777" w:rsidR="00DD575F" w:rsidRPr="00A66F03" w:rsidRDefault="00976636" w:rsidP="00B72629">
            <w:pPr>
              <w:spacing w:after="0" w:line="276" w:lineRule="auto"/>
              <w:rPr>
                <w:rFonts w:ascii="Times New Roman" w:hAnsi="Times New Roman" w:cs="Times New Roman"/>
                <w:noProof/>
                <w:lang w:val="en-GB"/>
              </w:rPr>
            </w:pPr>
            <w:r w:rsidRPr="00A66F03">
              <w:rPr>
                <w:rFonts w:ascii="Times New Roman" w:hAnsi="Times New Roman" w:cs="Times New Roman"/>
                <w:noProof/>
                <w:lang w:val="en-GB"/>
              </w:rPr>
              <w:t>Programme 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CF6D11C" w14:textId="77777777" w:rsidR="00DD575F" w:rsidRPr="00A66F03" w:rsidRDefault="00976636" w:rsidP="00B72629">
            <w:pPr>
              <w:spacing w:after="0" w:line="276" w:lineRule="auto"/>
              <w:rPr>
                <w:rFonts w:ascii="Times New Roman" w:hAnsi="Times New Roman" w:cs="Times New Roman"/>
                <w:noProof/>
                <w:lang w:val="en-GB"/>
              </w:rPr>
            </w:pPr>
            <w:r w:rsidRPr="00A66F03">
              <w:rPr>
                <w:rFonts w:ascii="Times New Roman" w:hAnsi="Times New Roman" w:cs="Times New Roman"/>
                <w:noProof/>
                <w:lang w:val="en-GB"/>
              </w:rPr>
              <w:t>for cross-border cooperation: Slovenia-Hungary</w:t>
            </w:r>
          </w:p>
        </w:tc>
      </w:tr>
      <w:tr w:rsidR="00143DBE" w:rsidRPr="00A66F03" w14:paraId="6561AE39" w14:textId="77777777" w:rsidTr="00A76FF9">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CFB3B51" w14:textId="77777777" w:rsidR="00DD575F" w:rsidRPr="00A66F03" w:rsidRDefault="00976636" w:rsidP="00B72629">
            <w:pPr>
              <w:spacing w:after="0" w:line="276" w:lineRule="auto"/>
              <w:rPr>
                <w:rFonts w:ascii="Times New Roman" w:hAnsi="Times New Roman" w:cs="Times New Roman"/>
                <w:noProof/>
                <w:lang w:val="en-GB"/>
              </w:rPr>
            </w:pPr>
            <w:r w:rsidRPr="00A66F03">
              <w:rPr>
                <w:rFonts w:ascii="Times New Roman" w:hAnsi="Times New Roman" w:cs="Times New Roman"/>
                <w:noProof/>
                <w:lang w:val="en-GB"/>
              </w:rPr>
              <w:t>Programme 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D1F508A" w14:textId="77777777" w:rsidR="00DD575F" w:rsidRPr="00A66F03" w:rsidRDefault="00976636" w:rsidP="00B72629">
            <w:pPr>
              <w:spacing w:after="0" w:line="276" w:lineRule="auto"/>
              <w:rPr>
                <w:rFonts w:ascii="Times New Roman" w:hAnsi="Times New Roman" w:cs="Times New Roman"/>
                <w:noProof/>
                <w:lang w:val="en-GB"/>
              </w:rPr>
            </w:pPr>
            <w:r w:rsidRPr="00A66F03">
              <w:rPr>
                <w:rFonts w:ascii="Times New Roman" w:hAnsi="Times New Roman" w:cs="Times New Roman"/>
                <w:noProof/>
                <w:lang w:val="en-GB"/>
              </w:rPr>
              <w:t>for cross-border cooperation: Slovenia-Croatia</w:t>
            </w:r>
          </w:p>
        </w:tc>
      </w:tr>
      <w:tr w:rsidR="00143DBE" w:rsidRPr="00A66F03" w14:paraId="5193C7D6" w14:textId="77777777" w:rsidTr="00A76FF9">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F65B6B7" w14:textId="77777777" w:rsidR="00DD575F" w:rsidRPr="00A66F03" w:rsidRDefault="00976636" w:rsidP="00B72629">
            <w:pPr>
              <w:spacing w:after="0" w:line="276" w:lineRule="auto"/>
              <w:rPr>
                <w:rFonts w:ascii="Times New Roman" w:hAnsi="Times New Roman" w:cs="Times New Roman"/>
                <w:noProof/>
                <w:lang w:val="en-GB"/>
              </w:rPr>
            </w:pPr>
            <w:r w:rsidRPr="00A66F03">
              <w:rPr>
                <w:rFonts w:ascii="Times New Roman" w:hAnsi="Times New Roman" w:cs="Times New Roman"/>
                <w:noProof/>
                <w:lang w:val="en-GB"/>
              </w:rPr>
              <w:t>Programme 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C1F8DE8" w14:textId="77777777" w:rsidR="00DD575F" w:rsidRPr="00A66F03" w:rsidRDefault="00976636" w:rsidP="00B72629">
            <w:pPr>
              <w:spacing w:after="0" w:line="276" w:lineRule="auto"/>
              <w:rPr>
                <w:rFonts w:ascii="Times New Roman" w:hAnsi="Times New Roman" w:cs="Times New Roman"/>
                <w:noProof/>
                <w:lang w:val="en-GB"/>
              </w:rPr>
            </w:pPr>
            <w:r w:rsidRPr="00A66F03">
              <w:rPr>
                <w:rFonts w:ascii="Times New Roman" w:hAnsi="Times New Roman" w:cs="Times New Roman"/>
                <w:noProof/>
                <w:lang w:val="en-GB"/>
              </w:rPr>
              <w:t xml:space="preserve">for cross-border </w:t>
            </w:r>
            <w:r w:rsidRPr="00A66F03">
              <w:rPr>
                <w:rFonts w:ascii="Times New Roman" w:hAnsi="Times New Roman" w:cs="Times New Roman"/>
                <w:noProof/>
                <w:lang w:val="en-GB"/>
              </w:rPr>
              <w:t>cooperation: Slovenia-Austria</w:t>
            </w:r>
          </w:p>
        </w:tc>
      </w:tr>
      <w:tr w:rsidR="00143DBE" w:rsidRPr="00A66F03" w14:paraId="0FDDBDD8" w14:textId="77777777" w:rsidTr="00A76FF9">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D662C51" w14:textId="77777777" w:rsidR="00DD575F" w:rsidRPr="00A66F03" w:rsidRDefault="00976636" w:rsidP="00B72629">
            <w:pPr>
              <w:spacing w:after="0" w:line="276" w:lineRule="auto"/>
              <w:rPr>
                <w:rFonts w:ascii="Times New Roman" w:hAnsi="Times New Roman" w:cs="Times New Roman"/>
                <w:noProof/>
                <w:lang w:val="en-GB"/>
              </w:rPr>
            </w:pPr>
            <w:r w:rsidRPr="00A66F03">
              <w:rPr>
                <w:rFonts w:ascii="Times New Roman" w:hAnsi="Times New Roman" w:cs="Times New Roman"/>
                <w:noProof/>
                <w:lang w:val="en-GB"/>
              </w:rPr>
              <w:t>Programme 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3BEF585" w14:textId="77777777" w:rsidR="00DD575F" w:rsidRPr="00A66F03" w:rsidRDefault="00976636" w:rsidP="00B72629">
            <w:pPr>
              <w:spacing w:after="0" w:line="276" w:lineRule="auto"/>
              <w:rPr>
                <w:rFonts w:ascii="Times New Roman" w:hAnsi="Times New Roman" w:cs="Times New Roman"/>
                <w:noProof/>
                <w:lang w:val="en-GB"/>
              </w:rPr>
            </w:pPr>
            <w:r w:rsidRPr="00A66F03">
              <w:rPr>
                <w:rFonts w:ascii="Times New Roman" w:hAnsi="Times New Roman" w:cs="Times New Roman"/>
                <w:noProof/>
                <w:lang w:val="en-GB"/>
              </w:rPr>
              <w:t>transnational: Alps</w:t>
            </w:r>
          </w:p>
        </w:tc>
      </w:tr>
      <w:tr w:rsidR="00143DBE" w:rsidRPr="00A66F03" w14:paraId="249E1AC4" w14:textId="77777777" w:rsidTr="00A76FF9">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8C8C8BB" w14:textId="77777777" w:rsidR="00DD575F" w:rsidRPr="00A66F03" w:rsidRDefault="00976636" w:rsidP="00B72629">
            <w:pPr>
              <w:spacing w:after="0" w:line="276" w:lineRule="auto"/>
              <w:rPr>
                <w:rFonts w:ascii="Times New Roman" w:hAnsi="Times New Roman" w:cs="Times New Roman"/>
                <w:noProof/>
                <w:lang w:val="en-GB"/>
              </w:rPr>
            </w:pPr>
            <w:r w:rsidRPr="00A66F03">
              <w:rPr>
                <w:rFonts w:ascii="Times New Roman" w:hAnsi="Times New Roman" w:cs="Times New Roman"/>
                <w:noProof/>
                <w:lang w:val="en-GB"/>
              </w:rPr>
              <w:t xml:space="preserve">Programme 6 </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9C98FCA" w14:textId="77777777" w:rsidR="00DD575F" w:rsidRPr="00A66F03" w:rsidRDefault="00976636" w:rsidP="00B72629">
            <w:pPr>
              <w:spacing w:after="0" w:line="276" w:lineRule="auto"/>
              <w:rPr>
                <w:rFonts w:ascii="Times New Roman" w:hAnsi="Times New Roman" w:cs="Times New Roman"/>
                <w:noProof/>
                <w:lang w:val="en-GB"/>
              </w:rPr>
            </w:pPr>
            <w:r w:rsidRPr="00A66F03">
              <w:rPr>
                <w:rFonts w:ascii="Times New Roman" w:hAnsi="Times New Roman" w:cs="Times New Roman"/>
                <w:noProof/>
                <w:lang w:val="en-GB"/>
              </w:rPr>
              <w:t>transnational: Central Europe</w:t>
            </w:r>
          </w:p>
        </w:tc>
      </w:tr>
      <w:tr w:rsidR="00143DBE" w:rsidRPr="00A66F03" w14:paraId="3476D5D4" w14:textId="77777777" w:rsidTr="00A76FF9">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07597A2" w14:textId="77777777" w:rsidR="00DD575F" w:rsidRPr="00A66F03" w:rsidRDefault="00976636" w:rsidP="00B72629">
            <w:pPr>
              <w:spacing w:after="0" w:line="276" w:lineRule="auto"/>
              <w:rPr>
                <w:rFonts w:ascii="Times New Roman" w:hAnsi="Times New Roman" w:cs="Times New Roman"/>
                <w:noProof/>
                <w:lang w:val="en-GB"/>
              </w:rPr>
            </w:pPr>
            <w:r w:rsidRPr="00A66F03">
              <w:rPr>
                <w:rFonts w:ascii="Times New Roman" w:hAnsi="Times New Roman" w:cs="Times New Roman"/>
                <w:noProof/>
                <w:lang w:val="en-GB"/>
              </w:rPr>
              <w:t>Programme 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A47182A" w14:textId="77777777" w:rsidR="00DD575F" w:rsidRPr="00A66F03" w:rsidRDefault="00976636" w:rsidP="00B72629">
            <w:pPr>
              <w:spacing w:after="0" w:line="276" w:lineRule="auto"/>
              <w:rPr>
                <w:rFonts w:ascii="Times New Roman" w:hAnsi="Times New Roman" w:cs="Times New Roman"/>
                <w:noProof/>
                <w:lang w:val="en-GB"/>
              </w:rPr>
            </w:pPr>
            <w:r w:rsidRPr="00A66F03">
              <w:rPr>
                <w:rFonts w:ascii="Times New Roman" w:hAnsi="Times New Roman" w:cs="Times New Roman"/>
                <w:noProof/>
                <w:lang w:val="en-GB"/>
              </w:rPr>
              <w:t>transnational: Adriatic-Ionian programme</w:t>
            </w:r>
          </w:p>
        </w:tc>
      </w:tr>
      <w:tr w:rsidR="00143DBE" w:rsidRPr="00A66F03" w14:paraId="60EBB16B" w14:textId="77777777" w:rsidTr="00A76FF9">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DF6064C" w14:textId="77777777" w:rsidR="00DD575F" w:rsidRPr="00A66F03" w:rsidRDefault="00976636" w:rsidP="00B72629">
            <w:pPr>
              <w:spacing w:after="0" w:line="276" w:lineRule="auto"/>
              <w:rPr>
                <w:rFonts w:ascii="Times New Roman" w:hAnsi="Times New Roman" w:cs="Times New Roman"/>
                <w:noProof/>
                <w:lang w:val="en-GB"/>
              </w:rPr>
            </w:pPr>
            <w:r w:rsidRPr="00A66F03">
              <w:rPr>
                <w:rFonts w:ascii="Times New Roman" w:hAnsi="Times New Roman" w:cs="Times New Roman"/>
                <w:noProof/>
                <w:lang w:val="en-GB"/>
              </w:rPr>
              <w:t>Programme 8</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25C7B1B" w14:textId="77777777" w:rsidR="00DD575F" w:rsidRPr="00A66F03" w:rsidRDefault="00976636" w:rsidP="00B72629">
            <w:pPr>
              <w:spacing w:after="0" w:line="276" w:lineRule="auto"/>
              <w:rPr>
                <w:rFonts w:ascii="Times New Roman" w:hAnsi="Times New Roman" w:cs="Times New Roman"/>
                <w:noProof/>
                <w:lang w:val="en-GB"/>
              </w:rPr>
            </w:pPr>
            <w:r w:rsidRPr="00A66F03">
              <w:rPr>
                <w:rFonts w:ascii="Times New Roman" w:hAnsi="Times New Roman" w:cs="Times New Roman"/>
                <w:noProof/>
                <w:lang w:val="en-GB"/>
              </w:rPr>
              <w:t>transnational: Mediterranean</w:t>
            </w:r>
          </w:p>
        </w:tc>
      </w:tr>
      <w:tr w:rsidR="00143DBE" w:rsidRPr="00A66F03" w14:paraId="74798A98" w14:textId="77777777" w:rsidTr="00A76FF9">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D024464" w14:textId="77777777" w:rsidR="00DD575F" w:rsidRPr="00A66F03" w:rsidRDefault="00976636" w:rsidP="00B72629">
            <w:pPr>
              <w:spacing w:after="0" w:line="276" w:lineRule="auto"/>
              <w:rPr>
                <w:rFonts w:ascii="Times New Roman" w:hAnsi="Times New Roman" w:cs="Times New Roman"/>
                <w:noProof/>
                <w:lang w:val="en-GB"/>
              </w:rPr>
            </w:pPr>
            <w:r w:rsidRPr="00A66F03">
              <w:rPr>
                <w:rFonts w:ascii="Times New Roman" w:hAnsi="Times New Roman" w:cs="Times New Roman"/>
                <w:noProof/>
                <w:lang w:val="en-GB"/>
              </w:rPr>
              <w:t>Programme 9</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B068718" w14:textId="77777777" w:rsidR="00DD575F" w:rsidRPr="00A66F03" w:rsidRDefault="00976636" w:rsidP="00B72629">
            <w:pPr>
              <w:spacing w:after="0" w:line="276" w:lineRule="auto"/>
              <w:rPr>
                <w:rFonts w:ascii="Times New Roman" w:hAnsi="Times New Roman" w:cs="Times New Roman"/>
                <w:noProof/>
                <w:lang w:val="en-GB"/>
              </w:rPr>
            </w:pPr>
            <w:r w:rsidRPr="00A66F03">
              <w:rPr>
                <w:rFonts w:ascii="Times New Roman" w:hAnsi="Times New Roman" w:cs="Times New Roman"/>
                <w:noProof/>
                <w:lang w:val="en-GB"/>
              </w:rPr>
              <w:t>transnational: Danube</w:t>
            </w:r>
          </w:p>
        </w:tc>
      </w:tr>
      <w:tr w:rsidR="00143DBE" w:rsidRPr="00A66F03" w14:paraId="63A93482" w14:textId="77777777" w:rsidTr="00A76FF9">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5C6D231" w14:textId="77777777" w:rsidR="00DD575F" w:rsidRPr="00A66F03" w:rsidRDefault="00976636" w:rsidP="00B72629">
            <w:pPr>
              <w:spacing w:after="0" w:line="276" w:lineRule="auto"/>
              <w:rPr>
                <w:rFonts w:ascii="Times New Roman" w:hAnsi="Times New Roman" w:cs="Times New Roman"/>
                <w:noProof/>
                <w:lang w:val="en-GB"/>
              </w:rPr>
            </w:pPr>
            <w:r w:rsidRPr="00A66F03">
              <w:rPr>
                <w:rFonts w:ascii="Times New Roman" w:hAnsi="Times New Roman" w:cs="Times New Roman"/>
                <w:noProof/>
                <w:lang w:val="en-GB"/>
              </w:rPr>
              <w:t>Programme 10</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77A8E12" w14:textId="77777777" w:rsidR="00DD575F" w:rsidRPr="00A66F03" w:rsidRDefault="00976636" w:rsidP="00B72629">
            <w:pPr>
              <w:spacing w:after="0" w:line="276" w:lineRule="auto"/>
              <w:rPr>
                <w:rFonts w:ascii="Times New Roman" w:hAnsi="Times New Roman" w:cs="Times New Roman"/>
                <w:noProof/>
                <w:lang w:val="en-GB"/>
              </w:rPr>
            </w:pPr>
            <w:r w:rsidRPr="00A66F03">
              <w:rPr>
                <w:rFonts w:ascii="Times New Roman" w:hAnsi="Times New Roman" w:cs="Times New Roman"/>
                <w:noProof/>
                <w:lang w:val="en-GB"/>
              </w:rPr>
              <w:t>inter-regional: Interreg Europe</w:t>
            </w:r>
          </w:p>
        </w:tc>
      </w:tr>
      <w:tr w:rsidR="00143DBE" w:rsidRPr="00A66F03" w14:paraId="6B6D80A3" w14:textId="77777777" w:rsidTr="00A76FF9">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D50559C" w14:textId="77777777" w:rsidR="00DD575F" w:rsidRPr="00A66F03" w:rsidRDefault="00976636" w:rsidP="00B72629">
            <w:pPr>
              <w:spacing w:after="0" w:line="276" w:lineRule="auto"/>
              <w:rPr>
                <w:rFonts w:ascii="Times New Roman" w:hAnsi="Times New Roman" w:cs="Times New Roman"/>
                <w:noProof/>
                <w:lang w:val="en-GB"/>
              </w:rPr>
            </w:pPr>
            <w:r w:rsidRPr="00A66F03">
              <w:rPr>
                <w:rFonts w:ascii="Times New Roman" w:hAnsi="Times New Roman" w:cs="Times New Roman"/>
                <w:noProof/>
                <w:lang w:val="en-GB"/>
              </w:rPr>
              <w:t>Programme 11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DF14193" w14:textId="77777777" w:rsidR="00DD575F" w:rsidRPr="00A66F03" w:rsidRDefault="00976636" w:rsidP="00B72629">
            <w:pPr>
              <w:spacing w:after="0" w:line="276" w:lineRule="auto"/>
              <w:rPr>
                <w:rFonts w:ascii="Times New Roman" w:hAnsi="Times New Roman" w:cs="Times New Roman"/>
                <w:noProof/>
                <w:lang w:val="en-GB"/>
              </w:rPr>
            </w:pPr>
            <w:r w:rsidRPr="00A66F03">
              <w:rPr>
                <w:rFonts w:ascii="Times New Roman" w:hAnsi="Times New Roman" w:cs="Times New Roman"/>
                <w:noProof/>
                <w:lang w:val="en-GB"/>
              </w:rPr>
              <w:t>inter-regional: INTERACT</w:t>
            </w:r>
          </w:p>
        </w:tc>
      </w:tr>
      <w:tr w:rsidR="00143DBE" w:rsidRPr="00A66F03" w14:paraId="589AE90A" w14:textId="77777777" w:rsidTr="00A76FF9">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2ECDE0E" w14:textId="77777777" w:rsidR="00DD575F" w:rsidRPr="00A66F03" w:rsidRDefault="00976636" w:rsidP="00B72629">
            <w:pPr>
              <w:spacing w:after="0" w:line="276" w:lineRule="auto"/>
              <w:rPr>
                <w:rFonts w:ascii="Times New Roman" w:hAnsi="Times New Roman" w:cs="Times New Roman"/>
                <w:noProof/>
                <w:lang w:val="en-GB"/>
              </w:rPr>
            </w:pPr>
            <w:r w:rsidRPr="00A66F03">
              <w:rPr>
                <w:rFonts w:ascii="Times New Roman" w:hAnsi="Times New Roman" w:cs="Times New Roman"/>
                <w:noProof/>
                <w:lang w:val="en-GB"/>
              </w:rPr>
              <w:t>Programme 12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40FAE35" w14:textId="77777777" w:rsidR="00DD575F" w:rsidRPr="00A66F03" w:rsidRDefault="00976636" w:rsidP="00B72629">
            <w:pPr>
              <w:spacing w:after="0" w:line="276" w:lineRule="auto"/>
              <w:rPr>
                <w:rFonts w:ascii="Times New Roman" w:hAnsi="Times New Roman" w:cs="Times New Roman"/>
                <w:noProof/>
                <w:lang w:val="en-GB"/>
              </w:rPr>
            </w:pPr>
            <w:r w:rsidRPr="00A66F03">
              <w:rPr>
                <w:rFonts w:ascii="Times New Roman" w:hAnsi="Times New Roman" w:cs="Times New Roman"/>
                <w:noProof/>
                <w:lang w:val="en-GB"/>
              </w:rPr>
              <w:t>inter-regional: ESPON</w:t>
            </w:r>
          </w:p>
        </w:tc>
      </w:tr>
      <w:tr w:rsidR="00143DBE" w:rsidRPr="00A66F03" w14:paraId="0E266FFC" w14:textId="77777777" w:rsidTr="00A76FF9">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9EB10E7" w14:textId="77777777" w:rsidR="00DD575F" w:rsidRPr="00A66F03" w:rsidRDefault="00976636" w:rsidP="00B72629">
            <w:pPr>
              <w:spacing w:after="0" w:line="276" w:lineRule="auto"/>
              <w:rPr>
                <w:rFonts w:ascii="Times New Roman" w:hAnsi="Times New Roman" w:cs="Times New Roman"/>
                <w:noProof/>
                <w:lang w:val="en-GB"/>
              </w:rPr>
            </w:pPr>
            <w:r w:rsidRPr="00A66F03">
              <w:rPr>
                <w:rFonts w:ascii="Times New Roman" w:hAnsi="Times New Roman" w:cs="Times New Roman"/>
                <w:noProof/>
                <w:lang w:val="en-GB"/>
              </w:rPr>
              <w:t xml:space="preserve">Programme 13 </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9F459D0" w14:textId="77777777" w:rsidR="00DD575F" w:rsidRPr="00A66F03" w:rsidRDefault="00976636" w:rsidP="00B72629">
            <w:pPr>
              <w:spacing w:after="0" w:line="276" w:lineRule="auto"/>
              <w:rPr>
                <w:rFonts w:ascii="Times New Roman" w:hAnsi="Times New Roman" w:cs="Times New Roman"/>
                <w:noProof/>
                <w:lang w:val="en-GB"/>
              </w:rPr>
            </w:pPr>
            <w:r w:rsidRPr="00A66F03">
              <w:rPr>
                <w:rFonts w:ascii="Times New Roman" w:hAnsi="Times New Roman" w:cs="Times New Roman"/>
                <w:noProof/>
                <w:lang w:val="en-GB"/>
              </w:rPr>
              <w:t>inter-regional: URBACT</w:t>
            </w:r>
          </w:p>
        </w:tc>
      </w:tr>
    </w:tbl>
    <w:p w14:paraId="166B9E7C" w14:textId="77777777" w:rsidR="00874C8B" w:rsidRPr="00A66F03" w:rsidRDefault="00874C8B" w:rsidP="00B72629">
      <w:pPr>
        <w:pStyle w:val="Naslov1"/>
        <w:spacing w:before="0" w:line="276" w:lineRule="auto"/>
        <w:rPr>
          <w:rFonts w:eastAsia="Times New Roman" w:cs="Times New Roman"/>
          <w:bCs/>
          <w:lang w:val="en-GB"/>
        </w:rPr>
      </w:pPr>
      <w:bookmarkStart w:id="37" w:name="_Toc115336027"/>
      <w:r w:rsidRPr="00A66F03">
        <w:rPr>
          <w:rFonts w:eastAsia="Times New Roman" w:cs="Times New Roman"/>
          <w:bCs/>
          <w:lang w:val="en-GB"/>
        </w:rPr>
        <w:br w:type="page"/>
      </w:r>
    </w:p>
    <w:p w14:paraId="73A2CDD7" w14:textId="06055A73" w:rsidR="00A76FF9" w:rsidRPr="00A66F03" w:rsidRDefault="00976636" w:rsidP="00B72629">
      <w:pPr>
        <w:pStyle w:val="Naslov1"/>
        <w:spacing w:before="0" w:line="276" w:lineRule="auto"/>
        <w:rPr>
          <w:rFonts w:eastAsia="Times New Roman" w:cs="Times New Roman"/>
          <w:lang w:val="en-GB"/>
        </w:rPr>
      </w:pPr>
      <w:r w:rsidRPr="00A66F03">
        <w:rPr>
          <w:rFonts w:eastAsia="Times New Roman" w:cs="Times New Roman"/>
          <w:bCs/>
          <w:lang w:val="en-GB"/>
        </w:rPr>
        <w:lastRenderedPageBreak/>
        <w:t xml:space="preserve">9.   Summary of actions planned to reinforce administrative capacity for the implementation of the funds </w:t>
      </w:r>
      <w:r w:rsidRPr="00A66F03">
        <w:rPr>
          <w:rFonts w:eastAsia="Times New Roman" w:cs="Times New Roman"/>
          <w:bCs/>
          <w:lang w:val="en-GB"/>
        </w:rPr>
        <w:t>covered by the Partnership Agreement</w:t>
      </w:r>
      <w:bookmarkEnd w:id="37"/>
    </w:p>
    <w:p w14:paraId="47BFB341" w14:textId="77777777" w:rsidR="00BE4EEC" w:rsidRPr="00A66F03" w:rsidRDefault="00BE4EEC" w:rsidP="00B72629">
      <w:pPr>
        <w:shd w:val="clear" w:color="auto" w:fill="FFFFFF"/>
        <w:spacing w:after="0" w:line="276" w:lineRule="auto"/>
        <w:jc w:val="both"/>
        <w:rPr>
          <w:rFonts w:ascii="Times New Roman" w:eastAsia="Times New Roman" w:hAnsi="Times New Roman" w:cs="Times New Roman"/>
          <w:b/>
          <w:bCs/>
          <w:color w:val="5B9BD5" w:themeColor="accent1"/>
          <w:sz w:val="27"/>
          <w:szCs w:val="27"/>
          <w:lang w:val="en-GB"/>
        </w:rPr>
      </w:pPr>
    </w:p>
    <w:tbl>
      <w:tblPr>
        <w:tblW w:w="5000" w:type="pct"/>
        <w:tblCellMar>
          <w:top w:w="150" w:type="dxa"/>
          <w:left w:w="150" w:type="dxa"/>
          <w:bottom w:w="150" w:type="dxa"/>
          <w:right w:w="150" w:type="dxa"/>
        </w:tblCellMar>
        <w:tblLook w:val="04A0" w:firstRow="1" w:lastRow="0" w:firstColumn="1" w:lastColumn="0" w:noHBand="0" w:noVBand="1"/>
      </w:tblPr>
      <w:tblGrid>
        <w:gridCol w:w="9072"/>
      </w:tblGrid>
      <w:tr w:rsidR="00143DBE" w:rsidRPr="00A66F03" w14:paraId="2E661B83" w14:textId="77777777" w:rsidTr="003D19B8">
        <w:tc>
          <w:tcPr>
            <w:tcW w:w="0" w:type="auto"/>
            <w:shd w:val="clear" w:color="auto" w:fill="auto"/>
            <w:tcMar>
              <w:top w:w="0" w:type="dxa"/>
              <w:left w:w="0" w:type="dxa"/>
              <w:bottom w:w="0" w:type="dxa"/>
              <w:right w:w="0" w:type="dxa"/>
            </w:tcMar>
            <w:vAlign w:val="center"/>
          </w:tcPr>
          <w:p w14:paraId="204CB216" w14:textId="77777777" w:rsidR="00BB2C14" w:rsidRPr="00A66F03" w:rsidRDefault="00976636" w:rsidP="00B72629">
            <w:pPr>
              <w:spacing w:after="0" w:line="276" w:lineRule="auto"/>
              <w:jc w:val="both"/>
              <w:rPr>
                <w:rFonts w:ascii="Times New Roman" w:eastAsia="Times New Roman" w:hAnsi="Times New Roman" w:cs="Times New Roman"/>
                <w:iCs/>
                <w:lang w:val="en-GB"/>
              </w:rPr>
            </w:pPr>
            <w:r w:rsidRPr="00A66F03">
              <w:rPr>
                <w:rFonts w:ascii="Times New Roman" w:eastAsia="Times New Roman" w:hAnsi="Times New Roman" w:cs="Times New Roman"/>
                <w:lang w:val="en-GB"/>
              </w:rPr>
              <w:t>For the implementation of EU cohesion policy 2021–2027, we address in more detail the area of governance quality under the specific ‘Strengthening Good Governance and Administrative Capacity for Cohesion Policy 2021–20</w:t>
            </w:r>
            <w:r w:rsidRPr="00A66F03">
              <w:rPr>
                <w:rFonts w:ascii="Times New Roman" w:eastAsia="Times New Roman" w:hAnsi="Times New Roman" w:cs="Times New Roman"/>
                <w:lang w:val="en-GB"/>
              </w:rPr>
              <w:t>27’ roadmap. As a parallel document to the Partnership Agreement, the roadmap arises from the Commission’s practical ‘Roadmaps for Administrative Capacity Building’ toolbox, which is based on the lessons learned from the pilot action on maximum administrat</w:t>
            </w:r>
            <w:r w:rsidRPr="00A66F03">
              <w:rPr>
                <w:rFonts w:ascii="Times New Roman" w:eastAsia="Times New Roman" w:hAnsi="Times New Roman" w:cs="Times New Roman"/>
                <w:lang w:val="en-GB"/>
              </w:rPr>
              <w:t>ive capacity building in the initial phase for preparations for the post-2020 programming period, carried out by the OECD on behalf of and in close cooperation with REGIO). This part therefore builds on the strengths and weaknesses identified in the roadma</w:t>
            </w:r>
            <w:r w:rsidRPr="00A66F03">
              <w:rPr>
                <w:rFonts w:ascii="Times New Roman" w:eastAsia="Times New Roman" w:hAnsi="Times New Roman" w:cs="Times New Roman"/>
                <w:lang w:val="en-GB"/>
              </w:rPr>
              <w:t>p and the related actions to strengthen good governance and build administrative capacity for EU cohesion policy in relation to the key areas of challenge (which also incorporates the Commission’s recommendations from the Investment Guidelines for Cohesion</w:t>
            </w:r>
            <w:r w:rsidRPr="00A66F03">
              <w:rPr>
                <w:rFonts w:ascii="Times New Roman" w:eastAsia="Times New Roman" w:hAnsi="Times New Roman" w:cs="Times New Roman"/>
                <w:lang w:val="en-GB"/>
              </w:rPr>
              <w:t xml:space="preserve"> Policy Funding for Slovenia 2021–2027).</w:t>
            </w:r>
          </w:p>
          <w:p w14:paraId="3958B7EE" w14:textId="77777777" w:rsidR="00BB2C14" w:rsidRPr="00A66F03" w:rsidRDefault="00BB2C14" w:rsidP="00B72629">
            <w:pPr>
              <w:spacing w:after="0" w:line="276" w:lineRule="auto"/>
              <w:jc w:val="both"/>
              <w:rPr>
                <w:rFonts w:ascii="Times New Roman" w:eastAsia="Times New Roman" w:hAnsi="Times New Roman" w:cs="Times New Roman"/>
                <w:iCs/>
                <w:lang w:val="en-GB"/>
              </w:rPr>
            </w:pPr>
          </w:p>
          <w:p w14:paraId="1B94F94F" w14:textId="77777777" w:rsidR="00BB2C14" w:rsidRPr="00A66F03" w:rsidRDefault="00976636" w:rsidP="00B72629">
            <w:pPr>
              <w:numPr>
                <w:ilvl w:val="0"/>
                <w:numId w:val="26"/>
              </w:numPr>
              <w:spacing w:after="0" w:line="276" w:lineRule="auto"/>
              <w:jc w:val="both"/>
              <w:rPr>
                <w:rFonts w:ascii="Times New Roman" w:eastAsia="Times New Roman" w:hAnsi="Times New Roman" w:cs="Times New Roman"/>
                <w:iCs/>
                <w:lang w:val="en-GB"/>
              </w:rPr>
            </w:pPr>
            <w:r w:rsidRPr="00A66F03">
              <w:rPr>
                <w:rFonts w:ascii="Times New Roman" w:eastAsia="Times New Roman" w:hAnsi="Times New Roman" w:cs="Times New Roman"/>
                <w:lang w:val="en-GB"/>
              </w:rPr>
              <w:t xml:space="preserve">As part of </w:t>
            </w:r>
            <w:r w:rsidRPr="00A66F03">
              <w:rPr>
                <w:rFonts w:ascii="Times New Roman" w:eastAsia="Times New Roman" w:hAnsi="Times New Roman" w:cs="Times New Roman"/>
                <w:b/>
                <w:bCs/>
                <w:lang w:val="en-GB"/>
              </w:rPr>
              <w:t>the actions on human and organisational management</w:t>
            </w:r>
            <w:r w:rsidRPr="00A66F03">
              <w:rPr>
                <w:rFonts w:ascii="Times New Roman" w:eastAsia="Times New Roman" w:hAnsi="Times New Roman" w:cs="Times New Roman"/>
                <w:lang w:val="en-GB"/>
              </w:rPr>
              <w:t>, we will provide support to the following in particular:</w:t>
            </w:r>
          </w:p>
          <w:p w14:paraId="3D2D08FE" w14:textId="77777777" w:rsidR="00BB2C14" w:rsidRPr="00A66F03" w:rsidRDefault="00976636" w:rsidP="00B72629">
            <w:pPr>
              <w:numPr>
                <w:ilvl w:val="0"/>
                <w:numId w:val="25"/>
              </w:numPr>
              <w:spacing w:after="0" w:line="276" w:lineRule="auto"/>
              <w:jc w:val="both"/>
              <w:rPr>
                <w:rFonts w:ascii="Times New Roman" w:eastAsia="Times New Roman" w:hAnsi="Times New Roman" w:cs="Times New Roman"/>
                <w:iCs/>
                <w:lang w:val="en-GB"/>
              </w:rPr>
            </w:pPr>
            <w:r w:rsidRPr="00A66F03">
              <w:rPr>
                <w:rFonts w:ascii="Times New Roman" w:eastAsia="Times New Roman" w:hAnsi="Times New Roman" w:cs="Times New Roman"/>
                <w:lang w:val="en-GB"/>
              </w:rPr>
              <w:t>a broadening of methods used to find skilled staff and introducing new recruits accordingly;</w:t>
            </w:r>
          </w:p>
          <w:p w14:paraId="03BEC215" w14:textId="77777777" w:rsidR="00BB2C14" w:rsidRPr="00A66F03" w:rsidRDefault="00976636" w:rsidP="00B72629">
            <w:pPr>
              <w:numPr>
                <w:ilvl w:val="0"/>
                <w:numId w:val="25"/>
              </w:numPr>
              <w:spacing w:after="0" w:line="276" w:lineRule="auto"/>
              <w:jc w:val="both"/>
              <w:rPr>
                <w:rFonts w:ascii="Times New Roman" w:eastAsia="Times New Roman" w:hAnsi="Times New Roman" w:cs="Times New Roman"/>
                <w:iCs/>
                <w:lang w:val="en-GB"/>
              </w:rPr>
            </w:pPr>
            <w:r w:rsidRPr="00A66F03">
              <w:rPr>
                <w:rFonts w:ascii="Times New Roman" w:eastAsia="Times New Roman" w:hAnsi="Times New Roman" w:cs="Times New Roman"/>
                <w:lang w:val="en-GB"/>
              </w:rPr>
              <w:t>professional education and training; and</w:t>
            </w:r>
          </w:p>
          <w:p w14:paraId="48284FE2" w14:textId="77777777" w:rsidR="00BB2C14" w:rsidRPr="00A66F03" w:rsidRDefault="00976636" w:rsidP="00B72629">
            <w:pPr>
              <w:numPr>
                <w:ilvl w:val="0"/>
                <w:numId w:val="25"/>
              </w:numPr>
              <w:spacing w:after="0" w:line="276" w:lineRule="auto"/>
              <w:jc w:val="both"/>
              <w:rPr>
                <w:rFonts w:ascii="Times New Roman" w:eastAsia="Times New Roman" w:hAnsi="Times New Roman" w:cs="Times New Roman"/>
                <w:iCs/>
                <w:lang w:val="en-GB"/>
              </w:rPr>
            </w:pPr>
            <w:r w:rsidRPr="00A66F03">
              <w:rPr>
                <w:rFonts w:ascii="Times New Roman" w:eastAsia="Times New Roman" w:hAnsi="Times New Roman" w:cs="Times New Roman"/>
                <w:lang w:val="en-GB"/>
              </w:rPr>
              <w:t>special management training.</w:t>
            </w:r>
          </w:p>
          <w:p w14:paraId="4D8D6A0A" w14:textId="77777777" w:rsidR="00BB2C14" w:rsidRPr="00A66F03" w:rsidRDefault="00BB2C14" w:rsidP="00B72629">
            <w:pPr>
              <w:spacing w:after="0" w:line="276" w:lineRule="auto"/>
              <w:jc w:val="both"/>
              <w:rPr>
                <w:rFonts w:ascii="Times New Roman" w:eastAsia="Times New Roman" w:hAnsi="Times New Roman" w:cs="Times New Roman"/>
                <w:iCs/>
                <w:lang w:val="en-GB"/>
              </w:rPr>
            </w:pPr>
          </w:p>
          <w:p w14:paraId="4529F2C6" w14:textId="77777777" w:rsidR="00BB2C14" w:rsidRPr="00A66F03" w:rsidRDefault="00976636" w:rsidP="00B72629">
            <w:pPr>
              <w:numPr>
                <w:ilvl w:val="0"/>
                <w:numId w:val="26"/>
              </w:numPr>
              <w:spacing w:after="0" w:line="276" w:lineRule="auto"/>
              <w:jc w:val="both"/>
              <w:rPr>
                <w:rFonts w:ascii="Times New Roman" w:eastAsia="Times New Roman" w:hAnsi="Times New Roman" w:cs="Times New Roman"/>
                <w:iCs/>
                <w:lang w:val="en-GB"/>
              </w:rPr>
            </w:pPr>
            <w:r w:rsidRPr="00A66F03">
              <w:rPr>
                <w:rFonts w:ascii="Times New Roman" w:eastAsia="Times New Roman" w:hAnsi="Times New Roman" w:cs="Times New Roman"/>
                <w:lang w:val="en-GB"/>
              </w:rPr>
              <w:t xml:space="preserve">As part of the actions </w:t>
            </w:r>
            <w:r w:rsidRPr="00A66F03">
              <w:rPr>
                <w:rFonts w:ascii="Times New Roman" w:eastAsia="Times New Roman" w:hAnsi="Times New Roman" w:cs="Times New Roman"/>
                <w:b/>
                <w:bCs/>
                <w:lang w:val="en-GB"/>
              </w:rPr>
              <w:t>for the strategic implementation of the programme</w:t>
            </w:r>
            <w:r w:rsidRPr="00A66F03">
              <w:rPr>
                <w:rFonts w:ascii="Times New Roman" w:eastAsia="Times New Roman" w:hAnsi="Times New Roman" w:cs="Times New Roman"/>
                <w:lang w:val="en-GB"/>
              </w:rPr>
              <w:t>, we will provide support to the following in particular:</w:t>
            </w:r>
          </w:p>
          <w:p w14:paraId="75537A68" w14:textId="77777777" w:rsidR="00BB2C14" w:rsidRPr="00A66F03" w:rsidRDefault="00976636" w:rsidP="00B72629">
            <w:pPr>
              <w:numPr>
                <w:ilvl w:val="0"/>
                <w:numId w:val="25"/>
              </w:numPr>
              <w:spacing w:after="0" w:line="276" w:lineRule="auto"/>
              <w:jc w:val="both"/>
              <w:rPr>
                <w:rFonts w:ascii="Times New Roman" w:eastAsia="Times New Roman" w:hAnsi="Times New Roman" w:cs="Times New Roman"/>
                <w:iCs/>
                <w:lang w:val="en-GB"/>
              </w:rPr>
            </w:pPr>
            <w:r w:rsidRPr="00A66F03">
              <w:rPr>
                <w:rFonts w:ascii="Times New Roman" w:eastAsia="Times New Roman" w:hAnsi="Times New Roman" w:cs="Times New Roman"/>
                <w:lang w:val="en-GB"/>
              </w:rPr>
              <w:t>the preparation and implementation of the ‘Strengthenin</w:t>
            </w:r>
            <w:r w:rsidRPr="00A66F03">
              <w:rPr>
                <w:rFonts w:ascii="Times New Roman" w:eastAsia="Times New Roman" w:hAnsi="Times New Roman" w:cs="Times New Roman"/>
                <w:lang w:val="en-GB"/>
              </w:rPr>
              <w:t>g Good Governance and Administrative Capacity for Cohesion Policy 2021–2027’ roadmap;</w:t>
            </w:r>
          </w:p>
          <w:p w14:paraId="1E8BD7E0" w14:textId="77777777" w:rsidR="00BB2C14" w:rsidRPr="00A66F03" w:rsidRDefault="00976636" w:rsidP="00B72629">
            <w:pPr>
              <w:numPr>
                <w:ilvl w:val="0"/>
                <w:numId w:val="25"/>
              </w:numPr>
              <w:spacing w:after="0" w:line="276" w:lineRule="auto"/>
              <w:jc w:val="both"/>
              <w:rPr>
                <w:rFonts w:ascii="Times New Roman" w:eastAsia="Times New Roman" w:hAnsi="Times New Roman" w:cs="Times New Roman"/>
                <w:iCs/>
                <w:lang w:val="en-GB"/>
              </w:rPr>
            </w:pPr>
            <w:r w:rsidRPr="00A66F03">
              <w:rPr>
                <w:rFonts w:ascii="Times New Roman" w:eastAsia="Times New Roman" w:hAnsi="Times New Roman" w:cs="Times New Roman"/>
                <w:lang w:val="en-GB"/>
              </w:rPr>
              <w:t xml:space="preserve">creation of a new website </w:t>
            </w:r>
            <w:hyperlink r:id="rId11" w:history="1">
              <w:r w:rsidRPr="00A66F03">
                <w:rPr>
                  <w:rStyle w:val="Hiperpovezava"/>
                  <w:rFonts w:ascii="Times New Roman" w:eastAsia="Times New Roman" w:hAnsi="Times New Roman" w:cs="Times New Roman"/>
                  <w:lang w:val="en-GB"/>
                </w:rPr>
                <w:t>www.evropskasredstva.si</w:t>
              </w:r>
            </w:hyperlink>
            <w:r w:rsidRPr="00A66F03">
              <w:rPr>
                <w:rFonts w:ascii="Times New Roman" w:eastAsia="Times New Roman" w:hAnsi="Times New Roman" w:cs="Times New Roman"/>
                <w:lang w:val="en-GB"/>
              </w:rPr>
              <w:t>,</w:t>
            </w:r>
          </w:p>
          <w:p w14:paraId="75E57C05" w14:textId="77777777" w:rsidR="00BB2C14" w:rsidRPr="00A66F03" w:rsidRDefault="00976636" w:rsidP="00B72629">
            <w:pPr>
              <w:numPr>
                <w:ilvl w:val="0"/>
                <w:numId w:val="25"/>
              </w:numPr>
              <w:spacing w:after="0" w:line="276" w:lineRule="auto"/>
              <w:jc w:val="both"/>
              <w:rPr>
                <w:rFonts w:ascii="Times New Roman" w:eastAsia="Times New Roman" w:hAnsi="Times New Roman" w:cs="Times New Roman"/>
                <w:iCs/>
                <w:lang w:val="en-GB"/>
              </w:rPr>
            </w:pPr>
            <w:r w:rsidRPr="00A66F03">
              <w:rPr>
                <w:rFonts w:ascii="Times New Roman" w:eastAsia="Times New Roman" w:hAnsi="Times New Roman" w:cs="Times New Roman"/>
                <w:lang w:val="en-GB"/>
              </w:rPr>
              <w:t>assistance in finding information;</w:t>
            </w:r>
          </w:p>
          <w:p w14:paraId="7FD3CF3D" w14:textId="77777777" w:rsidR="00BB2C14" w:rsidRPr="00A66F03" w:rsidRDefault="00976636" w:rsidP="00B72629">
            <w:pPr>
              <w:numPr>
                <w:ilvl w:val="0"/>
                <w:numId w:val="25"/>
              </w:numPr>
              <w:spacing w:after="0" w:line="276" w:lineRule="auto"/>
              <w:jc w:val="both"/>
              <w:rPr>
                <w:rFonts w:ascii="Times New Roman" w:eastAsia="Times New Roman" w:hAnsi="Times New Roman" w:cs="Times New Roman"/>
                <w:iCs/>
                <w:lang w:val="en-GB"/>
              </w:rPr>
            </w:pPr>
            <w:r w:rsidRPr="00A66F03">
              <w:rPr>
                <w:rFonts w:ascii="Times New Roman" w:eastAsia="Times New Roman" w:hAnsi="Times New Roman" w:cs="Times New Roman"/>
                <w:lang w:val="en-GB"/>
              </w:rPr>
              <w:t>the establishment of a new informatio</w:t>
            </w:r>
            <w:r w:rsidRPr="00A66F03">
              <w:rPr>
                <w:rFonts w:ascii="Times New Roman" w:eastAsia="Times New Roman" w:hAnsi="Times New Roman" w:cs="Times New Roman"/>
                <w:lang w:val="en-GB"/>
              </w:rPr>
              <w:t>n system (to enable proper monitoring and implementation of EU funds);</w:t>
            </w:r>
          </w:p>
          <w:p w14:paraId="7BC24813" w14:textId="77777777" w:rsidR="00BB2C14" w:rsidRPr="00A66F03" w:rsidRDefault="00976636" w:rsidP="00B72629">
            <w:pPr>
              <w:numPr>
                <w:ilvl w:val="0"/>
                <w:numId w:val="25"/>
              </w:numPr>
              <w:spacing w:after="0" w:line="276" w:lineRule="auto"/>
              <w:jc w:val="both"/>
              <w:rPr>
                <w:rFonts w:ascii="Times New Roman" w:eastAsia="Times New Roman" w:hAnsi="Times New Roman" w:cs="Times New Roman"/>
                <w:iCs/>
                <w:lang w:val="en-GB"/>
              </w:rPr>
            </w:pPr>
            <w:r w:rsidRPr="00A66F03">
              <w:rPr>
                <w:rFonts w:ascii="Times New Roman" w:eastAsia="Times New Roman" w:hAnsi="Times New Roman" w:cs="Times New Roman"/>
                <w:lang w:val="en-GB"/>
              </w:rPr>
              <w:t>the regular review and adjustment of the organisational structure;</w:t>
            </w:r>
          </w:p>
          <w:p w14:paraId="6753F6EA" w14:textId="77777777" w:rsidR="00BB2C14" w:rsidRPr="00A66F03" w:rsidRDefault="00976636" w:rsidP="00B72629">
            <w:pPr>
              <w:numPr>
                <w:ilvl w:val="0"/>
                <w:numId w:val="25"/>
              </w:numPr>
              <w:spacing w:after="0" w:line="276" w:lineRule="auto"/>
              <w:jc w:val="both"/>
              <w:rPr>
                <w:rFonts w:ascii="Times New Roman" w:eastAsia="Times New Roman" w:hAnsi="Times New Roman" w:cs="Times New Roman"/>
                <w:iCs/>
                <w:lang w:val="en-GB"/>
              </w:rPr>
            </w:pPr>
            <w:r w:rsidRPr="00A66F03">
              <w:rPr>
                <w:rFonts w:ascii="Times New Roman" w:eastAsia="Times New Roman" w:hAnsi="Times New Roman" w:cs="Times New Roman"/>
                <w:lang w:val="en-GB"/>
              </w:rPr>
              <w:t xml:space="preserve">the promotion of cross-sectoral cooperation and communication; </w:t>
            </w:r>
          </w:p>
          <w:p w14:paraId="1B344C25" w14:textId="77777777" w:rsidR="00BB2C14" w:rsidRPr="00A66F03" w:rsidRDefault="00976636" w:rsidP="00B72629">
            <w:pPr>
              <w:numPr>
                <w:ilvl w:val="0"/>
                <w:numId w:val="25"/>
              </w:numPr>
              <w:spacing w:after="0" w:line="276" w:lineRule="auto"/>
              <w:jc w:val="both"/>
              <w:rPr>
                <w:rFonts w:ascii="Times New Roman" w:eastAsia="Times New Roman" w:hAnsi="Times New Roman" w:cs="Times New Roman"/>
                <w:iCs/>
                <w:lang w:val="en-GB"/>
              </w:rPr>
            </w:pPr>
            <w:r w:rsidRPr="00A66F03">
              <w:rPr>
                <w:rFonts w:ascii="Times New Roman" w:eastAsia="Times New Roman" w:hAnsi="Times New Roman" w:cs="Times New Roman"/>
                <w:lang w:val="en-GB"/>
              </w:rPr>
              <w:t xml:space="preserve">enhanced dialogue and increased capacity of </w:t>
            </w:r>
            <w:r w:rsidRPr="00A66F03">
              <w:rPr>
                <w:rFonts w:ascii="Times New Roman" w:eastAsia="Times New Roman" w:hAnsi="Times New Roman" w:cs="Times New Roman"/>
                <w:lang w:val="en-GB"/>
              </w:rPr>
              <w:t>intermediate bodies and final beneficiaries to prepare and implement projects; a focus on increasing the administrative capacity of the intermediate body responsible for Integrated Territorial Investment; and</w:t>
            </w:r>
          </w:p>
          <w:p w14:paraId="4059F8D0" w14:textId="77777777" w:rsidR="00BB2C14" w:rsidRPr="00A66F03" w:rsidRDefault="00976636" w:rsidP="00B72629">
            <w:pPr>
              <w:numPr>
                <w:ilvl w:val="0"/>
                <w:numId w:val="25"/>
              </w:numPr>
              <w:spacing w:after="0" w:line="276" w:lineRule="auto"/>
              <w:jc w:val="both"/>
              <w:rPr>
                <w:rFonts w:ascii="Times New Roman" w:eastAsia="Times New Roman" w:hAnsi="Times New Roman" w:cs="Times New Roman"/>
                <w:iCs/>
                <w:lang w:val="en-GB"/>
              </w:rPr>
            </w:pPr>
            <w:r w:rsidRPr="00A66F03">
              <w:rPr>
                <w:rFonts w:ascii="Times New Roman" w:eastAsia="Times New Roman" w:hAnsi="Times New Roman" w:cs="Times New Roman"/>
                <w:lang w:val="en-GB"/>
              </w:rPr>
              <w:t>adequate remuneration for employees.</w:t>
            </w:r>
          </w:p>
          <w:p w14:paraId="56AB2771" w14:textId="77777777" w:rsidR="00BB2C14" w:rsidRPr="00A66F03" w:rsidRDefault="00BB2C14" w:rsidP="00B72629">
            <w:pPr>
              <w:spacing w:after="0" w:line="276" w:lineRule="auto"/>
              <w:jc w:val="both"/>
              <w:rPr>
                <w:rFonts w:ascii="Times New Roman" w:eastAsia="Times New Roman" w:hAnsi="Times New Roman" w:cs="Times New Roman"/>
                <w:iCs/>
                <w:lang w:val="en-GB"/>
              </w:rPr>
            </w:pPr>
          </w:p>
          <w:p w14:paraId="7F14F8C2" w14:textId="77777777" w:rsidR="00BB2C14" w:rsidRPr="00A66F03" w:rsidRDefault="00976636" w:rsidP="00B72629">
            <w:pPr>
              <w:numPr>
                <w:ilvl w:val="0"/>
                <w:numId w:val="26"/>
              </w:numPr>
              <w:spacing w:after="0" w:line="276" w:lineRule="auto"/>
              <w:jc w:val="both"/>
              <w:rPr>
                <w:rFonts w:ascii="Times New Roman" w:eastAsia="Times New Roman" w:hAnsi="Times New Roman" w:cs="Times New Roman"/>
                <w:iCs/>
                <w:lang w:val="en-GB"/>
              </w:rPr>
            </w:pPr>
            <w:r w:rsidRPr="00A66F03">
              <w:rPr>
                <w:rFonts w:ascii="Times New Roman" w:eastAsia="Times New Roman" w:hAnsi="Times New Roman" w:cs="Times New Roman"/>
                <w:lang w:val="en-GB"/>
              </w:rPr>
              <w:t>As part o</w:t>
            </w:r>
            <w:r w:rsidRPr="00A66F03">
              <w:rPr>
                <w:rFonts w:ascii="Times New Roman" w:eastAsia="Times New Roman" w:hAnsi="Times New Roman" w:cs="Times New Roman"/>
                <w:lang w:val="en-GB"/>
              </w:rPr>
              <w:t xml:space="preserve">f </w:t>
            </w:r>
            <w:r w:rsidRPr="00A66F03">
              <w:rPr>
                <w:rFonts w:ascii="Times New Roman" w:eastAsia="Times New Roman" w:hAnsi="Times New Roman" w:cs="Times New Roman"/>
                <w:b/>
                <w:bCs/>
                <w:lang w:val="en-GB"/>
              </w:rPr>
              <w:t xml:space="preserve">the enabling framework conditions </w:t>
            </w:r>
            <w:r w:rsidRPr="00A66F03">
              <w:rPr>
                <w:rFonts w:ascii="Times New Roman" w:eastAsia="Times New Roman" w:hAnsi="Times New Roman" w:cs="Times New Roman"/>
                <w:lang w:val="en-GB"/>
              </w:rPr>
              <w:t>measures, we will provide support to the following in particular:</w:t>
            </w:r>
          </w:p>
          <w:p w14:paraId="62981B18" w14:textId="77777777" w:rsidR="00BB2C14" w:rsidRPr="00A66F03" w:rsidRDefault="00976636" w:rsidP="00B72629">
            <w:pPr>
              <w:numPr>
                <w:ilvl w:val="0"/>
                <w:numId w:val="25"/>
              </w:numPr>
              <w:spacing w:after="0" w:line="276" w:lineRule="auto"/>
              <w:jc w:val="both"/>
              <w:rPr>
                <w:rFonts w:ascii="Times New Roman" w:eastAsia="Times New Roman" w:hAnsi="Times New Roman" w:cs="Times New Roman"/>
                <w:iCs/>
                <w:lang w:val="en-GB"/>
              </w:rPr>
            </w:pPr>
            <w:r w:rsidRPr="00A66F03">
              <w:rPr>
                <w:rFonts w:ascii="Times New Roman" w:eastAsia="Times New Roman" w:hAnsi="Times New Roman" w:cs="Times New Roman"/>
                <w:lang w:val="en-GB"/>
              </w:rPr>
              <w:t>regular consultations with stakeholders;</w:t>
            </w:r>
          </w:p>
          <w:p w14:paraId="005441DD" w14:textId="77777777" w:rsidR="00BB2C14" w:rsidRPr="00A66F03" w:rsidRDefault="00976636" w:rsidP="00CF3C20">
            <w:pPr>
              <w:numPr>
                <w:ilvl w:val="0"/>
                <w:numId w:val="25"/>
              </w:numPr>
              <w:spacing w:after="0" w:line="276" w:lineRule="auto"/>
              <w:jc w:val="both"/>
              <w:rPr>
                <w:rFonts w:ascii="Times New Roman" w:eastAsia="Times New Roman" w:hAnsi="Times New Roman" w:cs="Times New Roman"/>
                <w:iCs/>
                <w:lang w:val="en-GB"/>
              </w:rPr>
            </w:pPr>
            <w:r w:rsidRPr="00A66F03">
              <w:rPr>
                <w:rFonts w:ascii="Times New Roman" w:eastAsia="Times New Roman" w:hAnsi="Times New Roman" w:cs="Times New Roman"/>
                <w:lang w:val="en-GB"/>
              </w:rPr>
              <w:t>the organisation of meetings with the various stakeholders involved in the implementation system in order to reso</w:t>
            </w:r>
            <w:r w:rsidRPr="00A66F03">
              <w:rPr>
                <w:rFonts w:ascii="Times New Roman" w:eastAsia="Times New Roman" w:hAnsi="Times New Roman" w:cs="Times New Roman"/>
                <w:lang w:val="en-GB"/>
              </w:rPr>
              <w:t>lve current problems in a prompt and timely manner, thereby ensuring that the Programme is managed effectively;</w:t>
            </w:r>
          </w:p>
          <w:p w14:paraId="3B6F5C1B" w14:textId="77777777" w:rsidR="00BB2C14" w:rsidRPr="00A66F03" w:rsidRDefault="00976636" w:rsidP="00B72629">
            <w:pPr>
              <w:numPr>
                <w:ilvl w:val="0"/>
                <w:numId w:val="25"/>
              </w:numPr>
              <w:spacing w:after="0" w:line="276" w:lineRule="auto"/>
              <w:jc w:val="both"/>
              <w:rPr>
                <w:rFonts w:ascii="Times New Roman" w:eastAsia="Times New Roman" w:hAnsi="Times New Roman" w:cs="Times New Roman"/>
                <w:iCs/>
                <w:lang w:val="en-GB"/>
              </w:rPr>
            </w:pPr>
            <w:r w:rsidRPr="00A66F03">
              <w:rPr>
                <w:rFonts w:ascii="Times New Roman" w:eastAsia="Times New Roman" w:hAnsi="Times New Roman" w:cs="Times New Roman"/>
                <w:lang w:val="en-GB"/>
              </w:rPr>
              <w:t>an expansion of the channels through which public calls to tender are published;</w:t>
            </w:r>
          </w:p>
          <w:p w14:paraId="3A2D40B7" w14:textId="77777777" w:rsidR="00BB2C14" w:rsidRPr="00A66F03" w:rsidRDefault="00976636" w:rsidP="00B72629">
            <w:pPr>
              <w:numPr>
                <w:ilvl w:val="0"/>
                <w:numId w:val="25"/>
              </w:numPr>
              <w:spacing w:after="0" w:line="276" w:lineRule="auto"/>
              <w:jc w:val="both"/>
              <w:rPr>
                <w:rFonts w:ascii="Times New Roman" w:eastAsia="Times New Roman" w:hAnsi="Times New Roman" w:cs="Times New Roman"/>
                <w:iCs/>
                <w:lang w:val="en-GB"/>
              </w:rPr>
            </w:pPr>
            <w:r w:rsidRPr="00A66F03">
              <w:rPr>
                <w:rFonts w:ascii="Times New Roman" w:eastAsia="Times New Roman" w:hAnsi="Times New Roman" w:cs="Times New Roman"/>
                <w:lang w:val="en-GB"/>
              </w:rPr>
              <w:t xml:space="preserve">the regular collection and analysis of feedback from all those </w:t>
            </w:r>
            <w:r w:rsidRPr="00A66F03">
              <w:rPr>
                <w:rFonts w:ascii="Times New Roman" w:eastAsia="Times New Roman" w:hAnsi="Times New Roman" w:cs="Times New Roman"/>
                <w:lang w:val="en-GB"/>
              </w:rPr>
              <w:t>involved in the management and control system;</w:t>
            </w:r>
          </w:p>
          <w:p w14:paraId="75188A96" w14:textId="77777777" w:rsidR="00BB2C14" w:rsidRPr="00A66F03" w:rsidRDefault="00976636" w:rsidP="00B72629">
            <w:pPr>
              <w:numPr>
                <w:ilvl w:val="0"/>
                <w:numId w:val="25"/>
              </w:numPr>
              <w:spacing w:after="0" w:line="276" w:lineRule="auto"/>
              <w:jc w:val="both"/>
              <w:rPr>
                <w:rFonts w:ascii="Times New Roman" w:eastAsia="Times New Roman" w:hAnsi="Times New Roman" w:cs="Times New Roman"/>
                <w:iCs/>
                <w:lang w:val="en-GB"/>
              </w:rPr>
            </w:pPr>
            <w:r w:rsidRPr="00A66F03">
              <w:rPr>
                <w:rFonts w:ascii="Times New Roman" w:eastAsia="Times New Roman" w:hAnsi="Times New Roman" w:cs="Times New Roman"/>
                <w:lang w:val="en-GB"/>
              </w:rPr>
              <w:t xml:space="preserve">a reduction in the administrative burden, improved and simplified procedures and elimination of excessive documentation and bureaucracy requirements for project proposals (e.g. </w:t>
            </w:r>
            <w:r w:rsidRPr="00A66F03">
              <w:rPr>
                <w:rFonts w:ascii="Times New Roman" w:eastAsia="Times New Roman" w:hAnsi="Times New Roman" w:cs="Times New Roman"/>
                <w:lang w:val="en-GB"/>
              </w:rPr>
              <w:lastRenderedPageBreak/>
              <w:t>amendments to instructions and l</w:t>
            </w:r>
            <w:r w:rsidRPr="00A66F03">
              <w:rPr>
                <w:rFonts w:ascii="Times New Roman" w:eastAsia="Times New Roman" w:hAnsi="Times New Roman" w:cs="Times New Roman"/>
                <w:lang w:val="en-GB"/>
              </w:rPr>
              <w:t>egislation, clearer, more harmonised and simpler procedures, the preparation of guidelines and forms to ensure high quality and transparency, etc.);</w:t>
            </w:r>
          </w:p>
          <w:p w14:paraId="4989A217" w14:textId="77777777" w:rsidR="00BB2C14" w:rsidRPr="00A66F03" w:rsidRDefault="00976636" w:rsidP="00B72629">
            <w:pPr>
              <w:numPr>
                <w:ilvl w:val="0"/>
                <w:numId w:val="25"/>
              </w:numPr>
              <w:spacing w:after="0" w:line="276" w:lineRule="auto"/>
              <w:jc w:val="both"/>
              <w:rPr>
                <w:rFonts w:ascii="Times New Roman" w:eastAsia="Times New Roman" w:hAnsi="Times New Roman" w:cs="Times New Roman"/>
                <w:iCs/>
                <w:lang w:val="en-GB"/>
              </w:rPr>
            </w:pPr>
            <w:r w:rsidRPr="00A66F03">
              <w:rPr>
                <w:rFonts w:ascii="Times New Roman" w:eastAsia="Times New Roman" w:hAnsi="Times New Roman" w:cs="Times New Roman"/>
                <w:lang w:val="en-GB"/>
              </w:rPr>
              <w:t>the organisation of meetings of members and strategic cooperation with the Chamber of Crafts and Small Busi</w:t>
            </w:r>
            <w:r w:rsidRPr="00A66F03">
              <w:rPr>
                <w:rFonts w:ascii="Times New Roman" w:eastAsia="Times New Roman" w:hAnsi="Times New Roman" w:cs="Times New Roman"/>
                <w:lang w:val="en-GB"/>
              </w:rPr>
              <w:t>ness of Slovenia;</w:t>
            </w:r>
          </w:p>
          <w:p w14:paraId="401C211A" w14:textId="77777777" w:rsidR="00BB2C14" w:rsidRPr="00A66F03" w:rsidRDefault="00976636" w:rsidP="00B72629">
            <w:pPr>
              <w:numPr>
                <w:ilvl w:val="0"/>
                <w:numId w:val="25"/>
              </w:numPr>
              <w:spacing w:after="0" w:line="276" w:lineRule="auto"/>
              <w:jc w:val="both"/>
              <w:rPr>
                <w:rFonts w:ascii="Times New Roman" w:eastAsia="Times New Roman" w:hAnsi="Times New Roman" w:cs="Times New Roman"/>
                <w:iCs/>
                <w:lang w:val="en-GB"/>
              </w:rPr>
            </w:pPr>
            <w:r w:rsidRPr="00A66F03">
              <w:rPr>
                <w:rFonts w:ascii="Times New Roman" w:eastAsia="Times New Roman" w:hAnsi="Times New Roman" w:cs="Times New Roman"/>
                <w:lang w:val="en-GB"/>
              </w:rPr>
              <w:t>the exchange of data and information through IT systems and through regular meetings;</w:t>
            </w:r>
          </w:p>
          <w:p w14:paraId="122EA6A2" w14:textId="77777777" w:rsidR="00BB2C14" w:rsidRPr="00A66F03" w:rsidRDefault="00976636" w:rsidP="00B72629">
            <w:pPr>
              <w:numPr>
                <w:ilvl w:val="0"/>
                <w:numId w:val="25"/>
              </w:numPr>
              <w:spacing w:after="0" w:line="276" w:lineRule="auto"/>
              <w:jc w:val="both"/>
              <w:rPr>
                <w:rFonts w:ascii="Times New Roman" w:eastAsia="Times New Roman" w:hAnsi="Times New Roman" w:cs="Times New Roman"/>
                <w:iCs/>
                <w:lang w:val="en-GB"/>
              </w:rPr>
            </w:pPr>
            <w:r w:rsidRPr="00A66F03">
              <w:rPr>
                <w:rFonts w:ascii="Times New Roman" w:eastAsia="Times New Roman" w:hAnsi="Times New Roman" w:cs="Times New Roman"/>
                <w:lang w:val="en-GB"/>
              </w:rPr>
              <w:t>the promotion of inter-municipal/inter-regional cooperation,</w:t>
            </w:r>
          </w:p>
          <w:p w14:paraId="22BB5392" w14:textId="77777777" w:rsidR="00BB2C14" w:rsidRPr="00A66F03" w:rsidRDefault="00976636" w:rsidP="00B72629">
            <w:pPr>
              <w:numPr>
                <w:ilvl w:val="0"/>
                <w:numId w:val="25"/>
              </w:numPr>
              <w:spacing w:after="0" w:line="276" w:lineRule="auto"/>
              <w:jc w:val="both"/>
              <w:rPr>
                <w:rFonts w:ascii="Times New Roman" w:eastAsia="Times New Roman" w:hAnsi="Times New Roman" w:cs="Times New Roman"/>
                <w:iCs/>
                <w:lang w:val="en-GB"/>
              </w:rPr>
            </w:pPr>
            <w:r w:rsidRPr="00A66F03">
              <w:rPr>
                <w:rFonts w:ascii="Times New Roman" w:eastAsia="Times New Roman" w:hAnsi="Times New Roman" w:cs="Times New Roman"/>
                <w:lang w:val="en-GB"/>
              </w:rPr>
              <w:t>the preparation of strategies/guidelines for innovative approaches to working with stakehol</w:t>
            </w:r>
            <w:r w:rsidRPr="00A66F03">
              <w:rPr>
                <w:rFonts w:ascii="Times New Roman" w:eastAsia="Times New Roman" w:hAnsi="Times New Roman" w:cs="Times New Roman"/>
                <w:lang w:val="en-GB"/>
              </w:rPr>
              <w:t>ders;</w:t>
            </w:r>
          </w:p>
          <w:p w14:paraId="0781BCCB" w14:textId="77777777" w:rsidR="00BB2C14" w:rsidRPr="00A66F03" w:rsidRDefault="00976636" w:rsidP="00B72629">
            <w:pPr>
              <w:numPr>
                <w:ilvl w:val="0"/>
                <w:numId w:val="25"/>
              </w:numPr>
              <w:spacing w:after="0" w:line="276" w:lineRule="auto"/>
              <w:jc w:val="both"/>
              <w:rPr>
                <w:rFonts w:ascii="Times New Roman" w:eastAsia="Times New Roman" w:hAnsi="Times New Roman" w:cs="Times New Roman"/>
                <w:iCs/>
                <w:lang w:val="en-GB"/>
              </w:rPr>
            </w:pPr>
            <w:r w:rsidRPr="00A66F03">
              <w:rPr>
                <w:rFonts w:ascii="Times New Roman" w:eastAsia="Times New Roman" w:hAnsi="Times New Roman" w:cs="Times New Roman"/>
                <w:lang w:val="en-GB"/>
              </w:rPr>
              <w:t>participation in the preparation of a set of potential projects for co-financing;</w:t>
            </w:r>
          </w:p>
          <w:p w14:paraId="1734666E" w14:textId="77777777" w:rsidR="00BB2C14" w:rsidRPr="00A66F03" w:rsidRDefault="00976636" w:rsidP="00B72629">
            <w:pPr>
              <w:numPr>
                <w:ilvl w:val="0"/>
                <w:numId w:val="25"/>
              </w:numPr>
              <w:spacing w:after="0" w:line="276" w:lineRule="auto"/>
              <w:jc w:val="both"/>
              <w:rPr>
                <w:rFonts w:ascii="Times New Roman" w:eastAsia="Times New Roman" w:hAnsi="Times New Roman" w:cs="Times New Roman"/>
                <w:iCs/>
                <w:lang w:val="en-GB"/>
              </w:rPr>
            </w:pPr>
            <w:r w:rsidRPr="00A66F03">
              <w:rPr>
                <w:rFonts w:ascii="Times New Roman" w:eastAsia="Times New Roman" w:hAnsi="Times New Roman" w:cs="Times New Roman"/>
                <w:lang w:val="en-GB"/>
              </w:rPr>
              <w:t>the preparation of an evaluation plan (to eliminate previous bad practices) and the upgrading of the monitoring and reporting part of the managing authority’s IT system</w:t>
            </w:r>
            <w:r w:rsidRPr="00A66F03">
              <w:rPr>
                <w:rFonts w:ascii="Times New Roman" w:eastAsia="Times New Roman" w:hAnsi="Times New Roman" w:cs="Times New Roman"/>
                <w:lang w:val="en-GB"/>
              </w:rPr>
              <w:t xml:space="preserve"> (continuation of the work of the programme team, raising qualification levels, monitoring progress in the implementation of the evaluation plan and the achievement of the effects of the Programme);</w:t>
            </w:r>
          </w:p>
          <w:p w14:paraId="504A43A8" w14:textId="77777777" w:rsidR="00BB2C14" w:rsidRPr="00A66F03" w:rsidRDefault="00976636" w:rsidP="00B72629">
            <w:pPr>
              <w:numPr>
                <w:ilvl w:val="0"/>
                <w:numId w:val="25"/>
              </w:numPr>
              <w:spacing w:after="0" w:line="276" w:lineRule="auto"/>
              <w:jc w:val="both"/>
              <w:rPr>
                <w:rFonts w:ascii="Times New Roman" w:eastAsia="Times New Roman" w:hAnsi="Times New Roman" w:cs="Times New Roman"/>
                <w:iCs/>
                <w:lang w:val="en-GB"/>
              </w:rPr>
            </w:pPr>
            <w:r w:rsidRPr="00A66F03">
              <w:rPr>
                <w:rFonts w:ascii="Times New Roman" w:eastAsia="Times New Roman" w:hAnsi="Times New Roman" w:cs="Times New Roman"/>
                <w:lang w:val="en-GB"/>
              </w:rPr>
              <w:t xml:space="preserve">regular technical meetings with the Commission and other </w:t>
            </w:r>
            <w:r w:rsidRPr="00A66F03">
              <w:rPr>
                <w:rFonts w:ascii="Times New Roman" w:eastAsia="Times New Roman" w:hAnsi="Times New Roman" w:cs="Times New Roman"/>
                <w:lang w:val="en-GB"/>
              </w:rPr>
              <w:t>relevant stakeholders;</w:t>
            </w:r>
          </w:p>
          <w:p w14:paraId="4C1258A0" w14:textId="77777777" w:rsidR="00BB2C14" w:rsidRPr="00A66F03" w:rsidRDefault="00976636" w:rsidP="00B72629">
            <w:pPr>
              <w:numPr>
                <w:ilvl w:val="0"/>
                <w:numId w:val="25"/>
              </w:numPr>
              <w:spacing w:after="0" w:line="276" w:lineRule="auto"/>
              <w:jc w:val="both"/>
              <w:rPr>
                <w:rFonts w:ascii="Times New Roman" w:eastAsia="Times New Roman" w:hAnsi="Times New Roman" w:cs="Times New Roman"/>
                <w:iCs/>
                <w:lang w:val="en-GB"/>
              </w:rPr>
            </w:pPr>
            <w:r w:rsidRPr="00A66F03">
              <w:rPr>
                <w:rFonts w:ascii="Times New Roman" w:eastAsia="Times New Roman" w:hAnsi="Times New Roman" w:cs="Times New Roman"/>
                <w:lang w:val="en-GB"/>
              </w:rPr>
              <w:t>greater efficiency in the public procurement system by providing sufficient administrative capacity and support, and also by reducing the share of tenders featuring a specific tenderer, one tenderer or no tenders;</w:t>
            </w:r>
          </w:p>
          <w:p w14:paraId="76DECEBC" w14:textId="77777777" w:rsidR="00BB2C14" w:rsidRPr="00A66F03" w:rsidRDefault="00976636" w:rsidP="00B72629">
            <w:pPr>
              <w:numPr>
                <w:ilvl w:val="0"/>
                <w:numId w:val="25"/>
              </w:numPr>
              <w:spacing w:after="0" w:line="276" w:lineRule="auto"/>
              <w:jc w:val="both"/>
              <w:rPr>
                <w:rFonts w:ascii="Times New Roman" w:eastAsia="Times New Roman" w:hAnsi="Times New Roman" w:cs="Times New Roman"/>
                <w:iCs/>
                <w:lang w:val="en-GB"/>
              </w:rPr>
            </w:pPr>
            <w:r w:rsidRPr="00A66F03">
              <w:rPr>
                <w:rFonts w:ascii="Times New Roman" w:eastAsia="Times New Roman" w:hAnsi="Times New Roman" w:cs="Times New Roman"/>
                <w:lang w:val="en-GB"/>
              </w:rPr>
              <w:t>training and raisin</w:t>
            </w:r>
            <w:r w:rsidRPr="00A66F03">
              <w:rPr>
                <w:rFonts w:ascii="Times New Roman" w:eastAsia="Times New Roman" w:hAnsi="Times New Roman" w:cs="Times New Roman"/>
                <w:lang w:val="en-GB"/>
              </w:rPr>
              <w:t>g competencies, the establishment of a mechanism for inter-departmental cooperation (development of digital tools to support better cooperation);</w:t>
            </w:r>
          </w:p>
          <w:p w14:paraId="5CADEF9E" w14:textId="77777777" w:rsidR="00BB01D6" w:rsidRPr="00A66F03" w:rsidRDefault="00976636" w:rsidP="00B72629">
            <w:pPr>
              <w:numPr>
                <w:ilvl w:val="0"/>
                <w:numId w:val="25"/>
              </w:numPr>
              <w:spacing w:after="0" w:line="276" w:lineRule="auto"/>
              <w:jc w:val="both"/>
              <w:rPr>
                <w:rFonts w:ascii="Times New Roman" w:eastAsia="Times New Roman" w:hAnsi="Times New Roman" w:cs="Times New Roman"/>
                <w:iCs/>
                <w:lang w:val="en-GB"/>
              </w:rPr>
            </w:pPr>
            <w:r w:rsidRPr="00A66F03">
              <w:rPr>
                <w:rFonts w:ascii="Times New Roman" w:hAnsi="Times New Roman"/>
                <w:lang w:val="en-GB"/>
              </w:rPr>
              <w:t>improved and more effective measures for preventing and eliminating conflicts of interest, fraud and corruption, including through the use and integration of tools developed under the Integrity Pacts (Civil Control Mechanism for Safeguarding EU Funds). The</w:t>
            </w:r>
            <w:r w:rsidRPr="00A66F03">
              <w:rPr>
                <w:rFonts w:ascii="Times New Roman" w:hAnsi="Times New Roman"/>
                <w:lang w:val="en-GB"/>
              </w:rPr>
              <w:t xml:space="preserve"> measures will include, for example, the regular gathering of feedback on the functioning of the implementation and control system, the strengthening of cooperation between all stakeholders involved, examination of the possibility of using the IT system to</w:t>
            </w:r>
            <w:r w:rsidRPr="00A66F03">
              <w:rPr>
                <w:rFonts w:ascii="Times New Roman" w:hAnsi="Times New Roman"/>
                <w:lang w:val="en-GB"/>
              </w:rPr>
              <w:t xml:space="preserve"> support the achievement of the objectives in this area</w:t>
            </w:r>
            <w:r w:rsidRPr="00A66F03">
              <w:rPr>
                <w:lang w:val="en-GB"/>
              </w:rPr>
              <w:t>;</w:t>
            </w:r>
          </w:p>
          <w:p w14:paraId="17CE5AD7" w14:textId="77777777" w:rsidR="00BB2C14" w:rsidRPr="00A66F03" w:rsidRDefault="00976636" w:rsidP="00B72629">
            <w:pPr>
              <w:numPr>
                <w:ilvl w:val="0"/>
                <w:numId w:val="25"/>
              </w:numPr>
              <w:spacing w:after="0" w:line="276" w:lineRule="auto"/>
              <w:jc w:val="both"/>
              <w:rPr>
                <w:rFonts w:ascii="Times New Roman" w:eastAsia="Times New Roman" w:hAnsi="Times New Roman" w:cs="Times New Roman"/>
                <w:iCs/>
                <w:lang w:val="en-GB"/>
              </w:rPr>
            </w:pPr>
            <w:r w:rsidRPr="00A66F03">
              <w:rPr>
                <w:rFonts w:ascii="Times New Roman" w:eastAsia="Times New Roman" w:hAnsi="Times New Roman" w:cs="Times New Roman"/>
                <w:lang w:val="en-GB"/>
              </w:rPr>
              <w:t xml:space="preserve">the wider use of financial instruments and contributions for activities that generate revenue or savings; </w:t>
            </w:r>
          </w:p>
          <w:p w14:paraId="627FA6CC" w14:textId="77777777" w:rsidR="00BB2C14" w:rsidRPr="00A66F03" w:rsidRDefault="00976636" w:rsidP="00B72629">
            <w:pPr>
              <w:numPr>
                <w:ilvl w:val="0"/>
                <w:numId w:val="25"/>
              </w:numPr>
              <w:spacing w:after="0" w:line="276" w:lineRule="auto"/>
              <w:jc w:val="both"/>
              <w:rPr>
                <w:rFonts w:ascii="Times New Roman" w:eastAsia="Times New Roman" w:hAnsi="Times New Roman" w:cs="Times New Roman"/>
                <w:iCs/>
                <w:lang w:val="en-GB"/>
              </w:rPr>
            </w:pPr>
            <w:r w:rsidRPr="00A66F03">
              <w:rPr>
                <w:rFonts w:ascii="Times New Roman" w:eastAsia="Times New Roman" w:hAnsi="Times New Roman" w:cs="Times New Roman"/>
                <w:lang w:val="en-GB"/>
              </w:rPr>
              <w:t>the provision of synergies with other EU funds;</w:t>
            </w:r>
          </w:p>
          <w:p w14:paraId="562EBEE5" w14:textId="77777777" w:rsidR="00BB2C14" w:rsidRPr="00A66F03" w:rsidRDefault="00976636" w:rsidP="00B72629">
            <w:pPr>
              <w:numPr>
                <w:ilvl w:val="0"/>
                <w:numId w:val="25"/>
              </w:numPr>
              <w:spacing w:after="0" w:line="276" w:lineRule="auto"/>
              <w:jc w:val="both"/>
              <w:rPr>
                <w:rFonts w:ascii="Times New Roman" w:eastAsia="Times New Roman" w:hAnsi="Times New Roman" w:cs="Times New Roman"/>
                <w:iCs/>
                <w:lang w:val="en-GB"/>
              </w:rPr>
            </w:pPr>
            <w:r w:rsidRPr="00A66F03">
              <w:rPr>
                <w:rFonts w:ascii="Times New Roman" w:eastAsia="Times New Roman" w:hAnsi="Times New Roman" w:cs="Times New Roman"/>
                <w:lang w:val="en-GB"/>
              </w:rPr>
              <w:t>consideration of lessons learned from variou</w:t>
            </w:r>
            <w:r w:rsidRPr="00A66F03">
              <w:rPr>
                <w:rFonts w:ascii="Times New Roman" w:eastAsia="Times New Roman" w:hAnsi="Times New Roman" w:cs="Times New Roman"/>
                <w:lang w:val="en-GB"/>
              </w:rPr>
              <w:t>s initiatives, such as the Coal Regions in Transition initiative, particularly with regard to the impact of new technologies, decarbonisation and the promotion of inclusive growth;</w:t>
            </w:r>
          </w:p>
          <w:p w14:paraId="5A5E286A" w14:textId="77777777" w:rsidR="00BB2C14" w:rsidRPr="00A66F03" w:rsidRDefault="00976636" w:rsidP="00B72629">
            <w:pPr>
              <w:numPr>
                <w:ilvl w:val="0"/>
                <w:numId w:val="25"/>
              </w:numPr>
              <w:spacing w:after="0" w:line="276" w:lineRule="auto"/>
              <w:jc w:val="both"/>
              <w:rPr>
                <w:rFonts w:ascii="Times New Roman" w:eastAsia="Times New Roman" w:hAnsi="Times New Roman" w:cs="Times New Roman"/>
                <w:iCs/>
                <w:lang w:val="en-GB"/>
              </w:rPr>
            </w:pPr>
            <w:r w:rsidRPr="00A66F03">
              <w:rPr>
                <w:rFonts w:ascii="Times New Roman" w:eastAsia="Times New Roman" w:hAnsi="Times New Roman" w:cs="Times New Roman"/>
                <w:lang w:val="en-GB"/>
              </w:rPr>
              <w:t>the development of a policy laboratory (ensuring multi-level and multi-sect</w:t>
            </w:r>
            <w:r w:rsidRPr="00A66F03">
              <w:rPr>
                <w:rFonts w:ascii="Times New Roman" w:eastAsia="Times New Roman" w:hAnsi="Times New Roman" w:cs="Times New Roman"/>
                <w:lang w:val="en-GB"/>
              </w:rPr>
              <w:t>oral cooperation); and</w:t>
            </w:r>
          </w:p>
          <w:p w14:paraId="69414073" w14:textId="77777777" w:rsidR="00BB2C14" w:rsidRPr="00A66F03" w:rsidRDefault="00976636" w:rsidP="00B72629">
            <w:pPr>
              <w:numPr>
                <w:ilvl w:val="0"/>
                <w:numId w:val="25"/>
              </w:numPr>
              <w:spacing w:after="0" w:line="276" w:lineRule="auto"/>
              <w:jc w:val="both"/>
              <w:rPr>
                <w:rFonts w:ascii="Times New Roman" w:eastAsia="Times New Roman" w:hAnsi="Times New Roman" w:cs="Times New Roman"/>
                <w:iCs/>
                <w:lang w:val="en-GB"/>
              </w:rPr>
            </w:pPr>
            <w:r w:rsidRPr="00A66F03">
              <w:rPr>
                <w:rFonts w:ascii="Times New Roman" w:eastAsia="Times New Roman" w:hAnsi="Times New Roman" w:cs="Times New Roman"/>
                <w:lang w:val="en-GB"/>
              </w:rPr>
              <w:t>the implementation of targeted research programmes to modernise the system and monitoring processes.</w:t>
            </w:r>
          </w:p>
          <w:p w14:paraId="075262BC" w14:textId="77777777" w:rsidR="00BB2C14" w:rsidRPr="00A66F03" w:rsidRDefault="00BB2C14" w:rsidP="00B72629">
            <w:pPr>
              <w:spacing w:after="0" w:line="276" w:lineRule="auto"/>
              <w:jc w:val="both"/>
              <w:rPr>
                <w:rFonts w:ascii="Times New Roman" w:eastAsia="Times New Roman" w:hAnsi="Times New Roman" w:cs="Times New Roman"/>
                <w:iCs/>
                <w:lang w:val="en-GB"/>
              </w:rPr>
            </w:pPr>
          </w:p>
          <w:p w14:paraId="7EA2696F" w14:textId="77777777" w:rsidR="00BB2C14" w:rsidRPr="00A66F03" w:rsidRDefault="00976636" w:rsidP="00B72629">
            <w:pPr>
              <w:numPr>
                <w:ilvl w:val="0"/>
                <w:numId w:val="26"/>
              </w:numPr>
              <w:spacing w:after="0" w:line="276" w:lineRule="auto"/>
              <w:jc w:val="both"/>
              <w:rPr>
                <w:rFonts w:ascii="Times New Roman" w:eastAsia="Times New Roman" w:hAnsi="Times New Roman" w:cs="Times New Roman"/>
                <w:iCs/>
                <w:lang w:val="en-GB"/>
              </w:rPr>
            </w:pPr>
            <w:r w:rsidRPr="00A66F03">
              <w:rPr>
                <w:rFonts w:ascii="Times New Roman" w:eastAsia="Times New Roman" w:hAnsi="Times New Roman" w:cs="Times New Roman"/>
                <w:lang w:val="en-GB"/>
              </w:rPr>
              <w:t xml:space="preserve">As part of the actions </w:t>
            </w:r>
            <w:r w:rsidRPr="00A66F03">
              <w:rPr>
                <w:rFonts w:ascii="Times New Roman" w:eastAsia="Times New Roman" w:hAnsi="Times New Roman" w:cs="Times New Roman"/>
                <w:b/>
                <w:bCs/>
                <w:lang w:val="en-GB"/>
              </w:rPr>
              <w:t>for beneficiaries and stakeholders</w:t>
            </w:r>
            <w:r w:rsidRPr="00A66F03">
              <w:rPr>
                <w:rFonts w:ascii="Times New Roman" w:eastAsia="Times New Roman" w:hAnsi="Times New Roman" w:cs="Times New Roman"/>
                <w:lang w:val="en-GB"/>
              </w:rPr>
              <w:t>, we will provide support to the following in particular:</w:t>
            </w:r>
          </w:p>
          <w:p w14:paraId="37B3CECC" w14:textId="77777777" w:rsidR="00BB2C14" w:rsidRPr="00A66F03" w:rsidRDefault="00976636" w:rsidP="00B72629">
            <w:pPr>
              <w:numPr>
                <w:ilvl w:val="0"/>
                <w:numId w:val="25"/>
              </w:numPr>
              <w:spacing w:after="0" w:line="276" w:lineRule="auto"/>
              <w:jc w:val="both"/>
              <w:rPr>
                <w:rFonts w:ascii="Times New Roman" w:eastAsia="Times New Roman" w:hAnsi="Times New Roman" w:cs="Times New Roman"/>
                <w:iCs/>
                <w:lang w:val="en-GB"/>
              </w:rPr>
            </w:pPr>
            <w:r w:rsidRPr="00A66F03">
              <w:rPr>
                <w:rFonts w:ascii="Times New Roman" w:eastAsia="Times New Roman" w:hAnsi="Times New Roman" w:cs="Times New Roman"/>
                <w:lang w:val="en-GB"/>
              </w:rPr>
              <w:t xml:space="preserve">the support and </w:t>
            </w:r>
            <w:r w:rsidRPr="00A66F03">
              <w:rPr>
                <w:rFonts w:ascii="Times New Roman" w:eastAsia="Times New Roman" w:hAnsi="Times New Roman" w:cs="Times New Roman"/>
                <w:lang w:val="en-GB"/>
              </w:rPr>
              <w:t>involvement of social partners, local authorities and other public authorities and stakeholders essential for effective implementation;</w:t>
            </w:r>
          </w:p>
          <w:p w14:paraId="08112B2D" w14:textId="77777777" w:rsidR="00BB01D6" w:rsidRPr="00A66F03" w:rsidRDefault="00976636" w:rsidP="00BB01D6">
            <w:pPr>
              <w:numPr>
                <w:ilvl w:val="0"/>
                <w:numId w:val="25"/>
              </w:numPr>
              <w:spacing w:after="0" w:line="276" w:lineRule="auto"/>
              <w:jc w:val="both"/>
              <w:rPr>
                <w:rFonts w:ascii="Times New Roman" w:eastAsia="Times New Roman" w:hAnsi="Times New Roman" w:cs="Times New Roman"/>
                <w:iCs/>
                <w:lang w:val="en-GB"/>
              </w:rPr>
            </w:pPr>
            <w:r w:rsidRPr="00A66F03">
              <w:rPr>
                <w:rFonts w:ascii="Times New Roman" w:eastAsia="Times New Roman" w:hAnsi="Times New Roman" w:cs="Times New Roman"/>
                <w:lang w:val="en-GB"/>
              </w:rPr>
              <w:t>the organisation of workshops and tailored training events to increase the capacity of the beneficiaries, particularly i</w:t>
            </w:r>
            <w:r w:rsidRPr="00A66F03">
              <w:rPr>
                <w:rFonts w:ascii="Times New Roman" w:eastAsia="Times New Roman" w:hAnsi="Times New Roman" w:cs="Times New Roman"/>
                <w:lang w:val="en-GB"/>
              </w:rPr>
              <w:t>n the areas of project preparation, public procurement, state aid, financial instruments, conflicts of interest, financial corrections, project management, communication activities, the organisation of webinars/specialist training, etc.;</w:t>
            </w:r>
          </w:p>
          <w:p w14:paraId="15B20044" w14:textId="77777777" w:rsidR="00BB01D6" w:rsidRPr="00A66F03" w:rsidRDefault="00976636" w:rsidP="00B72629">
            <w:pPr>
              <w:numPr>
                <w:ilvl w:val="0"/>
                <w:numId w:val="25"/>
              </w:numPr>
              <w:spacing w:after="0" w:line="276" w:lineRule="auto"/>
              <w:jc w:val="both"/>
              <w:rPr>
                <w:rFonts w:ascii="Times New Roman" w:eastAsia="Times New Roman" w:hAnsi="Times New Roman" w:cs="Times New Roman"/>
                <w:iCs/>
                <w:lang w:val="en-GB"/>
              </w:rPr>
            </w:pPr>
            <w:r w:rsidRPr="00A66F03">
              <w:rPr>
                <w:rFonts w:ascii="Times New Roman" w:eastAsia="Times New Roman" w:hAnsi="Times New Roman" w:cs="Times New Roman"/>
                <w:lang w:val="en-GB"/>
              </w:rPr>
              <w:t xml:space="preserve">the establishment </w:t>
            </w:r>
            <w:r w:rsidRPr="00A66F03">
              <w:rPr>
                <w:rFonts w:ascii="Times New Roman" w:eastAsia="Times New Roman" w:hAnsi="Times New Roman" w:cs="Times New Roman"/>
                <w:lang w:val="en-GB"/>
              </w:rPr>
              <w:t>of thematic networks for the transfer of knowledge and experiences and the possibility of coordination between different stakeholders, etc.;</w:t>
            </w:r>
          </w:p>
          <w:p w14:paraId="68C0FCE7" w14:textId="77777777" w:rsidR="00BB2C14" w:rsidRPr="00A66F03" w:rsidRDefault="00976636" w:rsidP="00B72629">
            <w:pPr>
              <w:numPr>
                <w:ilvl w:val="0"/>
                <w:numId w:val="25"/>
              </w:numPr>
              <w:spacing w:after="0" w:line="276" w:lineRule="auto"/>
              <w:jc w:val="both"/>
              <w:rPr>
                <w:rFonts w:ascii="Times New Roman" w:eastAsia="Times New Roman" w:hAnsi="Times New Roman" w:cs="Times New Roman"/>
                <w:iCs/>
                <w:lang w:val="en-GB"/>
              </w:rPr>
            </w:pPr>
            <w:r w:rsidRPr="00A66F03">
              <w:rPr>
                <w:rFonts w:ascii="Times New Roman" w:eastAsia="Times New Roman" w:hAnsi="Times New Roman" w:cs="Times New Roman"/>
                <w:lang w:val="en-GB"/>
              </w:rPr>
              <w:t>an invitation to partners to co-create and reprogramme programming documents (including via the website and the ‘Vi</w:t>
            </w:r>
            <w:r w:rsidRPr="00A66F03">
              <w:rPr>
                <w:rFonts w:ascii="Times New Roman" w:eastAsia="Times New Roman" w:hAnsi="Times New Roman" w:cs="Times New Roman"/>
                <w:lang w:val="en-GB"/>
              </w:rPr>
              <w:t>zija Kohezija’ publication);</w:t>
            </w:r>
          </w:p>
          <w:p w14:paraId="4EB31FB4" w14:textId="77777777" w:rsidR="00BB2C14" w:rsidRPr="00A66F03" w:rsidRDefault="00976636" w:rsidP="00B72629">
            <w:pPr>
              <w:numPr>
                <w:ilvl w:val="0"/>
                <w:numId w:val="25"/>
              </w:numPr>
              <w:spacing w:after="0" w:line="276" w:lineRule="auto"/>
              <w:jc w:val="both"/>
              <w:rPr>
                <w:rFonts w:ascii="Times New Roman" w:eastAsia="Times New Roman" w:hAnsi="Times New Roman" w:cs="Times New Roman"/>
                <w:iCs/>
                <w:lang w:val="en-GB"/>
              </w:rPr>
            </w:pPr>
            <w:r w:rsidRPr="00A66F03">
              <w:rPr>
                <w:rFonts w:ascii="Times New Roman" w:eastAsia="Times New Roman" w:hAnsi="Times New Roman" w:cs="Times New Roman"/>
                <w:lang w:val="en-GB"/>
              </w:rPr>
              <w:lastRenderedPageBreak/>
              <w:t>the organisation of stakeholder consultations for the preparation of programming documents and for the implementation of programmes through stakeholder consultations;</w:t>
            </w:r>
          </w:p>
          <w:p w14:paraId="48D42AE9" w14:textId="77777777" w:rsidR="00BB2C14" w:rsidRPr="00A66F03" w:rsidRDefault="00976636" w:rsidP="00B72629">
            <w:pPr>
              <w:numPr>
                <w:ilvl w:val="0"/>
                <w:numId w:val="25"/>
              </w:numPr>
              <w:spacing w:after="0" w:line="276" w:lineRule="auto"/>
              <w:jc w:val="both"/>
              <w:rPr>
                <w:rFonts w:ascii="Times New Roman" w:eastAsia="Times New Roman" w:hAnsi="Times New Roman" w:cs="Times New Roman"/>
                <w:iCs/>
                <w:lang w:val="en-GB"/>
              </w:rPr>
            </w:pPr>
            <w:r w:rsidRPr="00A66F03">
              <w:rPr>
                <w:rFonts w:ascii="Times New Roman" w:eastAsia="Times New Roman" w:hAnsi="Times New Roman" w:cs="Times New Roman"/>
                <w:lang w:val="en-GB"/>
              </w:rPr>
              <w:t>the establishment of a platform for dialogue with interested</w:t>
            </w:r>
            <w:r w:rsidRPr="00A66F03">
              <w:rPr>
                <w:rFonts w:ascii="Times New Roman" w:eastAsia="Times New Roman" w:hAnsi="Times New Roman" w:cs="Times New Roman"/>
                <w:lang w:val="en-GB"/>
              </w:rPr>
              <w:t xml:space="preserve"> parties (different stakeholders and more widely); the up-to-date publication of press releases, the communication of projects of strategic importance (this will enable ECP to reach as wide a range of people as possible and thereby increase the possibility</w:t>
            </w:r>
            <w:r w:rsidRPr="00A66F03">
              <w:rPr>
                <w:rFonts w:ascii="Times New Roman" w:eastAsia="Times New Roman" w:hAnsi="Times New Roman" w:cs="Times New Roman"/>
                <w:lang w:val="en-GB"/>
              </w:rPr>
              <w:t xml:space="preserve"> of a multi-stakeholder dialogue);</w:t>
            </w:r>
          </w:p>
          <w:p w14:paraId="0E7F036A" w14:textId="77777777" w:rsidR="00BB2C14" w:rsidRPr="00A66F03" w:rsidRDefault="00976636" w:rsidP="00B72629">
            <w:pPr>
              <w:numPr>
                <w:ilvl w:val="0"/>
                <w:numId w:val="25"/>
              </w:numPr>
              <w:spacing w:after="0" w:line="276" w:lineRule="auto"/>
              <w:jc w:val="both"/>
              <w:rPr>
                <w:rFonts w:ascii="Times New Roman" w:eastAsia="Times New Roman" w:hAnsi="Times New Roman" w:cs="Times New Roman"/>
                <w:iCs/>
                <w:lang w:val="en-GB"/>
              </w:rPr>
            </w:pPr>
            <w:r w:rsidRPr="00A66F03">
              <w:rPr>
                <w:rFonts w:ascii="Times New Roman" w:eastAsia="Times New Roman" w:hAnsi="Times New Roman" w:cs="Times New Roman"/>
                <w:lang w:val="en-GB"/>
              </w:rPr>
              <w:t>a mechanism for identifying the needs of relevant stakeholders;</w:t>
            </w:r>
          </w:p>
          <w:p w14:paraId="39B2BA06" w14:textId="77777777" w:rsidR="00BB2C14" w:rsidRPr="00A66F03" w:rsidRDefault="00976636" w:rsidP="00B72629">
            <w:pPr>
              <w:numPr>
                <w:ilvl w:val="0"/>
                <w:numId w:val="25"/>
              </w:numPr>
              <w:spacing w:after="0" w:line="276" w:lineRule="auto"/>
              <w:jc w:val="both"/>
              <w:rPr>
                <w:rFonts w:ascii="Times New Roman" w:eastAsia="Times New Roman" w:hAnsi="Times New Roman" w:cs="Times New Roman"/>
                <w:iCs/>
                <w:lang w:val="en-GB"/>
              </w:rPr>
            </w:pPr>
            <w:r w:rsidRPr="00A66F03">
              <w:rPr>
                <w:rFonts w:ascii="Times New Roman" w:eastAsia="Times New Roman" w:hAnsi="Times New Roman" w:cs="Times New Roman"/>
                <w:lang w:val="en-GB"/>
              </w:rPr>
              <w:t>an open channel for proposals, opinions and criticisms; and</w:t>
            </w:r>
          </w:p>
          <w:p w14:paraId="18973AB8" w14:textId="77777777" w:rsidR="00BB2C14" w:rsidRPr="00A66F03" w:rsidRDefault="00976636" w:rsidP="00197D62">
            <w:pPr>
              <w:pStyle w:val="Odstavekseznama"/>
              <w:numPr>
                <w:ilvl w:val="0"/>
                <w:numId w:val="25"/>
              </w:numPr>
              <w:spacing w:after="0" w:line="276" w:lineRule="auto"/>
              <w:jc w:val="both"/>
              <w:rPr>
                <w:rFonts w:ascii="Times New Roman" w:eastAsia="Times New Roman" w:hAnsi="Times New Roman" w:cs="Times New Roman"/>
                <w:iCs/>
              </w:rPr>
            </w:pPr>
            <w:r w:rsidRPr="00A66F03">
              <w:rPr>
                <w:rFonts w:ascii="Times New Roman" w:eastAsia="Times New Roman" w:hAnsi="Times New Roman" w:cs="Times New Roman"/>
              </w:rPr>
              <w:t xml:space="preserve">regular monitoring of the implementation of the partnership principle (e.g. at events, through </w:t>
            </w:r>
            <w:r w:rsidRPr="00A66F03">
              <w:rPr>
                <w:rFonts w:ascii="Times New Roman" w:eastAsia="Times New Roman" w:hAnsi="Times New Roman" w:cs="Times New Roman"/>
              </w:rPr>
              <w:t>surveys, etc.).</w:t>
            </w:r>
          </w:p>
          <w:p w14:paraId="7CB463B5" w14:textId="77777777" w:rsidR="00CF3C20" w:rsidRPr="00A66F03" w:rsidRDefault="00CF3C20" w:rsidP="00B72629">
            <w:pPr>
              <w:spacing w:after="0" w:line="276" w:lineRule="auto"/>
              <w:jc w:val="both"/>
              <w:rPr>
                <w:rFonts w:ascii="Times New Roman" w:eastAsia="Times New Roman" w:hAnsi="Times New Roman" w:cs="Times New Roman"/>
                <w:iCs/>
                <w:lang w:val="en-GB"/>
              </w:rPr>
            </w:pPr>
          </w:p>
          <w:p w14:paraId="2F61FFCE" w14:textId="77777777" w:rsidR="00BE4EEC" w:rsidRPr="00A66F03" w:rsidRDefault="00976636" w:rsidP="00B72629">
            <w:pPr>
              <w:spacing w:after="0" w:line="276" w:lineRule="auto"/>
              <w:jc w:val="both"/>
              <w:rPr>
                <w:rFonts w:ascii="Times New Roman" w:eastAsia="Times New Roman" w:hAnsi="Times New Roman" w:cs="Times New Roman"/>
                <w:iCs/>
                <w:lang w:val="en-GB"/>
              </w:rPr>
            </w:pPr>
            <w:r w:rsidRPr="00A66F03">
              <w:rPr>
                <w:rFonts w:ascii="Times New Roman" w:eastAsia="Times New Roman" w:hAnsi="Times New Roman" w:cs="Times New Roman"/>
                <w:lang w:val="en-GB"/>
              </w:rPr>
              <w:t xml:space="preserve">In future, technical assistance resources will, where relevant, be engaged in the form of a flat rate and will focus primarily on the education and training of entities performing management and control tasks, entities and other actors to </w:t>
            </w:r>
            <w:r w:rsidRPr="00A66F03">
              <w:rPr>
                <w:rFonts w:ascii="Times New Roman" w:eastAsia="Times New Roman" w:hAnsi="Times New Roman" w:cs="Times New Roman"/>
                <w:lang w:val="en-GB"/>
              </w:rPr>
              <w:t>which the performance and control bodies have delegated tasks, and other entities involved in the implementation of European cohesion policy with a view to effective and efficient implementation, monitoring and management. Technical assistance funds will a</w:t>
            </w:r>
            <w:r w:rsidRPr="00A66F03">
              <w:rPr>
                <w:rFonts w:ascii="Times New Roman" w:eastAsia="Times New Roman" w:hAnsi="Times New Roman" w:cs="Times New Roman"/>
                <w:lang w:val="en-GB"/>
              </w:rPr>
              <w:t>lso be used to ensure adequate administrative capacity in both cohesion regions and among other entities so that they are better able to absorb funds at regional and local level, and to provide external expertise (area-specific experts for better project p</w:t>
            </w:r>
            <w:r w:rsidRPr="00A66F03">
              <w:rPr>
                <w:rFonts w:ascii="Times New Roman" w:eastAsia="Times New Roman" w:hAnsi="Times New Roman" w:cs="Times New Roman"/>
                <w:lang w:val="en-GB"/>
              </w:rPr>
              <w:t>reparation and implementation).</w:t>
            </w:r>
          </w:p>
          <w:p w14:paraId="5D9F4EC9" w14:textId="77777777" w:rsidR="006D02CF" w:rsidRPr="00A66F03" w:rsidRDefault="006D02CF" w:rsidP="00B72629">
            <w:pPr>
              <w:spacing w:after="0" w:line="276" w:lineRule="auto"/>
              <w:jc w:val="both"/>
              <w:rPr>
                <w:rFonts w:ascii="Times New Roman" w:eastAsia="Times New Roman" w:hAnsi="Times New Roman" w:cs="Times New Roman"/>
                <w:lang w:val="en-GB"/>
              </w:rPr>
            </w:pPr>
          </w:p>
          <w:p w14:paraId="439E63C3" w14:textId="77777777" w:rsidR="00BE4EEC" w:rsidRPr="00A66F03" w:rsidRDefault="00BE4EEC" w:rsidP="00B72629">
            <w:pPr>
              <w:spacing w:after="0" w:line="276" w:lineRule="auto"/>
              <w:jc w:val="both"/>
              <w:rPr>
                <w:rFonts w:ascii="Times New Roman" w:eastAsia="Times New Roman" w:hAnsi="Times New Roman" w:cs="Times New Roman"/>
                <w:sz w:val="24"/>
                <w:szCs w:val="24"/>
                <w:lang w:val="en-GB"/>
              </w:rPr>
            </w:pPr>
          </w:p>
        </w:tc>
      </w:tr>
    </w:tbl>
    <w:p w14:paraId="1E3A4B1B" w14:textId="77777777" w:rsidR="00A76FF9" w:rsidRPr="00A66F03" w:rsidRDefault="00976636" w:rsidP="00B72629">
      <w:pPr>
        <w:pStyle w:val="Naslov1"/>
        <w:spacing w:before="0" w:line="276" w:lineRule="auto"/>
        <w:rPr>
          <w:rFonts w:eastAsia="Times New Roman" w:cs="Times New Roman"/>
          <w:lang w:val="en-GB"/>
        </w:rPr>
      </w:pPr>
      <w:bookmarkStart w:id="38" w:name="_Toc115336028"/>
      <w:r w:rsidRPr="00A66F03">
        <w:rPr>
          <w:rFonts w:eastAsia="Times New Roman" w:cs="Times New Roman"/>
          <w:bCs/>
          <w:lang w:val="en-GB"/>
        </w:rPr>
        <w:lastRenderedPageBreak/>
        <w:t>10.   An integrated approach to address the demographic challenges and/or specific needs of regions and areas (where appropriate)</w:t>
      </w:r>
      <w:bookmarkEnd w:id="38"/>
    </w:p>
    <w:p w14:paraId="3D600E78" w14:textId="77777777" w:rsidR="00A76FF9" w:rsidRPr="00A66F03" w:rsidRDefault="00A76FF9" w:rsidP="00B72629">
      <w:pPr>
        <w:pStyle w:val="Naslov1"/>
        <w:spacing w:before="0" w:line="276" w:lineRule="auto"/>
        <w:rPr>
          <w:rFonts w:eastAsia="Times New Roman" w:cs="Times New Roman"/>
          <w:color w:val="444444"/>
          <w:lang w:val="en-GB"/>
        </w:rPr>
      </w:pPr>
    </w:p>
    <w:tbl>
      <w:tblPr>
        <w:tblW w:w="5000" w:type="pct"/>
        <w:tblCellMar>
          <w:top w:w="150" w:type="dxa"/>
          <w:left w:w="150" w:type="dxa"/>
          <w:bottom w:w="150" w:type="dxa"/>
          <w:right w:w="150" w:type="dxa"/>
        </w:tblCellMar>
        <w:tblLook w:val="04A0" w:firstRow="1" w:lastRow="0" w:firstColumn="1" w:lastColumn="0" w:noHBand="0" w:noVBand="1"/>
      </w:tblPr>
      <w:tblGrid>
        <w:gridCol w:w="5104"/>
        <w:gridCol w:w="3968"/>
      </w:tblGrid>
      <w:tr w:rsidR="00143DBE" w:rsidRPr="00A66F03" w14:paraId="73196C5C" w14:textId="77777777" w:rsidTr="0010369D">
        <w:tc>
          <w:tcPr>
            <w:tcW w:w="0" w:type="auto"/>
            <w:gridSpan w:val="2"/>
            <w:shd w:val="clear" w:color="auto" w:fill="auto"/>
            <w:tcMar>
              <w:top w:w="0" w:type="dxa"/>
              <w:left w:w="0" w:type="dxa"/>
              <w:bottom w:w="0" w:type="dxa"/>
              <w:right w:w="0" w:type="dxa"/>
            </w:tcMar>
            <w:vAlign w:val="center"/>
          </w:tcPr>
          <w:p w14:paraId="2917EC42" w14:textId="77777777" w:rsidR="00F30AB8" w:rsidRPr="00A66F03" w:rsidRDefault="00976636" w:rsidP="00B72629">
            <w:pPr>
              <w:spacing w:after="0" w:line="276" w:lineRule="auto"/>
              <w:jc w:val="both"/>
              <w:rPr>
                <w:rFonts w:ascii="Times New Roman" w:eastAsia="Times New Roman" w:hAnsi="Times New Roman" w:cs="Times New Roman"/>
                <w:iCs/>
                <w:lang w:val="en-GB"/>
              </w:rPr>
            </w:pPr>
            <w:r w:rsidRPr="00A66F03">
              <w:rPr>
                <w:rFonts w:ascii="Times New Roman" w:hAnsi="Times New Roman" w:cs="Times New Roman"/>
                <w:lang w:val="en-GB"/>
              </w:rPr>
              <w:t>With due regard to Chapter II of the Common Provisions Regulation for 2021</w:t>
            </w:r>
            <w:r w:rsidRPr="00A66F03">
              <w:rPr>
                <w:rFonts w:ascii="Times New Roman" w:hAnsi="Times New Roman" w:cs="Times New Roman"/>
                <w:color w:val="000000"/>
                <w:lang w:val="en-GB"/>
              </w:rPr>
              <w:t>–</w:t>
            </w:r>
            <w:r w:rsidRPr="00A66F03">
              <w:rPr>
                <w:rFonts w:ascii="Times New Roman" w:hAnsi="Times New Roman" w:cs="Times New Roman"/>
                <w:lang w:val="en-GB"/>
              </w:rPr>
              <w:t>2027, we expect</w:t>
            </w:r>
            <w:r w:rsidRPr="00A66F03">
              <w:rPr>
                <w:rFonts w:ascii="Times New Roman" w:hAnsi="Times New Roman" w:cs="Times New Roman"/>
                <w:lang w:val="en-GB"/>
              </w:rPr>
              <w:t xml:space="preserve"> to support integrated territorial development in the following ways:</w:t>
            </w:r>
          </w:p>
          <w:p w14:paraId="15CF7194" w14:textId="77777777" w:rsidR="00F30AB8" w:rsidRPr="00A66F03" w:rsidRDefault="00976636" w:rsidP="00B72629">
            <w:pPr>
              <w:numPr>
                <w:ilvl w:val="0"/>
                <w:numId w:val="27"/>
              </w:numPr>
              <w:spacing w:after="0" w:line="276" w:lineRule="auto"/>
              <w:jc w:val="both"/>
              <w:rPr>
                <w:rFonts w:ascii="Times New Roman" w:eastAsia="Times New Roman" w:hAnsi="Times New Roman" w:cs="Times New Roman"/>
                <w:iCs/>
                <w:lang w:val="en-GB"/>
              </w:rPr>
            </w:pPr>
            <w:r w:rsidRPr="00A66F03">
              <w:rPr>
                <w:rFonts w:ascii="Times New Roman" w:eastAsia="Times New Roman" w:hAnsi="Times New Roman" w:cs="Times New Roman"/>
                <w:lang w:val="en-GB"/>
              </w:rPr>
              <w:t>for sustainable urban development — Integrated Territorial Investments (ITI);</w:t>
            </w:r>
          </w:p>
          <w:p w14:paraId="5244E6D3" w14:textId="77777777" w:rsidR="00F30AB8" w:rsidRPr="00A66F03" w:rsidRDefault="00976636" w:rsidP="00B72629">
            <w:pPr>
              <w:numPr>
                <w:ilvl w:val="0"/>
                <w:numId w:val="27"/>
              </w:numPr>
              <w:spacing w:after="0" w:line="276" w:lineRule="auto"/>
              <w:jc w:val="both"/>
              <w:rPr>
                <w:rFonts w:ascii="Times New Roman" w:eastAsia="Times New Roman" w:hAnsi="Times New Roman" w:cs="Times New Roman"/>
                <w:iCs/>
                <w:lang w:val="en-GB"/>
              </w:rPr>
            </w:pPr>
            <w:r w:rsidRPr="00A66F03">
              <w:rPr>
                <w:rFonts w:ascii="Times New Roman" w:eastAsia="Times New Roman" w:hAnsi="Times New Roman" w:cs="Times New Roman"/>
                <w:lang w:val="en-GB"/>
              </w:rPr>
              <w:t>for local development — Community-Led Local Development (CLLD); and</w:t>
            </w:r>
          </w:p>
          <w:p w14:paraId="3857FF00" w14:textId="77777777" w:rsidR="00896671" w:rsidRPr="00A66F03" w:rsidRDefault="00976636" w:rsidP="00896671">
            <w:pPr>
              <w:numPr>
                <w:ilvl w:val="0"/>
                <w:numId w:val="27"/>
              </w:numPr>
              <w:spacing w:after="0" w:line="276" w:lineRule="auto"/>
              <w:jc w:val="both"/>
              <w:rPr>
                <w:rFonts w:ascii="Times New Roman" w:eastAsia="Times New Roman" w:hAnsi="Times New Roman" w:cs="Times New Roman"/>
                <w:iCs/>
                <w:lang w:val="en-GB"/>
              </w:rPr>
            </w:pPr>
            <w:r w:rsidRPr="00A66F03">
              <w:rPr>
                <w:rFonts w:ascii="Times New Roman" w:eastAsia="Times New Roman" w:hAnsi="Times New Roman" w:cs="Times New Roman"/>
                <w:lang w:val="en-GB"/>
              </w:rPr>
              <w:t xml:space="preserve">for regional development – Agreements </w:t>
            </w:r>
            <w:r w:rsidRPr="00A66F03">
              <w:rPr>
                <w:rFonts w:ascii="Times New Roman" w:eastAsia="Times New Roman" w:hAnsi="Times New Roman" w:cs="Times New Roman"/>
                <w:lang w:val="en-GB"/>
              </w:rPr>
              <w:t>for the Development of Regions (ADR).</w:t>
            </w:r>
          </w:p>
          <w:p w14:paraId="22DE6E61" w14:textId="77777777" w:rsidR="00F30AB8" w:rsidRPr="00A66F03" w:rsidRDefault="00F30AB8" w:rsidP="00B72629">
            <w:pPr>
              <w:spacing w:after="0" w:line="276" w:lineRule="auto"/>
              <w:jc w:val="both"/>
              <w:rPr>
                <w:rFonts w:ascii="Times New Roman" w:eastAsia="Times New Roman" w:hAnsi="Times New Roman" w:cs="Times New Roman"/>
                <w:iCs/>
                <w:lang w:val="en-GB"/>
              </w:rPr>
            </w:pPr>
          </w:p>
          <w:p w14:paraId="4A3D4EBD" w14:textId="77777777" w:rsidR="009E0FBD" w:rsidRPr="00A66F03" w:rsidRDefault="00976636" w:rsidP="009E0FBD">
            <w:pPr>
              <w:spacing w:after="0" w:line="276" w:lineRule="auto"/>
              <w:jc w:val="both"/>
              <w:rPr>
                <w:rFonts w:ascii="Times New Roman" w:eastAsia="Times New Roman" w:hAnsi="Times New Roman" w:cs="Times New Roman"/>
                <w:iCs/>
                <w:lang w:val="en-GB"/>
              </w:rPr>
            </w:pPr>
            <w:r w:rsidRPr="00A66F03">
              <w:rPr>
                <w:rFonts w:ascii="Times New Roman" w:hAnsi="Times New Roman" w:cs="Times New Roman"/>
                <w:lang w:val="en-GB"/>
              </w:rPr>
              <w:t>Integrated territorial approaches are expected to be implemented across all policy objectives in pursuit of the objectives of linking urban and rural areas under the Territorial Agenda 2030 and the Long-Term Vision fo</w:t>
            </w:r>
            <w:r w:rsidRPr="00A66F03">
              <w:rPr>
                <w:rFonts w:ascii="Times New Roman" w:hAnsi="Times New Roman" w:cs="Times New Roman"/>
                <w:lang w:val="en-GB"/>
              </w:rPr>
              <w:t xml:space="preserve">r the EU’s Rural Areas up to 2040. The ITI approach is envisaged for Policy Objectives 2 and 5, the CLLD approach for Policy Objective 5 and the regional development approach for Policy Objectives 1 to 4. All three approaches, which complement each other, </w:t>
            </w:r>
            <w:r w:rsidRPr="00A66F03">
              <w:rPr>
                <w:rFonts w:ascii="Times New Roman" w:hAnsi="Times New Roman" w:cs="Times New Roman"/>
                <w:lang w:val="en-GB"/>
              </w:rPr>
              <w:t>are based on the territorial and local development strategies that have been drafted. The demarcation between them is ensured through prior coordination, the strategies themselves being approved by the authorities or bodies responsible for them. In order t</w:t>
            </w:r>
            <w:r w:rsidRPr="00A66F03">
              <w:rPr>
                <w:rFonts w:ascii="Times New Roman" w:hAnsi="Times New Roman" w:cs="Times New Roman"/>
                <w:lang w:val="en-GB"/>
              </w:rPr>
              <w:t>o ensure the involvement of the relevant territorial authorities or bodies in the implementation of territorial strategies, these authorities or bodies will be involved in selecting the operations to be supported in the context of the implementation of ter</w:t>
            </w:r>
            <w:r w:rsidRPr="00A66F03">
              <w:rPr>
                <w:rFonts w:ascii="Times New Roman" w:hAnsi="Times New Roman" w:cs="Times New Roman"/>
                <w:lang w:val="en-GB"/>
              </w:rPr>
              <w:t>ritorial approaches.</w:t>
            </w:r>
          </w:p>
          <w:p w14:paraId="2D0277C9" w14:textId="77777777" w:rsidR="00F30AB8" w:rsidRPr="00A66F03" w:rsidRDefault="00F30AB8" w:rsidP="00B72629">
            <w:pPr>
              <w:spacing w:after="0" w:line="276" w:lineRule="auto"/>
              <w:jc w:val="both"/>
              <w:rPr>
                <w:rFonts w:ascii="Times New Roman" w:eastAsia="Times New Roman" w:hAnsi="Times New Roman" w:cs="Times New Roman"/>
                <w:iCs/>
                <w:lang w:val="en-GB"/>
              </w:rPr>
            </w:pPr>
          </w:p>
          <w:p w14:paraId="52BA2CAA" w14:textId="77777777" w:rsidR="00F30AB8" w:rsidRPr="00A66F03" w:rsidRDefault="00976636" w:rsidP="00B72629">
            <w:pPr>
              <w:numPr>
                <w:ilvl w:val="0"/>
                <w:numId w:val="28"/>
              </w:numPr>
              <w:spacing w:after="0" w:line="276" w:lineRule="auto"/>
              <w:jc w:val="both"/>
              <w:rPr>
                <w:rFonts w:ascii="Times New Roman" w:eastAsia="Times New Roman" w:hAnsi="Times New Roman" w:cs="Times New Roman"/>
                <w:b/>
                <w:iCs/>
                <w:lang w:val="en-GB"/>
              </w:rPr>
            </w:pPr>
            <w:r w:rsidRPr="00A66F03">
              <w:rPr>
                <w:rFonts w:ascii="Times New Roman" w:eastAsia="Times New Roman" w:hAnsi="Times New Roman" w:cs="Times New Roman"/>
                <w:b/>
                <w:bCs/>
                <w:lang w:val="en-GB"/>
              </w:rPr>
              <w:t>Sustainable Urban Development (ITI)</w:t>
            </w:r>
          </w:p>
          <w:p w14:paraId="4B505D02" w14:textId="77777777" w:rsidR="00F30AB8" w:rsidRPr="00A66F03" w:rsidRDefault="00F30AB8" w:rsidP="00B72629">
            <w:pPr>
              <w:spacing w:after="0" w:line="276" w:lineRule="auto"/>
              <w:jc w:val="both"/>
              <w:rPr>
                <w:rFonts w:ascii="Times New Roman" w:eastAsia="Times New Roman" w:hAnsi="Times New Roman" w:cs="Times New Roman"/>
                <w:b/>
                <w:iCs/>
                <w:lang w:val="en-GB"/>
              </w:rPr>
            </w:pPr>
          </w:p>
          <w:p w14:paraId="650CFB1A" w14:textId="77777777" w:rsidR="009E0FBD" w:rsidRPr="00A66F03" w:rsidRDefault="00976636" w:rsidP="009E0FBD">
            <w:pPr>
              <w:spacing w:after="0" w:line="276" w:lineRule="auto"/>
              <w:jc w:val="both"/>
              <w:rPr>
                <w:rFonts w:ascii="Times New Roman" w:eastAsia="Times New Roman" w:hAnsi="Times New Roman" w:cs="Times New Roman"/>
                <w:iCs/>
                <w:lang w:val="en-GB"/>
              </w:rPr>
            </w:pPr>
            <w:r w:rsidRPr="00A66F03">
              <w:rPr>
                <w:rFonts w:ascii="Times New Roman" w:eastAsia="Times New Roman" w:hAnsi="Times New Roman" w:cs="Times New Roman"/>
                <w:lang w:val="en-GB"/>
              </w:rPr>
              <w:t>Sustainable urban development that addresses economic, environmental, climate, demographic and social challenges will be supported through territorial strategies, with urban municipalities to the fore. Particular attention will be paid to resolving environ</w:t>
            </w:r>
            <w:r w:rsidRPr="00A66F03">
              <w:rPr>
                <w:rFonts w:ascii="Times New Roman" w:eastAsia="Times New Roman" w:hAnsi="Times New Roman" w:cs="Times New Roman"/>
                <w:lang w:val="en-GB"/>
              </w:rPr>
              <w:t xml:space="preserve">mental and climate challenges, in particular the transition to a climate-neutral economy by 2050, the unlocking of the innovation potential of digital </w:t>
            </w:r>
            <w:r w:rsidRPr="00A66F03">
              <w:rPr>
                <w:rFonts w:ascii="Times New Roman" w:eastAsia="Times New Roman" w:hAnsi="Times New Roman" w:cs="Times New Roman"/>
                <w:lang w:val="en-GB"/>
              </w:rPr>
              <w:lastRenderedPageBreak/>
              <w:t xml:space="preserve">technologies, the revitalisation of urban areas (social, economic) and the provision of support to urban </w:t>
            </w:r>
            <w:r w:rsidRPr="00A66F03">
              <w:rPr>
                <w:rFonts w:ascii="Times New Roman" w:eastAsia="Times New Roman" w:hAnsi="Times New Roman" w:cs="Times New Roman"/>
                <w:lang w:val="en-GB"/>
              </w:rPr>
              <w:t xml:space="preserve">development. Territorial strategies implemented within the context of sustainable urban development are sustainable urban strategies (SUS). The SUSs that have been drafted so far pay particular attention to ensuring adherence to the partnership principle. </w:t>
            </w:r>
            <w:r w:rsidRPr="00A66F03">
              <w:rPr>
                <w:rFonts w:ascii="Times New Roman" w:eastAsia="Times New Roman" w:hAnsi="Times New Roman" w:cs="Times New Roman"/>
                <w:lang w:val="en-GB"/>
              </w:rPr>
              <w:t>In geographical terms, an SUS covers urban municipalities or urban municipalities with municipalities in the wider city area covered by the SUS. It is expected that at least 8% of the ERDF resources under Regulation (EU) 2021/1058 will be devoted to sustai</w:t>
            </w:r>
            <w:r w:rsidRPr="00A66F03">
              <w:rPr>
                <w:rFonts w:ascii="Times New Roman" w:eastAsia="Times New Roman" w:hAnsi="Times New Roman" w:cs="Times New Roman"/>
                <w:lang w:val="en-GB"/>
              </w:rPr>
              <w:t xml:space="preserve">nable urban development. </w:t>
            </w:r>
          </w:p>
          <w:p w14:paraId="3E0A0B6F" w14:textId="77777777" w:rsidR="009E0FBD" w:rsidRPr="00A66F03" w:rsidRDefault="009E0FBD" w:rsidP="009E0FBD">
            <w:pPr>
              <w:spacing w:after="0" w:line="276" w:lineRule="auto"/>
              <w:jc w:val="both"/>
              <w:rPr>
                <w:rFonts w:ascii="Times New Roman" w:eastAsia="Times New Roman" w:hAnsi="Times New Roman" w:cs="Times New Roman"/>
                <w:iCs/>
                <w:lang w:val="en-GB"/>
              </w:rPr>
            </w:pPr>
          </w:p>
          <w:p w14:paraId="226565E3" w14:textId="77777777" w:rsidR="00152B2C" w:rsidRPr="00A66F03" w:rsidRDefault="00976636" w:rsidP="00152B2C">
            <w:pPr>
              <w:shd w:val="clear" w:color="auto" w:fill="FFFFFF" w:themeFill="background1"/>
              <w:spacing w:after="0" w:line="276" w:lineRule="auto"/>
              <w:jc w:val="both"/>
              <w:rPr>
                <w:rFonts w:ascii="Times New Roman" w:eastAsia="Arial" w:hAnsi="Times New Roman" w:cs="Times New Roman"/>
                <w:lang w:val="en-GB"/>
              </w:rPr>
            </w:pPr>
            <w:r w:rsidRPr="00A66F03">
              <w:rPr>
                <w:rFonts w:ascii="Times New Roman" w:eastAsia="Arial" w:hAnsi="Times New Roman" w:cs="Times New Roman"/>
                <w:lang w:val="en-GB"/>
              </w:rPr>
              <w:t xml:space="preserve">We will use the ITI approach to support green infrastructure projects in the urban environment, as well as sustainable mobility and the efficient use of urban space. </w:t>
            </w:r>
          </w:p>
          <w:p w14:paraId="270270A9" w14:textId="77777777" w:rsidR="006707DB" w:rsidRPr="00A66F03" w:rsidRDefault="006707DB" w:rsidP="009E0FBD">
            <w:pPr>
              <w:shd w:val="clear" w:color="auto" w:fill="FFFFFF" w:themeFill="background1"/>
              <w:spacing w:after="0" w:line="276" w:lineRule="auto"/>
              <w:jc w:val="both"/>
              <w:rPr>
                <w:rFonts w:ascii="Times New Roman" w:eastAsia="Arial" w:hAnsi="Times New Roman" w:cs="Times New Roman"/>
                <w:lang w:val="en-GB"/>
              </w:rPr>
            </w:pPr>
          </w:p>
          <w:p w14:paraId="23A8C9E7" w14:textId="77777777" w:rsidR="009E0FBD" w:rsidRPr="00A66F03" w:rsidRDefault="00976636" w:rsidP="009E0FBD">
            <w:pPr>
              <w:shd w:val="clear" w:color="auto" w:fill="FFFFFF" w:themeFill="background1"/>
              <w:spacing w:after="0" w:line="276" w:lineRule="auto"/>
              <w:jc w:val="both"/>
              <w:rPr>
                <w:rFonts w:ascii="Times New Roman" w:eastAsia="Arial" w:hAnsi="Times New Roman" w:cs="Times New Roman"/>
                <w:lang w:val="en-GB"/>
              </w:rPr>
            </w:pPr>
            <w:r w:rsidRPr="00A66F03">
              <w:rPr>
                <w:rFonts w:ascii="Times New Roman" w:eastAsia="Arial" w:hAnsi="Times New Roman" w:cs="Times New Roman"/>
                <w:lang w:val="en-GB"/>
              </w:rPr>
              <w:t>In the 2014–2020 period, the ITI approach was recognised as a</w:t>
            </w:r>
            <w:r w:rsidRPr="00A66F03">
              <w:rPr>
                <w:rFonts w:ascii="Times New Roman" w:eastAsia="Arial" w:hAnsi="Times New Roman" w:cs="Times New Roman"/>
                <w:lang w:val="en-GB"/>
              </w:rPr>
              <w:t xml:space="preserve">n example of good practice at European level. Implementation in the 2021–2027 period is therefore expected to follow the same path, i.e. ‘bottom-up’ through urban municipalities or their representative body (Association of Municipalities of Slovenia). All </w:t>
            </w:r>
            <w:r w:rsidRPr="00A66F03">
              <w:rPr>
                <w:rFonts w:ascii="Times New Roman" w:eastAsia="Arial" w:hAnsi="Times New Roman" w:cs="Times New Roman"/>
                <w:lang w:val="en-GB"/>
              </w:rPr>
              <w:t>urban municipalities in Slovenia will take part, i.e. Ljubljana, Maribor, Ptuj, Murska Sobota, Kranj, Celje, Velenje, Slovenj Gradec, Novo Mesto, Krško, Nova Gorica and Koper. In order to be eligible to receive resources for the co-financing of sustainable</w:t>
            </w:r>
            <w:r w:rsidRPr="00A66F03">
              <w:rPr>
                <w:rFonts w:ascii="Times New Roman" w:eastAsia="Arial" w:hAnsi="Times New Roman" w:cs="Times New Roman"/>
                <w:lang w:val="en-GB"/>
              </w:rPr>
              <w:t xml:space="preserve"> urban development operations, an urban municipality must draft (and, where necessary, update) and adopt an SUS. An SUS must outline the economic, environmental, climate, demographic and social challenges and objectives crucial to the sustainable developme</w:t>
            </w:r>
            <w:r w:rsidRPr="00A66F03">
              <w:rPr>
                <w:rFonts w:ascii="Times New Roman" w:eastAsia="Arial" w:hAnsi="Times New Roman" w:cs="Times New Roman"/>
                <w:lang w:val="en-GB"/>
              </w:rPr>
              <w:t xml:space="preserve">nt of the given urban area and relating to the problems of urban development in Slovenia as a whole. </w:t>
            </w:r>
          </w:p>
          <w:p w14:paraId="1D5679D6" w14:textId="77777777" w:rsidR="00F30AB8" w:rsidRPr="00A66F03" w:rsidRDefault="00F30AB8" w:rsidP="00B72629">
            <w:pPr>
              <w:spacing w:after="0" w:line="276" w:lineRule="auto"/>
              <w:jc w:val="both"/>
              <w:rPr>
                <w:rFonts w:ascii="Times New Roman" w:eastAsia="Times New Roman" w:hAnsi="Times New Roman" w:cs="Times New Roman"/>
                <w:iCs/>
                <w:lang w:val="en-GB"/>
              </w:rPr>
            </w:pPr>
          </w:p>
          <w:p w14:paraId="198CD532" w14:textId="77777777" w:rsidR="00F30AB8" w:rsidRPr="00A66F03" w:rsidRDefault="00976636" w:rsidP="00B72629">
            <w:pPr>
              <w:numPr>
                <w:ilvl w:val="0"/>
                <w:numId w:val="28"/>
              </w:numPr>
              <w:spacing w:after="0" w:line="276" w:lineRule="auto"/>
              <w:jc w:val="both"/>
              <w:rPr>
                <w:rFonts w:ascii="Times New Roman" w:eastAsia="Times New Roman" w:hAnsi="Times New Roman" w:cs="Times New Roman"/>
                <w:b/>
                <w:iCs/>
                <w:lang w:val="en-GB"/>
              </w:rPr>
            </w:pPr>
            <w:r w:rsidRPr="00A66F03">
              <w:rPr>
                <w:rFonts w:ascii="Times New Roman" w:eastAsia="Times New Roman" w:hAnsi="Times New Roman" w:cs="Times New Roman"/>
                <w:b/>
                <w:bCs/>
                <w:lang w:val="en-GB"/>
              </w:rPr>
              <w:t xml:space="preserve">Local development (CLLD) </w:t>
            </w:r>
          </w:p>
          <w:p w14:paraId="4ADB9975" w14:textId="77777777" w:rsidR="00F30AB8" w:rsidRPr="00A66F03" w:rsidRDefault="00F30AB8" w:rsidP="00B72629">
            <w:pPr>
              <w:spacing w:after="0" w:line="276" w:lineRule="auto"/>
              <w:jc w:val="both"/>
              <w:rPr>
                <w:rFonts w:ascii="Times New Roman" w:eastAsia="Times New Roman" w:hAnsi="Times New Roman" w:cs="Times New Roman"/>
                <w:b/>
                <w:iCs/>
                <w:lang w:val="en-GB"/>
              </w:rPr>
            </w:pPr>
          </w:p>
          <w:p w14:paraId="659B037B" w14:textId="77777777" w:rsidR="005F6E30" w:rsidRPr="00A66F03" w:rsidRDefault="00976636" w:rsidP="005F6E30">
            <w:pPr>
              <w:spacing w:after="0" w:line="276" w:lineRule="auto"/>
              <w:jc w:val="both"/>
              <w:rPr>
                <w:rFonts w:ascii="Times New Roman" w:eastAsia="Times New Roman" w:hAnsi="Times New Roman" w:cs="Times New Roman"/>
                <w:iCs/>
                <w:lang w:val="en-GB"/>
              </w:rPr>
            </w:pPr>
            <w:r w:rsidRPr="00A66F03">
              <w:rPr>
                <w:rFonts w:ascii="Times New Roman" w:hAnsi="Times New Roman" w:cs="Times New Roman"/>
                <w:lang w:val="en-GB"/>
              </w:rPr>
              <w:t>In order to develop and implement the common LEADER/CLLD approach, an inter-departmental CLLD 2021</w:t>
            </w:r>
            <w:r w:rsidRPr="00A66F03">
              <w:rPr>
                <w:rFonts w:ascii="Times New Roman" w:hAnsi="Times New Roman" w:cs="Times New Roman"/>
                <w:color w:val="000000"/>
                <w:lang w:val="en-GB"/>
              </w:rPr>
              <w:t>–</w:t>
            </w:r>
            <w:r w:rsidRPr="00A66F03">
              <w:rPr>
                <w:rFonts w:ascii="Times New Roman" w:hAnsi="Times New Roman" w:cs="Times New Roman"/>
                <w:lang w:val="en-GB"/>
              </w:rPr>
              <w:t>2027 working group, comprising representatives of the managing authorities of the three funds involved in the CLLD, as well as the paying agency and the intermediate body, has been established to locate appropriate synergies between those funds. The interd</w:t>
            </w:r>
            <w:r w:rsidRPr="00A66F03">
              <w:rPr>
                <w:rFonts w:ascii="Times New Roman" w:hAnsi="Times New Roman" w:cs="Times New Roman"/>
                <w:lang w:val="en-GB"/>
              </w:rPr>
              <w:t>epartmental CLLD 2021</w:t>
            </w:r>
            <w:r w:rsidRPr="00A66F03">
              <w:rPr>
                <w:rFonts w:ascii="Times New Roman" w:hAnsi="Times New Roman" w:cs="Times New Roman"/>
                <w:color w:val="000000"/>
                <w:lang w:val="en-GB"/>
              </w:rPr>
              <w:t>–</w:t>
            </w:r>
            <w:r w:rsidRPr="00A66F03">
              <w:rPr>
                <w:rFonts w:ascii="Times New Roman" w:hAnsi="Times New Roman" w:cs="Times New Roman"/>
                <w:lang w:val="en-GB"/>
              </w:rPr>
              <w:t>2027 working group will act as a coordinating body between the funds and will work actively with the local action groups (LAGs) to monitor and coordinate the implementation of the CLLD approach on the ground.</w:t>
            </w:r>
          </w:p>
          <w:p w14:paraId="06E167B2" w14:textId="77777777" w:rsidR="006E3D8F" w:rsidRPr="00A66F03" w:rsidRDefault="006E3D8F" w:rsidP="005F6E30">
            <w:pPr>
              <w:spacing w:after="0" w:line="276" w:lineRule="auto"/>
              <w:jc w:val="both"/>
              <w:rPr>
                <w:rFonts w:ascii="Times New Roman" w:eastAsia="Times New Roman" w:hAnsi="Times New Roman" w:cs="Times New Roman"/>
                <w:iCs/>
                <w:lang w:val="en-GB"/>
              </w:rPr>
            </w:pPr>
          </w:p>
          <w:p w14:paraId="1053BB42" w14:textId="77777777" w:rsidR="005F6E30" w:rsidRPr="00A66F03" w:rsidRDefault="00976636" w:rsidP="005F6E30">
            <w:pPr>
              <w:spacing w:after="0" w:line="276" w:lineRule="auto"/>
              <w:jc w:val="both"/>
              <w:rPr>
                <w:rFonts w:ascii="Times New Roman" w:eastAsia="Times New Roman" w:hAnsi="Times New Roman" w:cs="Times New Roman"/>
                <w:iCs/>
                <w:lang w:val="en-GB"/>
              </w:rPr>
            </w:pPr>
            <w:r w:rsidRPr="00A66F03">
              <w:rPr>
                <w:rFonts w:ascii="Times New Roman" w:hAnsi="Times New Roman" w:cs="Times New Roman"/>
                <w:lang w:val="en-GB"/>
              </w:rPr>
              <w:t>Community-Led Local Deve</w:t>
            </w:r>
            <w:r w:rsidRPr="00A66F03">
              <w:rPr>
                <w:rFonts w:ascii="Times New Roman" w:hAnsi="Times New Roman" w:cs="Times New Roman"/>
                <w:lang w:val="en-GB"/>
              </w:rPr>
              <w:t>lopment will take place using a ‘bottom-up’ approach running through the LAGs.</w:t>
            </w:r>
            <w:r w:rsidRPr="00A66F03">
              <w:rPr>
                <w:rFonts w:ascii="Times New Roman" w:hAnsi="Times New Roman" w:cs="Times New Roman"/>
                <w:color w:val="000000"/>
                <w:lang w:val="en-GB"/>
              </w:rPr>
              <w:t xml:space="preserve"> </w:t>
            </w:r>
            <w:r w:rsidRPr="00A66F03">
              <w:rPr>
                <w:rFonts w:ascii="Times New Roman" w:hAnsi="Times New Roman" w:cs="Times New Roman"/>
                <w:lang w:val="en-GB"/>
              </w:rPr>
              <w:t>These groups will be established to carry out complementary measures under the Common Agricultural Policy (EAFRD), cohesion policy (ERDF) and the Common Fisheries Policy (EMFAF)</w:t>
            </w:r>
            <w:r w:rsidRPr="00A66F03">
              <w:rPr>
                <w:rFonts w:ascii="Times New Roman" w:hAnsi="Times New Roman" w:cs="Times New Roman"/>
                <w:lang w:val="en-GB"/>
              </w:rPr>
              <w:t>. During the 2021–2027 programming period, CLLD will be implemented via the ‘2+1’ system. Under the ERDF and EAFRD, the common LEADER/CLLD approach will be implemented throughout the country. LAG areas will be integrated into a homogeneous geographical and</w:t>
            </w:r>
            <w:r w:rsidRPr="00A66F03">
              <w:rPr>
                <w:rFonts w:ascii="Times New Roman" w:hAnsi="Times New Roman" w:cs="Times New Roman"/>
                <w:lang w:val="en-GB"/>
              </w:rPr>
              <w:t xml:space="preserve"> functional whole, with shared local needs and challenges being addressed in joint local development strategies (LDSs). With a view to ensuring continuity of implementation with the 2014</w:t>
            </w:r>
            <w:r w:rsidRPr="00A66F03">
              <w:rPr>
                <w:rFonts w:ascii="Times New Roman" w:hAnsi="Times New Roman" w:cs="Times New Roman"/>
                <w:color w:val="000000"/>
                <w:lang w:val="en-GB"/>
              </w:rPr>
              <w:t>–</w:t>
            </w:r>
            <w:r w:rsidRPr="00A66F03">
              <w:rPr>
                <w:rFonts w:ascii="Times New Roman" w:hAnsi="Times New Roman" w:cs="Times New Roman"/>
                <w:lang w:val="en-GB"/>
              </w:rPr>
              <w:t>2020 period, the common CLLD approach will be implemented without the</w:t>
            </w:r>
            <w:r w:rsidRPr="00A66F03">
              <w:rPr>
                <w:rFonts w:ascii="Times New Roman" w:hAnsi="Times New Roman" w:cs="Times New Roman"/>
                <w:lang w:val="en-GB"/>
              </w:rPr>
              <w:t xml:space="preserve"> main fund. The selection of LAGs and LDSs will be based on common criteria, with the selection being made by the managing authorities of the ERDF and EAFRD. The conditions for setting up the LAGs and the LDSs and the method of implementing the mechanism w</w:t>
            </w:r>
            <w:r w:rsidRPr="00A66F03">
              <w:rPr>
                <w:rFonts w:ascii="Times New Roman" w:hAnsi="Times New Roman" w:cs="Times New Roman"/>
                <w:lang w:val="en-GB"/>
              </w:rPr>
              <w:t>ill be set out in a common national rule, and in the instructions and guidelines issued by the managing authorities. Local development strategies will be approved by the managing authorities of both funds. Local action groups will implement the selected lo</w:t>
            </w:r>
            <w:r w:rsidRPr="00A66F03">
              <w:rPr>
                <w:rFonts w:ascii="Times New Roman" w:hAnsi="Times New Roman" w:cs="Times New Roman"/>
                <w:lang w:val="en-GB"/>
              </w:rPr>
              <w:t xml:space="preserve">cal development strategy in accordance with the tasks set out in Article 33(3) of the Common Provisions Regulation, and prepare and publish public calls for </w:t>
            </w:r>
            <w:r w:rsidRPr="00A66F03">
              <w:rPr>
                <w:rFonts w:ascii="Times New Roman" w:hAnsi="Times New Roman" w:cs="Times New Roman"/>
                <w:lang w:val="en-GB"/>
              </w:rPr>
              <w:lastRenderedPageBreak/>
              <w:t>the selection of operations under both funds. ERDF operations will be certified by the intermediate</w:t>
            </w:r>
            <w:r w:rsidRPr="00A66F03">
              <w:rPr>
                <w:rFonts w:ascii="Times New Roman" w:hAnsi="Times New Roman" w:cs="Times New Roman"/>
                <w:lang w:val="en-GB"/>
              </w:rPr>
              <w:t xml:space="preserve"> body and EAFRD operations by the EAFRD paying agency. </w:t>
            </w:r>
          </w:p>
          <w:p w14:paraId="7743912A" w14:textId="77777777" w:rsidR="006E3D8F" w:rsidRPr="00A66F03" w:rsidRDefault="006E3D8F" w:rsidP="005F6E30">
            <w:pPr>
              <w:spacing w:after="0" w:line="276" w:lineRule="auto"/>
              <w:jc w:val="both"/>
              <w:rPr>
                <w:rFonts w:ascii="Times New Roman" w:eastAsia="Times New Roman" w:hAnsi="Times New Roman" w:cs="Times New Roman"/>
                <w:iCs/>
                <w:lang w:val="en-GB"/>
              </w:rPr>
            </w:pPr>
          </w:p>
          <w:p w14:paraId="7624EF51" w14:textId="77777777" w:rsidR="00204FFC" w:rsidRPr="00A66F03" w:rsidRDefault="00976636" w:rsidP="00B72629">
            <w:pPr>
              <w:spacing w:after="0" w:line="276" w:lineRule="auto"/>
              <w:jc w:val="both"/>
              <w:rPr>
                <w:rFonts w:ascii="Times New Roman" w:eastAsia="Times New Roman" w:hAnsi="Times New Roman" w:cs="Times New Roman"/>
                <w:iCs/>
                <w:lang w:val="en-GB"/>
              </w:rPr>
            </w:pPr>
            <w:r w:rsidRPr="00A66F03">
              <w:rPr>
                <w:rFonts w:ascii="Times New Roman" w:eastAsia="Times New Roman" w:hAnsi="Times New Roman" w:cs="Times New Roman"/>
                <w:lang w:val="en-GB"/>
              </w:rPr>
              <w:t>We will allocate ERDF resources to building an inclusive society and to the further comprehensive socio-economic development of urban and rural areas, with particular attention to be paid to reducing</w:t>
            </w:r>
            <w:r w:rsidRPr="00A66F03">
              <w:rPr>
                <w:rFonts w:ascii="Times New Roman" w:eastAsia="Times New Roman" w:hAnsi="Times New Roman" w:cs="Times New Roman"/>
                <w:lang w:val="en-GB"/>
              </w:rPr>
              <w:t xml:space="preserve"> the gap between socio-economically disadvantaged people and areas. </w:t>
            </w:r>
          </w:p>
          <w:p w14:paraId="01FDE865" w14:textId="77777777" w:rsidR="00204FFC" w:rsidRPr="00A66F03" w:rsidRDefault="00204FFC" w:rsidP="00B72629">
            <w:pPr>
              <w:spacing w:after="0" w:line="276" w:lineRule="auto"/>
              <w:jc w:val="both"/>
              <w:rPr>
                <w:rFonts w:ascii="Times New Roman" w:eastAsia="Times New Roman" w:hAnsi="Times New Roman" w:cs="Times New Roman"/>
                <w:iCs/>
                <w:lang w:val="en-GB"/>
              </w:rPr>
            </w:pPr>
          </w:p>
          <w:p w14:paraId="04C928D0" w14:textId="77777777" w:rsidR="00F30AB8" w:rsidRPr="00A66F03" w:rsidRDefault="00976636" w:rsidP="00B72629">
            <w:pPr>
              <w:spacing w:after="0" w:line="276" w:lineRule="auto"/>
              <w:jc w:val="both"/>
              <w:rPr>
                <w:rFonts w:ascii="Times New Roman" w:eastAsia="Times New Roman" w:hAnsi="Times New Roman" w:cs="Times New Roman"/>
                <w:iCs/>
                <w:lang w:val="en-GB"/>
              </w:rPr>
            </w:pPr>
            <w:r w:rsidRPr="00A66F03">
              <w:rPr>
                <w:rFonts w:ascii="Times New Roman" w:hAnsi="Times New Roman" w:cs="Times New Roman"/>
                <w:lang w:val="en-GB"/>
              </w:rPr>
              <w:t>CLLD under the EMFAF will be implemented autonomously. In comparison with the 2014</w:t>
            </w:r>
            <w:r w:rsidRPr="00A66F03">
              <w:rPr>
                <w:rFonts w:ascii="Times New Roman" w:hAnsi="Times New Roman" w:cs="Times New Roman"/>
                <w:color w:val="000000"/>
                <w:lang w:val="en-GB"/>
              </w:rPr>
              <w:t>–</w:t>
            </w:r>
            <w:r w:rsidRPr="00A66F03">
              <w:rPr>
                <w:rFonts w:ascii="Times New Roman" w:hAnsi="Times New Roman" w:cs="Times New Roman"/>
                <w:lang w:val="en-GB"/>
              </w:rPr>
              <w:t>2020 period, we expect autonomous implementation will lead to shorter and simpler procedures for checki</w:t>
            </w:r>
            <w:r w:rsidRPr="00A66F03">
              <w:rPr>
                <w:rFonts w:ascii="Times New Roman" w:hAnsi="Times New Roman" w:cs="Times New Roman"/>
                <w:lang w:val="en-GB"/>
              </w:rPr>
              <w:t>ng and approving applications and projects, and to local development strategies being approved that better take into account the specificities of areas in which a representative fisheries and aquaculture sector is present. Extending CLLD under the EMFAF to</w:t>
            </w:r>
            <w:r w:rsidRPr="00A66F03">
              <w:rPr>
                <w:rFonts w:ascii="Times New Roman" w:hAnsi="Times New Roman" w:cs="Times New Roman"/>
                <w:lang w:val="en-GB"/>
              </w:rPr>
              <w:t xml:space="preserve"> the whole territory of Slovenia (subject to certain conditions and criteria, of course) also means that more stakeholders will be able to benefit from EU funding. The entire coastal zone (the municipalities of Koper, Izola, Piran and Ankaran) will make up</w:t>
            </w:r>
            <w:r w:rsidRPr="00A66F03">
              <w:rPr>
                <w:rFonts w:ascii="Times New Roman" w:hAnsi="Times New Roman" w:cs="Times New Roman"/>
                <w:lang w:val="en-GB"/>
              </w:rPr>
              <w:t xml:space="preserve"> a single fisheries area. Criteria similar to those in place in the 2014</w:t>
            </w:r>
            <w:r w:rsidRPr="00A66F03">
              <w:rPr>
                <w:rFonts w:ascii="Times New Roman" w:hAnsi="Times New Roman" w:cs="Times New Roman"/>
                <w:color w:val="000000"/>
                <w:lang w:val="en-GB"/>
              </w:rPr>
              <w:t>–</w:t>
            </w:r>
            <w:r w:rsidRPr="00A66F03">
              <w:rPr>
                <w:rFonts w:ascii="Times New Roman" w:hAnsi="Times New Roman" w:cs="Times New Roman"/>
                <w:lang w:val="en-GB"/>
              </w:rPr>
              <w:t>2020 programming period will be used to create a fisheries area on the mainland. The EMFAF will address projects in the fisheries and/or aquaculture sectors in line with the objective</w:t>
            </w:r>
            <w:r w:rsidRPr="00A66F03">
              <w:rPr>
                <w:rFonts w:ascii="Times New Roman" w:hAnsi="Times New Roman" w:cs="Times New Roman"/>
                <w:lang w:val="en-GB"/>
              </w:rPr>
              <w:t>s set out in the OP EMFAF 2021</w:t>
            </w:r>
            <w:r w:rsidRPr="00A66F03">
              <w:rPr>
                <w:rFonts w:ascii="Times New Roman" w:hAnsi="Times New Roman" w:cs="Times New Roman"/>
                <w:color w:val="000000"/>
                <w:lang w:val="en-GB"/>
              </w:rPr>
              <w:t>–</w:t>
            </w:r>
            <w:r w:rsidRPr="00A66F03">
              <w:rPr>
                <w:rFonts w:ascii="Times New Roman" w:hAnsi="Times New Roman" w:cs="Times New Roman"/>
                <w:lang w:val="en-GB"/>
              </w:rPr>
              <w:t>2027, taking into account the economic, environmental and social aspects. The selected projects will enable the sustainable development of the territories and their wider diversification, particularly in the blue economy sect</w:t>
            </w:r>
            <w:r w:rsidRPr="00A66F03">
              <w:rPr>
                <w:rFonts w:ascii="Times New Roman" w:hAnsi="Times New Roman" w:cs="Times New Roman"/>
                <w:lang w:val="en-GB"/>
              </w:rPr>
              <w:t>ors on the coastline, taking into account the Smart Specialisation Strategy and the ‘Restore our Ocean and Waters by 2030’ mission.</w:t>
            </w:r>
          </w:p>
          <w:p w14:paraId="342F56EF" w14:textId="77777777" w:rsidR="00507E3A" w:rsidRPr="00A66F03" w:rsidRDefault="00507E3A" w:rsidP="00B72629">
            <w:pPr>
              <w:spacing w:after="0" w:line="276" w:lineRule="auto"/>
              <w:jc w:val="both"/>
              <w:rPr>
                <w:rFonts w:ascii="Times New Roman" w:eastAsia="Times New Roman" w:hAnsi="Times New Roman" w:cs="Times New Roman"/>
                <w:iCs/>
                <w:lang w:val="en-GB"/>
              </w:rPr>
            </w:pPr>
          </w:p>
          <w:p w14:paraId="1726CF1B" w14:textId="77777777" w:rsidR="00F30AB8" w:rsidRPr="00A66F03" w:rsidRDefault="00976636" w:rsidP="009314FF">
            <w:pPr>
              <w:pStyle w:val="Odstavekseznama"/>
              <w:numPr>
                <w:ilvl w:val="0"/>
                <w:numId w:val="28"/>
              </w:numPr>
              <w:spacing w:after="0" w:line="276" w:lineRule="auto"/>
              <w:jc w:val="both"/>
              <w:rPr>
                <w:rFonts w:ascii="Times New Roman" w:eastAsia="Times New Roman" w:hAnsi="Times New Roman" w:cs="Times New Roman"/>
                <w:b/>
                <w:iCs/>
              </w:rPr>
            </w:pPr>
            <w:r w:rsidRPr="00A66F03">
              <w:rPr>
                <w:rFonts w:ascii="Times New Roman" w:eastAsia="Times New Roman" w:hAnsi="Times New Roman" w:cs="Times New Roman"/>
                <w:b/>
                <w:bCs/>
              </w:rPr>
              <w:t>Regional development (ADR)</w:t>
            </w:r>
          </w:p>
          <w:p w14:paraId="46E4038E" w14:textId="77777777" w:rsidR="009314FF" w:rsidRPr="00A66F03" w:rsidRDefault="009314FF" w:rsidP="009314FF">
            <w:pPr>
              <w:pStyle w:val="Odstavekseznama"/>
              <w:spacing w:after="0" w:line="276" w:lineRule="auto"/>
              <w:ind w:left="710"/>
              <w:jc w:val="both"/>
              <w:rPr>
                <w:rFonts w:ascii="Times New Roman" w:eastAsia="Times New Roman" w:hAnsi="Times New Roman" w:cs="Times New Roman"/>
                <w:b/>
                <w:iCs/>
              </w:rPr>
            </w:pPr>
          </w:p>
          <w:p w14:paraId="34693E62" w14:textId="77777777" w:rsidR="009E0FBD" w:rsidRPr="00A66F03" w:rsidRDefault="00976636" w:rsidP="009E0FBD">
            <w:pPr>
              <w:spacing w:after="0" w:line="276" w:lineRule="auto"/>
              <w:jc w:val="both"/>
              <w:rPr>
                <w:rFonts w:ascii="Times New Roman" w:eastAsia="Times New Roman" w:hAnsi="Times New Roman" w:cs="Times New Roman"/>
                <w:iCs/>
                <w:lang w:val="en-GB"/>
              </w:rPr>
            </w:pPr>
            <w:r w:rsidRPr="00A66F03">
              <w:rPr>
                <w:rFonts w:ascii="Times New Roman" w:eastAsia="Times New Roman" w:hAnsi="Times New Roman" w:cs="Times New Roman"/>
                <w:lang w:val="en-GB"/>
              </w:rPr>
              <w:t>The economic, environmental, climate, demographic and social challenges and potentials of individual regions will also be addressed on the basis of regional development strategies geared towards achieving the territorial development objectives and implemen</w:t>
            </w:r>
            <w:r w:rsidRPr="00A66F03">
              <w:rPr>
                <w:rFonts w:ascii="Times New Roman" w:eastAsia="Times New Roman" w:hAnsi="Times New Roman" w:cs="Times New Roman"/>
                <w:lang w:val="en-GB"/>
              </w:rPr>
              <w:t>ted as the bottom-up integration of the internal development initiatives of development regions. Territorial strategies are regional development programmes (RDPs) drawn up on the basis of the Promotion of Balanced Regional Development Act. There is no terr</w:t>
            </w:r>
            <w:r w:rsidRPr="00A66F03">
              <w:rPr>
                <w:rFonts w:ascii="Times New Roman" w:eastAsia="Times New Roman" w:hAnsi="Times New Roman" w:cs="Times New Roman"/>
                <w:lang w:val="en-GB"/>
              </w:rPr>
              <w:t xml:space="preserve">itorial overlap between the programmes. In geographical terms, an RDP covers development regions at NUTS 3 level. The added value lies in the possibility of preparing more comprehensive projects which, given the dispersed nature of settlement in Slovenia, </w:t>
            </w:r>
            <w:r w:rsidRPr="00A66F03">
              <w:rPr>
                <w:rFonts w:ascii="Times New Roman" w:eastAsia="Times New Roman" w:hAnsi="Times New Roman" w:cs="Times New Roman"/>
                <w:lang w:val="en-GB"/>
              </w:rPr>
              <w:t xml:space="preserve">does not exclude any segment of the population or any area important for the development of larger and integrated projects. The development risk index and population size will be taken into account when funds are being allocated. Support for larger and/or </w:t>
            </w:r>
            <w:r w:rsidRPr="00A66F03">
              <w:rPr>
                <w:rFonts w:ascii="Times New Roman" w:eastAsia="Times New Roman" w:hAnsi="Times New Roman" w:cs="Times New Roman"/>
                <w:lang w:val="en-GB"/>
              </w:rPr>
              <w:t xml:space="preserve">more integrated regional projects is envisaged under the regional development approach. </w:t>
            </w:r>
          </w:p>
          <w:p w14:paraId="448B0507" w14:textId="77777777" w:rsidR="009E0FBD" w:rsidRPr="00A66F03" w:rsidRDefault="009E0FBD" w:rsidP="009E0FBD">
            <w:pPr>
              <w:spacing w:after="0" w:line="276" w:lineRule="auto"/>
              <w:jc w:val="both"/>
              <w:rPr>
                <w:rFonts w:ascii="Times New Roman" w:eastAsia="Times New Roman" w:hAnsi="Times New Roman" w:cs="Times New Roman"/>
                <w:iCs/>
                <w:lang w:val="en-GB"/>
              </w:rPr>
            </w:pPr>
          </w:p>
          <w:p w14:paraId="244CA5B3" w14:textId="77777777" w:rsidR="00F30AB8" w:rsidRPr="00A66F03" w:rsidRDefault="00976636" w:rsidP="00B72629">
            <w:pPr>
              <w:spacing w:after="0" w:line="276" w:lineRule="auto"/>
              <w:jc w:val="both"/>
              <w:rPr>
                <w:rFonts w:ascii="Times New Roman" w:eastAsia="Times New Roman" w:hAnsi="Times New Roman" w:cs="Times New Roman"/>
                <w:iCs/>
                <w:lang w:val="en-GB"/>
              </w:rPr>
            </w:pPr>
            <w:r w:rsidRPr="00A66F03">
              <w:rPr>
                <w:rFonts w:ascii="Times New Roman" w:eastAsia="Times New Roman" w:hAnsi="Times New Roman" w:cs="Times New Roman"/>
                <w:lang w:val="en-GB"/>
              </w:rPr>
              <w:t>We will apply the regional development approach to those areas of action in which the use of a bottom-up approach is more sensible and rational than a top-down approa</w:t>
            </w:r>
            <w:r w:rsidRPr="00A66F03">
              <w:rPr>
                <w:rFonts w:ascii="Times New Roman" w:eastAsia="Times New Roman" w:hAnsi="Times New Roman" w:cs="Times New Roman"/>
                <w:lang w:val="en-GB"/>
              </w:rPr>
              <w:t>ch. As a matter of priority, projects that contribute to the fulfilment of enabling conditions and that do not overlap with other actions will be implemented under this approach. Nationally-led actions and territorial approaches will be complementary and w</w:t>
            </w:r>
            <w:r w:rsidRPr="00A66F03">
              <w:rPr>
                <w:rFonts w:ascii="Times New Roman" w:eastAsia="Times New Roman" w:hAnsi="Times New Roman" w:cs="Times New Roman"/>
                <w:lang w:val="en-GB"/>
              </w:rPr>
              <w:t>ill not overlap. The regional development approach is complemented by the ITI and CLLD approaches, as it aims to overcome the development barriers erected by disparities in areas not addressed by the other two approaches. The combination of all three appro</w:t>
            </w:r>
            <w:r w:rsidRPr="00A66F03">
              <w:rPr>
                <w:rFonts w:ascii="Times New Roman" w:eastAsia="Times New Roman" w:hAnsi="Times New Roman" w:cs="Times New Roman"/>
                <w:lang w:val="en-GB"/>
              </w:rPr>
              <w:t>aches makes an integrated contribution to reducing development disparities between and within regions and to maintaining the population and development vitality of rural areas. Projects envisaged under territorial approaches can only be supported within on</w:t>
            </w:r>
            <w:r w:rsidRPr="00A66F03">
              <w:rPr>
                <w:rFonts w:ascii="Times New Roman" w:eastAsia="Times New Roman" w:hAnsi="Times New Roman" w:cs="Times New Roman"/>
                <w:lang w:val="en-GB"/>
              </w:rPr>
              <w:t>e of the approaches. Complementarity will be sought and steps taken to ensure that there is no overlap between them.</w:t>
            </w:r>
          </w:p>
          <w:p w14:paraId="2E5D70AA" w14:textId="77777777" w:rsidR="0010369D" w:rsidRPr="00A66F03" w:rsidRDefault="00976636" w:rsidP="0010369D">
            <w:pPr>
              <w:pStyle w:val="Naslov1"/>
              <w:spacing w:before="0" w:line="276" w:lineRule="auto"/>
              <w:rPr>
                <w:rFonts w:eastAsia="Times New Roman" w:cs="Times New Roman"/>
                <w:lang w:val="en-GB"/>
              </w:rPr>
            </w:pPr>
            <w:bookmarkStart w:id="39" w:name="_Toc115336029"/>
            <w:r w:rsidRPr="00A66F03">
              <w:rPr>
                <w:rFonts w:eastAsia="Times New Roman" w:cs="Times New Roman"/>
                <w:bCs/>
                <w:lang w:val="en-GB"/>
              </w:rPr>
              <w:lastRenderedPageBreak/>
              <w:t>12.   Preliminary climate contribution target</w:t>
            </w:r>
            <w:bookmarkEnd w:id="39"/>
          </w:p>
          <w:p w14:paraId="51B7E89F" w14:textId="77777777" w:rsidR="006E3D8F" w:rsidRPr="00A66F03" w:rsidRDefault="006E3D8F" w:rsidP="00B72629">
            <w:pPr>
              <w:spacing w:after="0" w:line="276" w:lineRule="auto"/>
              <w:jc w:val="both"/>
              <w:rPr>
                <w:lang w:val="en-GB"/>
              </w:rPr>
            </w:pPr>
          </w:p>
          <w:p w14:paraId="176404D0" w14:textId="77777777" w:rsidR="0010369D" w:rsidRPr="00A66F03" w:rsidRDefault="0010369D" w:rsidP="00B72629">
            <w:pPr>
              <w:spacing w:after="0" w:line="276" w:lineRule="auto"/>
              <w:jc w:val="both"/>
              <w:rPr>
                <w:rFonts w:ascii="Times New Roman" w:eastAsia="Times New Roman" w:hAnsi="Times New Roman" w:cs="Times New Roman"/>
                <w:sz w:val="24"/>
                <w:szCs w:val="24"/>
                <w:lang w:val="en-GB"/>
              </w:rPr>
            </w:pPr>
          </w:p>
        </w:tc>
      </w:tr>
      <w:tr w:rsidR="00143DBE" w:rsidRPr="00A66F03" w14:paraId="228B8F55" w14:textId="77777777" w:rsidTr="0010369D">
        <w:tblPrEx>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PrEx>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15F0C98" w14:textId="77777777" w:rsidR="0010369D" w:rsidRPr="00A66F03" w:rsidRDefault="00976636" w:rsidP="00E32F3D">
            <w:pPr>
              <w:spacing w:after="0" w:line="276" w:lineRule="auto"/>
              <w:ind w:right="195"/>
              <w:jc w:val="center"/>
              <w:rPr>
                <w:rFonts w:ascii="Times New Roman" w:eastAsia="Times New Roman" w:hAnsi="Times New Roman" w:cs="Times New Roman"/>
                <w:b/>
                <w:bCs/>
                <w:lang w:val="en-GB"/>
              </w:rPr>
            </w:pPr>
            <w:r w:rsidRPr="00A66F03">
              <w:rPr>
                <w:rFonts w:ascii="Times New Roman" w:eastAsia="Times New Roman" w:hAnsi="Times New Roman" w:cs="Times New Roman"/>
                <w:b/>
                <w:bCs/>
                <w:lang w:val="en-GB"/>
              </w:rPr>
              <w:lastRenderedPageBreak/>
              <w:t>Fund</w:t>
            </w:r>
          </w:p>
        </w:tc>
        <w:tc>
          <w:tcPr>
            <w:tcW w:w="2187" w:type="pct"/>
            <w:tcBorders>
              <w:top w:val="single" w:sz="6" w:space="0" w:color="000000"/>
              <w:left w:val="single" w:sz="6" w:space="0" w:color="000000"/>
              <w:bottom w:val="single" w:sz="6" w:space="0" w:color="000000"/>
              <w:right w:val="single" w:sz="6" w:space="0" w:color="000000"/>
            </w:tcBorders>
            <w:shd w:val="clear" w:color="auto" w:fill="auto"/>
            <w:hideMark/>
          </w:tcPr>
          <w:p w14:paraId="2672F0C5" w14:textId="77777777" w:rsidR="0010369D" w:rsidRPr="00A66F03" w:rsidRDefault="00976636" w:rsidP="00E32F3D">
            <w:pPr>
              <w:spacing w:after="0" w:line="276" w:lineRule="auto"/>
              <w:ind w:right="195"/>
              <w:jc w:val="center"/>
              <w:rPr>
                <w:rFonts w:ascii="Times New Roman" w:eastAsia="Times New Roman" w:hAnsi="Times New Roman" w:cs="Times New Roman"/>
                <w:b/>
                <w:bCs/>
                <w:lang w:val="en-GB"/>
              </w:rPr>
            </w:pPr>
            <w:r w:rsidRPr="00A66F03">
              <w:rPr>
                <w:rFonts w:ascii="Times New Roman" w:eastAsia="Times New Roman" w:hAnsi="Times New Roman" w:cs="Times New Roman"/>
                <w:b/>
                <w:bCs/>
                <w:lang w:val="en-GB"/>
              </w:rPr>
              <w:t>Preliminary climate contribution</w:t>
            </w:r>
          </w:p>
        </w:tc>
      </w:tr>
      <w:tr w:rsidR="00143DBE" w:rsidRPr="00A66F03" w14:paraId="1A5BF86E" w14:textId="77777777" w:rsidTr="0010369D">
        <w:tblPrEx>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PrEx>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F067A95" w14:textId="77777777" w:rsidR="0010369D" w:rsidRPr="00A66F03" w:rsidRDefault="00976636" w:rsidP="00E32F3D">
            <w:pPr>
              <w:spacing w:after="0" w:line="276" w:lineRule="auto"/>
              <w:rPr>
                <w:rFonts w:ascii="Times New Roman" w:eastAsia="Times New Roman" w:hAnsi="Times New Roman" w:cs="Times New Roman"/>
                <w:lang w:val="en-GB"/>
              </w:rPr>
            </w:pPr>
            <w:r w:rsidRPr="00A66F03">
              <w:rPr>
                <w:rFonts w:ascii="Times New Roman" w:eastAsia="Times New Roman" w:hAnsi="Times New Roman" w:cs="Times New Roman"/>
                <w:lang w:val="en-GB"/>
              </w:rPr>
              <w:t>ERDF</w:t>
            </w:r>
          </w:p>
        </w:tc>
        <w:tc>
          <w:tcPr>
            <w:tcW w:w="2187" w:type="pct"/>
            <w:tcBorders>
              <w:top w:val="single" w:sz="6" w:space="0" w:color="000000"/>
              <w:left w:val="single" w:sz="6" w:space="0" w:color="000000"/>
              <w:bottom w:val="single" w:sz="6" w:space="0" w:color="000000"/>
              <w:right w:val="single" w:sz="6" w:space="0" w:color="000000"/>
            </w:tcBorders>
            <w:shd w:val="clear" w:color="auto" w:fill="auto"/>
            <w:hideMark/>
          </w:tcPr>
          <w:p w14:paraId="169983A4" w14:textId="77777777" w:rsidR="0010369D" w:rsidRPr="00A66F03" w:rsidRDefault="00976636" w:rsidP="00E32F3D">
            <w:pPr>
              <w:spacing w:after="0" w:line="276" w:lineRule="auto"/>
              <w:jc w:val="both"/>
              <w:rPr>
                <w:rFonts w:ascii="Times New Roman" w:eastAsia="Times New Roman" w:hAnsi="Times New Roman" w:cs="Times New Roman"/>
                <w:sz w:val="24"/>
                <w:szCs w:val="24"/>
                <w:lang w:val="en-GB"/>
              </w:rPr>
            </w:pPr>
            <w:r w:rsidRPr="00A66F03">
              <w:rPr>
                <w:rFonts w:ascii="Times New Roman" w:eastAsia="Times New Roman" w:hAnsi="Times New Roman" w:cs="Times New Roman"/>
                <w:sz w:val="24"/>
                <w:szCs w:val="24"/>
                <w:lang w:val="en-GB"/>
              </w:rPr>
              <w:t> 503,793,123</w:t>
            </w:r>
          </w:p>
        </w:tc>
      </w:tr>
      <w:tr w:rsidR="00143DBE" w:rsidRPr="00A66F03" w14:paraId="55EBC93F" w14:textId="77777777" w:rsidTr="0010369D">
        <w:tblPrEx>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PrEx>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556633C" w14:textId="77777777" w:rsidR="0010369D" w:rsidRPr="00A66F03" w:rsidRDefault="00976636" w:rsidP="00E32F3D">
            <w:pPr>
              <w:spacing w:after="0" w:line="276" w:lineRule="auto"/>
              <w:rPr>
                <w:rFonts w:ascii="Times New Roman" w:eastAsia="Times New Roman" w:hAnsi="Times New Roman" w:cs="Times New Roman"/>
                <w:lang w:val="en-GB"/>
              </w:rPr>
            </w:pPr>
            <w:r w:rsidRPr="00A66F03">
              <w:rPr>
                <w:rFonts w:ascii="Times New Roman" w:eastAsia="Times New Roman" w:hAnsi="Times New Roman" w:cs="Times New Roman"/>
                <w:lang w:val="en-GB"/>
              </w:rPr>
              <w:t>Cohesion Fund</w:t>
            </w:r>
          </w:p>
        </w:tc>
        <w:tc>
          <w:tcPr>
            <w:tcW w:w="2187" w:type="pct"/>
            <w:tcBorders>
              <w:top w:val="single" w:sz="6" w:space="0" w:color="000000"/>
              <w:left w:val="single" w:sz="6" w:space="0" w:color="000000"/>
              <w:bottom w:val="single" w:sz="6" w:space="0" w:color="000000"/>
              <w:right w:val="single" w:sz="6" w:space="0" w:color="000000"/>
            </w:tcBorders>
            <w:shd w:val="clear" w:color="auto" w:fill="auto"/>
            <w:hideMark/>
          </w:tcPr>
          <w:p w14:paraId="6E29D560" w14:textId="77777777" w:rsidR="0010369D" w:rsidRPr="00A66F03" w:rsidRDefault="00976636" w:rsidP="00E32F3D">
            <w:pPr>
              <w:spacing w:after="0" w:line="276" w:lineRule="auto"/>
              <w:jc w:val="both"/>
              <w:rPr>
                <w:rFonts w:ascii="Times New Roman" w:eastAsia="Times New Roman" w:hAnsi="Times New Roman" w:cs="Times New Roman"/>
                <w:sz w:val="24"/>
                <w:szCs w:val="24"/>
                <w:lang w:val="en-GB"/>
              </w:rPr>
            </w:pPr>
            <w:r w:rsidRPr="00A66F03">
              <w:rPr>
                <w:rFonts w:ascii="Times New Roman" w:eastAsia="Times New Roman" w:hAnsi="Times New Roman" w:cs="Times New Roman"/>
                <w:sz w:val="24"/>
                <w:szCs w:val="24"/>
                <w:lang w:val="en-GB"/>
              </w:rPr>
              <w:t> 265,731,267</w:t>
            </w:r>
          </w:p>
        </w:tc>
      </w:tr>
    </w:tbl>
    <w:p w14:paraId="51945C03" w14:textId="77777777" w:rsidR="00DD575F" w:rsidRPr="00A66F03" w:rsidRDefault="00DD575F" w:rsidP="0010369D">
      <w:pPr>
        <w:shd w:val="clear" w:color="auto" w:fill="FFFFFF"/>
        <w:spacing w:after="0" w:line="276" w:lineRule="auto"/>
        <w:jc w:val="both"/>
        <w:rPr>
          <w:rFonts w:ascii="Times New Roman" w:eastAsia="Times New Roman" w:hAnsi="Times New Roman" w:cs="Times New Roman"/>
          <w:b/>
          <w:bCs/>
          <w:color w:val="444444"/>
          <w:sz w:val="27"/>
          <w:szCs w:val="27"/>
          <w:lang w:val="en-GB"/>
        </w:rPr>
      </w:pPr>
    </w:p>
    <w:sectPr w:rsidR="00DD575F" w:rsidRPr="00A66F03" w:rsidSect="006D02CF">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0C9404" w14:textId="77777777" w:rsidR="009E29AB" w:rsidRDefault="009E29AB">
      <w:pPr>
        <w:spacing w:after="0" w:line="240" w:lineRule="auto"/>
      </w:pPr>
      <w:r>
        <w:separator/>
      </w:r>
    </w:p>
  </w:endnote>
  <w:endnote w:type="continuationSeparator" w:id="0">
    <w:p w14:paraId="357326F2" w14:textId="77777777" w:rsidR="009E29AB" w:rsidRDefault="009E2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Arial">
    <w:panose1 w:val="020B0604020202020204"/>
    <w:charset w:val="EE"/>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797874"/>
      <w:docPartObj>
        <w:docPartGallery w:val="Page Numbers (Bottom of Page)"/>
        <w:docPartUnique/>
      </w:docPartObj>
    </w:sdtPr>
    <w:sdtEndPr/>
    <w:sdtContent>
      <w:p w14:paraId="01D0CC59" w14:textId="53A6D0D9" w:rsidR="00F54C7E" w:rsidRDefault="00976636">
        <w:pPr>
          <w:pStyle w:val="Noga"/>
          <w:jc w:val="center"/>
        </w:pPr>
        <w:r>
          <w:rPr>
            <w:lang w:val="en-GB"/>
          </w:rPr>
          <w:fldChar w:fldCharType="begin"/>
        </w:r>
        <w:r>
          <w:rPr>
            <w:lang w:val="en-GB"/>
          </w:rPr>
          <w:instrText xml:space="preserve">PAGE   \* </w:instrText>
        </w:r>
        <w:r>
          <w:rPr>
            <w:lang w:val="en-GB"/>
          </w:rPr>
          <w:instrText>MERGEFORMAT</w:instrText>
        </w:r>
        <w:r>
          <w:rPr>
            <w:lang w:val="en-GB"/>
          </w:rPr>
          <w:fldChar w:fldCharType="separate"/>
        </w:r>
        <w:r>
          <w:rPr>
            <w:noProof/>
            <w:lang w:val="en-GB"/>
          </w:rPr>
          <w:t>2</w:t>
        </w:r>
        <w:r>
          <w:rPr>
            <w:lang w:val="en-GB"/>
          </w:rPr>
          <w:fldChar w:fldCharType="end"/>
        </w:r>
      </w:p>
    </w:sdtContent>
  </w:sdt>
  <w:p w14:paraId="423C213D" w14:textId="77777777" w:rsidR="00F54C7E" w:rsidRDefault="00F54C7E">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903E7D" w14:textId="77777777" w:rsidR="009E29AB" w:rsidRDefault="009E29AB" w:rsidP="00CC28C7">
      <w:pPr>
        <w:spacing w:after="0" w:line="240" w:lineRule="auto"/>
      </w:pPr>
      <w:r>
        <w:separator/>
      </w:r>
    </w:p>
  </w:footnote>
  <w:footnote w:type="continuationSeparator" w:id="0">
    <w:p w14:paraId="4DF0EC3A" w14:textId="77777777" w:rsidR="009E29AB" w:rsidRDefault="009E29AB" w:rsidP="00CC28C7">
      <w:pPr>
        <w:spacing w:after="0" w:line="240" w:lineRule="auto"/>
      </w:pPr>
      <w:r>
        <w:continuationSeparator/>
      </w:r>
    </w:p>
  </w:footnote>
  <w:footnote w:id="1">
    <w:p w14:paraId="56F0305A" w14:textId="77777777" w:rsidR="00F54C7E" w:rsidRPr="00E71347" w:rsidRDefault="00976636">
      <w:pPr>
        <w:pStyle w:val="Sprotnaopomba-besedilo"/>
        <w:rPr>
          <w:rFonts w:ascii="Times New Roman" w:hAnsi="Times New Roman" w:cs="Times New Roman"/>
          <w:sz w:val="16"/>
          <w:szCs w:val="16"/>
        </w:rPr>
      </w:pPr>
      <w:r>
        <w:rPr>
          <w:rStyle w:val="Sprotnaopomba-sklic"/>
          <w:lang w:val="en-GB"/>
        </w:rPr>
        <w:footnoteRef/>
      </w:r>
      <w:r>
        <w:rPr>
          <w:lang w:val="en-GB"/>
        </w:rPr>
        <w:t xml:space="preserve"> </w:t>
      </w:r>
      <w:r>
        <w:rPr>
          <w:rFonts w:ascii="Times New Roman" w:hAnsi="Times New Roman"/>
          <w:color w:val="000000"/>
          <w:sz w:val="16"/>
          <w:szCs w:val="16"/>
          <w:lang w:val="en-GB"/>
        </w:rPr>
        <w:t>European Commission (2021). European Innovation Scoreboard 2021, Publications Office of the EU, Luxembourg.</w:t>
      </w:r>
    </w:p>
  </w:footnote>
  <w:footnote w:id="2">
    <w:p w14:paraId="577BE15C" w14:textId="77777777" w:rsidR="00F54C7E" w:rsidRPr="00E71347" w:rsidRDefault="00976636" w:rsidP="002562A8">
      <w:pPr>
        <w:pStyle w:val="Sprotnaopomba-besedilo"/>
        <w:rPr>
          <w:rFonts w:ascii="Times New Roman" w:hAnsi="Times New Roman" w:cs="Times New Roman"/>
        </w:rPr>
      </w:pPr>
      <w:r>
        <w:rPr>
          <w:rStyle w:val="Sprotnaopomba-sklic"/>
          <w:rFonts w:ascii="Times New Roman" w:hAnsi="Times New Roman" w:cs="Times New Roman"/>
          <w:sz w:val="16"/>
          <w:szCs w:val="16"/>
          <w:lang w:val="en-GB"/>
        </w:rPr>
        <w:footnoteRef/>
      </w:r>
      <w:r>
        <w:rPr>
          <w:rFonts w:ascii="Times New Roman" w:eastAsia="Arial" w:hAnsi="Times New Roman" w:cs="Times New Roman"/>
          <w:color w:val="000000"/>
          <w:sz w:val="16"/>
          <w:szCs w:val="16"/>
          <w:lang w:val="en-GB"/>
        </w:rPr>
        <w:t>European Commission Country Report – Slovenia (2019 and 2020).</w:t>
      </w:r>
    </w:p>
  </w:footnote>
  <w:footnote w:id="3">
    <w:p w14:paraId="46815925" w14:textId="77777777" w:rsidR="00F54C7E" w:rsidRPr="00E71347" w:rsidRDefault="00976636" w:rsidP="00CC28C7">
      <w:pPr>
        <w:pStyle w:val="Sprotnaopomba-besedilo"/>
        <w:rPr>
          <w:rFonts w:ascii="Times New Roman" w:hAnsi="Times New Roman" w:cs="Times New Roman"/>
          <w:sz w:val="16"/>
          <w:szCs w:val="16"/>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w:t>
      </w:r>
      <w:r>
        <w:rPr>
          <w:rFonts w:ascii="Times New Roman" w:hAnsi="Times New Roman" w:cs="Times New Roman"/>
          <w:color w:val="000000"/>
          <w:sz w:val="16"/>
          <w:szCs w:val="16"/>
          <w:lang w:val="en-GB"/>
        </w:rPr>
        <w:t>European Commission (2019b). European Innovation Scoreboard 2019, Publications</w:t>
      </w:r>
      <w:r>
        <w:rPr>
          <w:rFonts w:ascii="Times New Roman" w:hAnsi="Times New Roman" w:cs="Times New Roman"/>
          <w:color w:val="000000"/>
          <w:sz w:val="16"/>
          <w:szCs w:val="16"/>
          <w:lang w:val="en-GB"/>
        </w:rPr>
        <w:t xml:space="preserve"> Office of the EU, Luxembourg.</w:t>
      </w:r>
    </w:p>
  </w:footnote>
  <w:footnote w:id="4">
    <w:p w14:paraId="6B45A84C" w14:textId="77777777" w:rsidR="00F54C7E" w:rsidRDefault="00976636" w:rsidP="00043D06">
      <w:pPr>
        <w:pStyle w:val="Sprotnaopomba-besedilo"/>
      </w:pPr>
      <w:r>
        <w:rPr>
          <w:rStyle w:val="Sprotnaopomba-sklic"/>
          <w:lang w:val="en-GB"/>
        </w:rPr>
        <w:footnoteRef/>
      </w:r>
      <w:r>
        <w:rPr>
          <w:lang w:val="en-GB"/>
        </w:rPr>
        <w:t xml:space="preserve"> </w:t>
      </w:r>
      <w:r>
        <w:rPr>
          <w:rFonts w:ascii="Times New Roman" w:hAnsi="Times New Roman"/>
          <w:sz w:val="16"/>
          <w:szCs w:val="16"/>
          <w:lang w:val="en-GB"/>
        </w:rPr>
        <w:t xml:space="preserve">European Commission. </w:t>
      </w:r>
      <w:hyperlink r:id="rId1" w:anchor=":~:text=The%20Eco-Innovation%20Index%20shows%20how%20well%20individual%20Member,holistic%20view%20on%20economic%2C%20environmental%20and%20social%20performance." w:history="1">
        <w:r>
          <w:rPr>
            <w:rStyle w:val="Hiperpovezava"/>
            <w:rFonts w:ascii="Times New Roman" w:hAnsi="Times New Roman" w:cs="Times New Roman"/>
            <w:color w:val="auto"/>
            <w:sz w:val="16"/>
            <w:szCs w:val="16"/>
            <w:lang w:val="en-GB"/>
          </w:rPr>
          <w:t>The Eco-Innovation Scoreboard and the Eco-Innovation Index | Eco-Innovation Action Plan (europa.eu)</w:t>
        </w:r>
      </w:hyperlink>
      <w:r>
        <w:rPr>
          <w:rFonts w:ascii="Times New Roman" w:hAnsi="Times New Roman"/>
          <w:sz w:val="16"/>
          <w:szCs w:val="16"/>
          <w:lang w:val="en-GB"/>
        </w:rPr>
        <w:t xml:space="preserve"> (Eco-Innovation Scoreboard for 2021).</w:t>
      </w:r>
    </w:p>
  </w:footnote>
  <w:footnote w:id="5">
    <w:p w14:paraId="6A564CDD" w14:textId="77777777" w:rsidR="00F54C7E" w:rsidRPr="001F4833" w:rsidRDefault="00976636" w:rsidP="00305058">
      <w:pPr>
        <w:pStyle w:val="Sprotnaopomba-besedilo"/>
        <w:rPr>
          <w:rFonts w:ascii="Times New Roman" w:hAnsi="Times New Roman" w:cs="Times New Roman"/>
          <w:sz w:val="16"/>
          <w:szCs w:val="16"/>
        </w:rPr>
      </w:pPr>
      <w:r>
        <w:rPr>
          <w:rStyle w:val="Sprotnaopomba-sklic"/>
          <w:lang w:val="en-GB"/>
        </w:rPr>
        <w:footnoteRef/>
      </w:r>
      <w:r>
        <w:rPr>
          <w:lang w:val="en-GB"/>
        </w:rPr>
        <w:t xml:space="preserve"> </w:t>
      </w:r>
      <w:r>
        <w:rPr>
          <w:rFonts w:ascii="Times New Roman" w:hAnsi="Times New Roman"/>
          <w:sz w:val="16"/>
          <w:szCs w:val="16"/>
          <w:lang w:val="en-GB"/>
        </w:rPr>
        <w:t xml:space="preserve">Statistical Office of the Republic of Slovenia, available at: </w:t>
      </w:r>
      <w:hyperlink r:id="rId2" w:history="1">
        <w:r>
          <w:rPr>
            <w:rStyle w:val="Hiperpovezava"/>
            <w:rFonts w:ascii="Times New Roman" w:hAnsi="Times New Roman" w:cs="Times New Roman"/>
            <w:sz w:val="16"/>
            <w:szCs w:val="16"/>
            <w:lang w:val="en-GB"/>
          </w:rPr>
          <w:t>https://pxweb.stat.si/SiStatData/pxweb/sl/Data/-/2372410S.px/table/tableViewLayout2/</w:t>
        </w:r>
      </w:hyperlink>
      <w:r>
        <w:rPr>
          <w:rFonts w:ascii="Times New Roman" w:hAnsi="Times New Roman"/>
          <w:sz w:val="16"/>
          <w:szCs w:val="16"/>
          <w:lang w:val="en-GB"/>
        </w:rPr>
        <w:t xml:space="preserve"> </w:t>
      </w:r>
    </w:p>
  </w:footnote>
  <w:footnote w:id="6">
    <w:p w14:paraId="0BCFB1CD" w14:textId="77777777" w:rsidR="00F54C7E" w:rsidRPr="001F4833" w:rsidRDefault="00976636" w:rsidP="00305058">
      <w:pPr>
        <w:pStyle w:val="Sprotnaopomba-besedilo"/>
        <w:rPr>
          <w:rFonts w:ascii="Times New Roman" w:hAnsi="Times New Roman" w:cs="Times New Roman"/>
          <w:sz w:val="16"/>
          <w:szCs w:val="16"/>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European and Regional Innovation Scoreboards 2021. Available at: </w:t>
      </w:r>
      <w:hyperlink r:id="rId3" w:history="1">
        <w:r>
          <w:rPr>
            <w:rStyle w:val="Hiperpovezava"/>
            <w:rFonts w:ascii="Times New Roman" w:hAnsi="Times New Roman" w:cs="Times New Roman"/>
            <w:sz w:val="16"/>
            <w:szCs w:val="16"/>
            <w:lang w:val="en-GB"/>
          </w:rPr>
          <w:t>https://ec.europa.eu/research-and-innovation/en/statistics/performance-indicators/european-innovation-scoreboard/eis#</w:t>
        </w:r>
      </w:hyperlink>
      <w:r>
        <w:rPr>
          <w:rFonts w:ascii="Times New Roman" w:hAnsi="Times New Roman" w:cs="Times New Roman"/>
          <w:sz w:val="16"/>
          <w:szCs w:val="16"/>
          <w:lang w:val="en-GB"/>
        </w:rPr>
        <w:t xml:space="preserve"> </w:t>
      </w:r>
    </w:p>
  </w:footnote>
  <w:footnote w:id="7">
    <w:p w14:paraId="39E4AE16" w14:textId="77777777" w:rsidR="00F54C7E" w:rsidRPr="001F4833" w:rsidRDefault="00976636" w:rsidP="00CC28C7">
      <w:pPr>
        <w:pBdr>
          <w:top w:val="nil"/>
          <w:left w:val="nil"/>
          <w:bottom w:val="nil"/>
          <w:right w:val="nil"/>
          <w:between w:val="nil"/>
        </w:pBdr>
        <w:spacing w:after="0" w:line="240" w:lineRule="auto"/>
        <w:ind w:left="720" w:hanging="720"/>
        <w:rPr>
          <w:rFonts w:ascii="Times New Roman" w:hAnsi="Times New Roman" w:cs="Times New Roman"/>
          <w:color w:val="000000"/>
          <w:sz w:val="16"/>
          <w:szCs w:val="16"/>
        </w:rPr>
      </w:pPr>
      <w:r>
        <w:rPr>
          <w:rFonts w:ascii="Times New Roman" w:hAnsi="Times New Roman" w:cs="Times New Roman"/>
          <w:sz w:val="16"/>
          <w:szCs w:val="16"/>
          <w:vertAlign w:val="superscript"/>
          <w:lang w:val="en-GB"/>
        </w:rPr>
        <w:footnoteRef/>
      </w:r>
      <w:r>
        <w:rPr>
          <w:rFonts w:ascii="Times New Roman" w:hAnsi="Times New Roman" w:cs="Times New Roman"/>
          <w:color w:val="000000"/>
          <w:sz w:val="16"/>
          <w:szCs w:val="16"/>
          <w:lang w:val="en-GB"/>
        </w:rPr>
        <w:t xml:space="preserve"> Global Entrepreneurship Monitor (2017). Growth of Entrepreneurial Opportunities, London.</w:t>
      </w:r>
    </w:p>
  </w:footnote>
  <w:footnote w:id="8">
    <w:p w14:paraId="14F746B4" w14:textId="77777777" w:rsidR="00F54C7E" w:rsidRPr="001F4833" w:rsidRDefault="00976636" w:rsidP="00CC28C7">
      <w:pPr>
        <w:pStyle w:val="Sprotnaopomba-besedilo"/>
        <w:rPr>
          <w:rFonts w:ascii="Times New Roman" w:hAnsi="Times New Roman" w:cs="Times New Roman"/>
          <w:sz w:val="16"/>
          <w:szCs w:val="16"/>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w:t>
      </w:r>
      <w:r>
        <w:rPr>
          <w:rFonts w:ascii="Times New Roman" w:hAnsi="Times New Roman" w:cs="Times New Roman"/>
          <w:color w:val="000000"/>
          <w:sz w:val="16"/>
          <w:szCs w:val="16"/>
          <w:lang w:val="en-GB"/>
        </w:rPr>
        <w:t>Global Entrepreneurship Monitor (2018). Untapped Potential of Entrepreneurship, London.</w:t>
      </w:r>
    </w:p>
  </w:footnote>
  <w:footnote w:id="9">
    <w:p w14:paraId="6D603085" w14:textId="77777777" w:rsidR="00F54C7E" w:rsidRPr="001F4833" w:rsidRDefault="00976636">
      <w:pPr>
        <w:pStyle w:val="Sprotnaopomba-besedilo"/>
        <w:rPr>
          <w:rFonts w:ascii="Times New Roman" w:hAnsi="Times New Roman" w:cs="Times New Roman"/>
          <w:sz w:val="16"/>
          <w:szCs w:val="16"/>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w:t>
      </w:r>
      <w:r>
        <w:rPr>
          <w:rFonts w:ascii="Times New Roman" w:hAnsi="Times New Roman" w:cs="Times New Roman"/>
          <w:color w:val="000000"/>
          <w:sz w:val="16"/>
          <w:szCs w:val="16"/>
          <w:lang w:val="en-GB"/>
        </w:rPr>
        <w:t>Global Entrepreneurship Monitor (2021). Global Report 2020/2021, London.</w:t>
      </w:r>
    </w:p>
  </w:footnote>
  <w:footnote w:id="10">
    <w:p w14:paraId="1E3242F3" w14:textId="77777777" w:rsidR="00F54C7E" w:rsidRPr="001F4833" w:rsidRDefault="00976636" w:rsidP="00043D06">
      <w:pPr>
        <w:pStyle w:val="Sprotnaopomba-besedilo"/>
        <w:rPr>
          <w:rFonts w:ascii="Times New Roman" w:hAnsi="Times New Roman" w:cs="Times New Roman"/>
          <w:sz w:val="16"/>
          <w:szCs w:val="16"/>
        </w:rPr>
      </w:pPr>
      <w:r>
        <w:rPr>
          <w:rStyle w:val="Sprotnaopomba-sklic"/>
          <w:rFonts w:ascii="Times New Roman" w:hAnsi="Times New Roman" w:cs="Times New Roman"/>
          <w:sz w:val="16"/>
          <w:szCs w:val="16"/>
          <w:lang w:val="en-GB"/>
        </w:rPr>
        <w:footnoteRef/>
      </w:r>
      <w:r>
        <w:rPr>
          <w:rFonts w:ascii="Times New Roman" w:eastAsia="Arial" w:hAnsi="Times New Roman" w:cs="Times New Roman"/>
          <w:sz w:val="16"/>
          <w:szCs w:val="16"/>
          <w:lang w:val="en-GB"/>
        </w:rPr>
        <w:t xml:space="preserve"> Institute of Macroeconomic Analysis and Development (2021)</w:t>
      </w:r>
      <w:r>
        <w:rPr>
          <w:rFonts w:ascii="Times New Roman" w:eastAsia="Arial" w:hAnsi="Times New Roman" w:cs="Times New Roman"/>
          <w:color w:val="000000"/>
          <w:sz w:val="16"/>
          <w:szCs w:val="16"/>
          <w:lang w:val="en-GB"/>
        </w:rPr>
        <w:t xml:space="preserve">. 2021 Development Report, Ljubljana. Available at: </w:t>
      </w:r>
      <w:hyperlink r:id="rId4" w:history="1">
        <w:r>
          <w:rPr>
            <w:rFonts w:ascii="Times New Roman" w:eastAsia="Arial" w:hAnsi="Times New Roman" w:cs="Times New Roman"/>
            <w:color w:val="000000"/>
            <w:sz w:val="16"/>
            <w:szCs w:val="16"/>
            <w:lang w:val="en-GB"/>
          </w:rPr>
          <w:t>https://www.umar.gov.si/fileadmi</w:t>
        </w:r>
        <w:r>
          <w:rPr>
            <w:rFonts w:ascii="Times New Roman" w:eastAsia="Arial" w:hAnsi="Times New Roman" w:cs="Times New Roman"/>
            <w:color w:val="000000"/>
            <w:sz w:val="16"/>
            <w:szCs w:val="16"/>
            <w:lang w:val="en-GB"/>
          </w:rPr>
          <w:t>n/user_upload/razvoj_slovenije/2021/slovenski/POR2021_skupaj.pdf</w:t>
        </w:r>
      </w:hyperlink>
      <w:r>
        <w:rPr>
          <w:rFonts w:ascii="Times New Roman" w:eastAsia="Arial" w:hAnsi="Times New Roman" w:cs="Times New Roman"/>
          <w:color w:val="000000"/>
          <w:sz w:val="16"/>
          <w:szCs w:val="16"/>
          <w:lang w:val="en-GB"/>
        </w:rPr>
        <w:t xml:space="preserve"> </w:t>
      </w:r>
    </w:p>
  </w:footnote>
  <w:footnote w:id="11">
    <w:p w14:paraId="093F15A9" w14:textId="77777777" w:rsidR="00F54C7E" w:rsidRPr="001F4833" w:rsidRDefault="00976636" w:rsidP="00CC28C7">
      <w:pPr>
        <w:pStyle w:val="Sprotnaopomba-besedilo"/>
        <w:rPr>
          <w:rFonts w:ascii="Times New Roman" w:hAnsi="Times New Roman" w:cs="Times New Roman"/>
          <w:sz w:val="16"/>
          <w:szCs w:val="16"/>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Eurostat (2020). Eurostat Portal Page – Science and Technology – Community Innovation Survey. Available at: </w:t>
      </w:r>
      <w:hyperlink r:id="rId5" w:history="1">
        <w:r>
          <w:rPr>
            <w:rStyle w:val="Hiperpovezava"/>
            <w:rFonts w:ascii="Times New Roman" w:hAnsi="Times New Roman" w:cs="Times New Roman"/>
            <w:color w:val="auto"/>
            <w:sz w:val="16"/>
            <w:szCs w:val="16"/>
            <w:lang w:val="en-GB"/>
          </w:rPr>
          <w:t>https://ec.europa.eu/eurostat/web/microdata/community-innovation-survey</w:t>
        </w:r>
      </w:hyperlink>
      <w:r>
        <w:rPr>
          <w:rStyle w:val="Hiperpovezava"/>
          <w:rFonts w:ascii="Times New Roman" w:hAnsi="Times New Roman" w:cs="Times New Roman"/>
          <w:color w:val="auto"/>
          <w:sz w:val="16"/>
          <w:szCs w:val="16"/>
          <w:lang w:val="en-GB"/>
        </w:rPr>
        <w:t xml:space="preserve"> </w:t>
      </w:r>
    </w:p>
  </w:footnote>
  <w:footnote w:id="12">
    <w:p w14:paraId="542E9C68" w14:textId="77777777" w:rsidR="00F54C7E" w:rsidRPr="001F4833" w:rsidRDefault="00976636" w:rsidP="00CC28C7">
      <w:pPr>
        <w:pStyle w:val="Sprotnaopomba-besedilo"/>
        <w:rPr>
          <w:rFonts w:ascii="Times New Roman" w:hAnsi="Times New Roman" w:cs="Times New Roman"/>
          <w:sz w:val="16"/>
          <w:szCs w:val="16"/>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Institute of Macroeconomic Analysis and Development (2020). 2020 Development Report, Ljubljana.</w:t>
      </w:r>
    </w:p>
  </w:footnote>
  <w:footnote w:id="13">
    <w:p w14:paraId="1B331B79" w14:textId="77777777" w:rsidR="00F54C7E" w:rsidRPr="001F4833" w:rsidRDefault="00976636" w:rsidP="00CC28C7">
      <w:pPr>
        <w:pStyle w:val="Sprotnaopomba-besedilo"/>
        <w:rPr>
          <w:rFonts w:ascii="Times New Roman" w:hAnsi="Times New Roman" w:cs="Times New Roman"/>
          <w:sz w:val="16"/>
          <w:szCs w:val="16"/>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European Commission (2019b). European Innovation Scoreboard 2019, Publicati</w:t>
      </w:r>
      <w:r>
        <w:rPr>
          <w:rFonts w:ascii="Times New Roman" w:hAnsi="Times New Roman" w:cs="Times New Roman"/>
          <w:sz w:val="16"/>
          <w:szCs w:val="16"/>
          <w:lang w:val="en-GB"/>
        </w:rPr>
        <w:t>ons Office of the EU, Luxembourg.</w:t>
      </w:r>
    </w:p>
  </w:footnote>
  <w:footnote w:id="14">
    <w:p w14:paraId="12B1B4B2" w14:textId="77777777" w:rsidR="00F54C7E" w:rsidRPr="001F4833" w:rsidRDefault="00976636">
      <w:pPr>
        <w:pStyle w:val="Sprotnaopomba-besedilo"/>
        <w:rPr>
          <w:rFonts w:ascii="Times New Roman" w:hAnsi="Times New Roman" w:cs="Times New Roman"/>
          <w:sz w:val="16"/>
          <w:szCs w:val="16"/>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Statistical Office of the Republic of Slovenia. Available at: </w:t>
      </w:r>
      <w:hyperlink r:id="rId6" w:history="1">
        <w:r>
          <w:rPr>
            <w:rStyle w:val="Hiperpovezava"/>
            <w:rFonts w:ascii="Times New Roman" w:hAnsi="Times New Roman" w:cs="Times New Roman"/>
            <w:sz w:val="16"/>
            <w:szCs w:val="16"/>
            <w:lang w:val="en-GB"/>
          </w:rPr>
          <w:t>https://pxweb.stat.si/SiStatData/pxweb/sl/Data/-/1430911S.px</w:t>
        </w:r>
      </w:hyperlink>
      <w:r>
        <w:rPr>
          <w:rFonts w:ascii="Times New Roman" w:hAnsi="Times New Roman" w:cs="Times New Roman"/>
          <w:sz w:val="16"/>
          <w:szCs w:val="16"/>
          <w:lang w:val="en-GB"/>
        </w:rPr>
        <w:t xml:space="preserve"> </w:t>
      </w:r>
    </w:p>
  </w:footnote>
  <w:footnote w:id="15">
    <w:p w14:paraId="466DCBEF" w14:textId="77777777" w:rsidR="00F54C7E" w:rsidRPr="00811AED" w:rsidRDefault="00976636" w:rsidP="002F0CE7">
      <w:pPr>
        <w:pStyle w:val="Sprotnaopomba-besedilo"/>
        <w:jc w:val="both"/>
        <w:rPr>
          <w:sz w:val="16"/>
          <w:szCs w:val="16"/>
        </w:rPr>
      </w:pPr>
      <w:r>
        <w:rPr>
          <w:rStyle w:val="Sprotnaopomba-sklic"/>
          <w:sz w:val="16"/>
          <w:szCs w:val="16"/>
          <w:lang w:val="en-GB"/>
        </w:rPr>
        <w:footnoteRef/>
      </w:r>
      <w:r>
        <w:rPr>
          <w:sz w:val="16"/>
          <w:szCs w:val="16"/>
          <w:lang w:val="en-GB"/>
        </w:rPr>
        <w:t xml:space="preserve"> </w:t>
      </w:r>
      <w:r>
        <w:rPr>
          <w:rFonts w:ascii="Times New Roman" w:hAnsi="Times New Roman"/>
          <w:sz w:val="16"/>
          <w:szCs w:val="16"/>
          <w:lang w:val="en-GB"/>
        </w:rPr>
        <w:t>The number of fast-growing enterprises and the number of people they employ rose to their highest level for several years in 2019 (1,179 enterprises and 78,046 employees). However, these figures fell back in 2020 to 908 and 48,554, respectively. Both indic</w:t>
      </w:r>
      <w:r>
        <w:rPr>
          <w:rFonts w:ascii="Times New Roman" w:hAnsi="Times New Roman"/>
          <w:sz w:val="16"/>
          <w:szCs w:val="16"/>
          <w:lang w:val="en-GB"/>
        </w:rPr>
        <w:t xml:space="preserve">ators are always lower in the ESCR (Source: Statistical Office of the Republic of Slovenia. Available at: </w:t>
      </w:r>
      <w:hyperlink r:id="rId7" w:history="1">
        <w:r>
          <w:rPr>
            <w:rStyle w:val="Hiperpovezava"/>
            <w:rFonts w:ascii="Times New Roman" w:hAnsi="Times New Roman" w:cs="Times New Roman"/>
            <w:sz w:val="16"/>
            <w:szCs w:val="16"/>
            <w:lang w:val="en-GB"/>
          </w:rPr>
          <w:t>https://pxweb.stat.si/SiStatData/pxweb/sl/Data/-/1430911S.px</w:t>
        </w:r>
      </w:hyperlink>
      <w:r>
        <w:rPr>
          <w:rFonts w:ascii="Times New Roman" w:hAnsi="Times New Roman"/>
          <w:sz w:val="16"/>
          <w:szCs w:val="16"/>
          <w:lang w:val="en-GB"/>
        </w:rPr>
        <w:t>).</w:t>
      </w:r>
    </w:p>
  </w:footnote>
  <w:footnote w:id="16">
    <w:p w14:paraId="7D355D4C" w14:textId="77777777" w:rsidR="00F54C7E" w:rsidRPr="00E71347" w:rsidRDefault="00976636" w:rsidP="00CC28C7">
      <w:pPr>
        <w:pStyle w:val="Sprotnaopomba-besedilo"/>
        <w:rPr>
          <w:rFonts w:ascii="Times New Roman" w:hAnsi="Times New Roman" w:cs="Times New Roman"/>
          <w:sz w:val="16"/>
          <w:szCs w:val="16"/>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Institut</w:t>
      </w:r>
      <w:r>
        <w:rPr>
          <w:rFonts w:ascii="Times New Roman" w:hAnsi="Times New Roman" w:cs="Times New Roman"/>
          <w:sz w:val="16"/>
          <w:szCs w:val="16"/>
          <w:lang w:val="en-GB"/>
        </w:rPr>
        <w:t xml:space="preserve">e of Macroeconomic Analysis and Development (2020). 2020 Development Report, Ljubljana. </w:t>
      </w:r>
    </w:p>
  </w:footnote>
  <w:footnote w:id="17">
    <w:p w14:paraId="034925C6" w14:textId="77777777" w:rsidR="00F54C7E" w:rsidRPr="001F4833" w:rsidRDefault="00976636">
      <w:pPr>
        <w:pStyle w:val="Sprotnaopomba-besedilo"/>
        <w:rPr>
          <w:rFonts w:ascii="Times New Roman" w:hAnsi="Times New Roman" w:cs="Times New Roman"/>
          <w:sz w:val="16"/>
          <w:szCs w:val="16"/>
        </w:rPr>
      </w:pPr>
      <w:r>
        <w:rPr>
          <w:rStyle w:val="Sprotnaopomba-sklic"/>
          <w:lang w:val="en-GB"/>
        </w:rPr>
        <w:footnoteRef/>
      </w:r>
      <w:r>
        <w:rPr>
          <w:lang w:val="en-GB"/>
        </w:rPr>
        <w:t xml:space="preserve"> </w:t>
      </w:r>
      <w:r>
        <w:rPr>
          <w:rFonts w:ascii="Times New Roman" w:hAnsi="Times New Roman"/>
          <w:sz w:val="16"/>
          <w:szCs w:val="16"/>
          <w:lang w:val="en-GB"/>
        </w:rPr>
        <w:t>Institute of Macroeconomic Analysis and Development (2020). Regional Policy Objectives of Slovenia 2021–2027, Ljubljana.</w:t>
      </w:r>
    </w:p>
  </w:footnote>
  <w:footnote w:id="18">
    <w:p w14:paraId="283AC578" w14:textId="77777777" w:rsidR="00F54C7E" w:rsidRPr="001F4833" w:rsidRDefault="00976636" w:rsidP="00CC28C7">
      <w:pPr>
        <w:pStyle w:val="Sprotnaopomba-besedilo"/>
        <w:rPr>
          <w:rFonts w:ascii="Times New Roman" w:hAnsi="Times New Roman" w:cs="Times New Roman"/>
          <w:sz w:val="16"/>
          <w:szCs w:val="16"/>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Employment Service of Slovenia (2019). Employment Preview 2019/II, Ljubljana. Available at: </w:t>
      </w:r>
      <w:hyperlink r:id="rId8" w:history="1">
        <w:r>
          <w:rPr>
            <w:rStyle w:val="Hiperpovezava"/>
            <w:rFonts w:ascii="Times New Roman" w:hAnsi="Times New Roman" w:cs="Times New Roman"/>
            <w:color w:val="auto"/>
            <w:sz w:val="16"/>
            <w:szCs w:val="16"/>
            <w:lang w:val="en-GB"/>
          </w:rPr>
          <w:t>https://www.ess.gov.si/_files/12836/</w:t>
        </w:r>
        <w:r>
          <w:rPr>
            <w:rStyle w:val="Hiperpovezava"/>
            <w:rFonts w:ascii="Times New Roman" w:hAnsi="Times New Roman" w:cs="Times New Roman"/>
            <w:color w:val="auto"/>
            <w:sz w:val="16"/>
            <w:szCs w:val="16"/>
            <w:u w:val="none"/>
            <w:lang w:val="en-GB"/>
          </w:rPr>
          <w:br/>
        </w:r>
        <w:r>
          <w:rPr>
            <w:rStyle w:val="Hiperpovezava"/>
            <w:rFonts w:ascii="Times New Roman" w:hAnsi="Times New Roman" w:cs="Times New Roman"/>
            <w:color w:val="auto"/>
            <w:sz w:val="16"/>
            <w:szCs w:val="16"/>
            <w:lang w:val="en-GB"/>
          </w:rPr>
          <w:t>Porocilo_napovednik_zaposlova</w:t>
        </w:r>
        <w:r>
          <w:rPr>
            <w:rStyle w:val="Hiperpovezava"/>
            <w:rFonts w:ascii="Times New Roman" w:hAnsi="Times New Roman" w:cs="Times New Roman"/>
            <w:color w:val="auto"/>
            <w:sz w:val="16"/>
            <w:szCs w:val="16"/>
            <w:lang w:val="en-GB"/>
          </w:rPr>
          <w:t>nja_2019_II.pdf</w:t>
        </w:r>
      </w:hyperlink>
      <w:r>
        <w:rPr>
          <w:rStyle w:val="Hiperpovezava"/>
          <w:rFonts w:ascii="Times New Roman" w:hAnsi="Times New Roman" w:cs="Times New Roman"/>
          <w:color w:val="auto"/>
          <w:sz w:val="16"/>
          <w:szCs w:val="16"/>
          <w:lang w:val="en-GB"/>
        </w:rPr>
        <w:t xml:space="preserve"> </w:t>
      </w:r>
    </w:p>
  </w:footnote>
  <w:footnote w:id="19">
    <w:p w14:paraId="71B64A56" w14:textId="77777777" w:rsidR="00F54C7E" w:rsidRPr="001F4833" w:rsidRDefault="00976636" w:rsidP="00043D06">
      <w:pPr>
        <w:pStyle w:val="Sprotnaopomba-besedilo"/>
        <w:rPr>
          <w:rFonts w:ascii="Times New Roman" w:hAnsi="Times New Roman" w:cs="Times New Roman"/>
          <w:sz w:val="16"/>
          <w:szCs w:val="16"/>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European Commission, Digital Economy and Society Index (DESI) 2021 – Slovenia, 2021. Available at: </w:t>
      </w:r>
      <w:hyperlink r:id="rId9" w:history="1">
        <w:r>
          <w:rPr>
            <w:rFonts w:ascii="Times New Roman" w:hAnsi="Times New Roman" w:cs="Times New Roman"/>
            <w:sz w:val="16"/>
            <w:szCs w:val="16"/>
            <w:lang w:val="en-GB"/>
          </w:rPr>
          <w:t xml:space="preserve"> https://ec.europa.eu/newsroom/dae/redirection/document/80600</w:t>
        </w:r>
      </w:hyperlink>
      <w:r>
        <w:rPr>
          <w:rFonts w:ascii="Times New Roman" w:hAnsi="Times New Roman" w:cs="Times New Roman"/>
          <w:sz w:val="16"/>
          <w:szCs w:val="16"/>
          <w:lang w:val="en-GB"/>
        </w:rPr>
        <w:t xml:space="preserve"> </w:t>
      </w:r>
    </w:p>
  </w:footnote>
  <w:footnote w:id="20">
    <w:p w14:paraId="794EA97E" w14:textId="77777777" w:rsidR="00F54C7E" w:rsidRPr="001F4833" w:rsidRDefault="00976636">
      <w:pPr>
        <w:pStyle w:val="Sprotnaopomba-besedilo"/>
        <w:rPr>
          <w:rFonts w:ascii="Times New Roman" w:hAnsi="Times New Roman" w:cs="Times New Roman"/>
          <w:sz w:val="16"/>
          <w:szCs w:val="16"/>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Government Office for Digital Transformation (2022). Own calculation.</w:t>
      </w:r>
    </w:p>
  </w:footnote>
  <w:footnote w:id="21">
    <w:p w14:paraId="59C94879" w14:textId="77777777" w:rsidR="00F54C7E" w:rsidRPr="001F4833" w:rsidRDefault="00976636" w:rsidP="00043D06">
      <w:pPr>
        <w:pStyle w:val="Sprotnaopomba-besedilo"/>
        <w:rPr>
          <w:rFonts w:ascii="Times New Roman" w:hAnsi="Times New Roman" w:cs="Times New Roman"/>
          <w:sz w:val="16"/>
          <w:szCs w:val="16"/>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European Commission, Digital Economy and Society Index (DESI) 2021 – Slovenia, 2021. Available at: </w:t>
      </w:r>
      <w:hyperlink r:id="rId10" w:history="1">
        <w:r>
          <w:rPr>
            <w:rStyle w:val="Hiperpovezava"/>
            <w:rFonts w:ascii="Times New Roman" w:hAnsi="Times New Roman" w:cs="Times New Roman"/>
            <w:color w:val="auto"/>
            <w:sz w:val="16"/>
            <w:szCs w:val="16"/>
            <w:lang w:val="en-GB"/>
          </w:rPr>
          <w:t>file:///C:/Users/tstamcar/Downloads/DESI_2021__Slovenia__sl_2YufeG9fQdXFqDRq8mq8hlkjGY_80600.pdf</w:t>
        </w:r>
      </w:hyperlink>
      <w:r>
        <w:rPr>
          <w:rFonts w:ascii="Times New Roman" w:hAnsi="Times New Roman" w:cs="Times New Roman"/>
          <w:sz w:val="16"/>
          <w:szCs w:val="16"/>
          <w:lang w:val="en-GB"/>
        </w:rPr>
        <w:t>.</w:t>
      </w:r>
    </w:p>
  </w:footnote>
  <w:footnote w:id="22">
    <w:p w14:paraId="19EE33FC" w14:textId="77777777" w:rsidR="00F54C7E" w:rsidRPr="001F4833" w:rsidRDefault="00976636">
      <w:pPr>
        <w:pStyle w:val="Sprotnaopomba-besedilo"/>
        <w:rPr>
          <w:rFonts w:ascii="Times New Roman" w:hAnsi="Times New Roman" w:cs="Times New Roman"/>
          <w:sz w:val="16"/>
          <w:szCs w:val="16"/>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Statistical Office of the Republic of Sloveni</w:t>
      </w:r>
      <w:r>
        <w:rPr>
          <w:rFonts w:ascii="Times New Roman" w:hAnsi="Times New Roman" w:cs="Times New Roman"/>
          <w:sz w:val="16"/>
          <w:szCs w:val="16"/>
          <w:lang w:val="en-GB"/>
        </w:rPr>
        <w:t xml:space="preserve">a (2021). Available at: </w:t>
      </w:r>
      <w:hyperlink r:id="rId11" w:history="1">
        <w:r>
          <w:rPr>
            <w:rStyle w:val="Hiperpovezava"/>
            <w:rFonts w:ascii="Times New Roman" w:hAnsi="Times New Roman" w:cs="Times New Roman"/>
            <w:sz w:val="16"/>
            <w:szCs w:val="16"/>
            <w:lang w:val="en-GB"/>
          </w:rPr>
          <w:t>https://www.stat.si/StatWeb/News/Index/9704</w:t>
        </w:r>
      </w:hyperlink>
      <w:r>
        <w:rPr>
          <w:rFonts w:ascii="Times New Roman" w:hAnsi="Times New Roman" w:cs="Times New Roman"/>
          <w:sz w:val="16"/>
          <w:szCs w:val="16"/>
          <w:lang w:val="en-GB"/>
        </w:rPr>
        <w:t xml:space="preserve"> </w:t>
      </w:r>
    </w:p>
  </w:footnote>
  <w:footnote w:id="23">
    <w:p w14:paraId="624CFED8" w14:textId="77777777" w:rsidR="00F54C7E" w:rsidRPr="001F4833" w:rsidRDefault="00976636" w:rsidP="00AE4583">
      <w:pPr>
        <w:pStyle w:val="Sprotnaopomba-besedilo"/>
        <w:rPr>
          <w:rFonts w:ascii="Times New Roman" w:hAnsi="Times New Roman" w:cs="Times New Roman"/>
          <w:sz w:val="16"/>
          <w:szCs w:val="16"/>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Climate Mirror 2021. </w:t>
      </w:r>
    </w:p>
  </w:footnote>
  <w:footnote w:id="24">
    <w:p w14:paraId="3ED99C6E" w14:textId="77777777" w:rsidR="00F54C7E" w:rsidRPr="001F4833" w:rsidRDefault="00976636" w:rsidP="00AE4583">
      <w:pPr>
        <w:pStyle w:val="Sprotnaopomba-besedilo"/>
        <w:rPr>
          <w:rFonts w:ascii="Times New Roman" w:hAnsi="Times New Roman" w:cs="Times New Roman"/>
          <w:sz w:val="16"/>
          <w:szCs w:val="16"/>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Climate Mirror 2021.</w:t>
      </w:r>
    </w:p>
  </w:footnote>
  <w:footnote w:id="25">
    <w:p w14:paraId="3D52FA62" w14:textId="77777777" w:rsidR="00F54C7E" w:rsidRPr="00E71347" w:rsidRDefault="00976636" w:rsidP="00AE4583">
      <w:pPr>
        <w:pStyle w:val="Sprotnaopomba-besedilo"/>
        <w:rPr>
          <w:rFonts w:ascii="Times New Roman" w:hAnsi="Times New Roman" w:cs="Times New Roman"/>
          <w:sz w:val="16"/>
          <w:szCs w:val="16"/>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Institute of Macroeconomic Analysis and Development (2020). 2020 Development R</w:t>
      </w:r>
      <w:r>
        <w:rPr>
          <w:rFonts w:ascii="Times New Roman" w:hAnsi="Times New Roman" w:cs="Times New Roman"/>
          <w:sz w:val="16"/>
          <w:szCs w:val="16"/>
          <w:lang w:val="en-GB"/>
        </w:rPr>
        <w:t xml:space="preserve">eport, Ljubljana. </w:t>
      </w:r>
    </w:p>
  </w:footnote>
  <w:footnote w:id="26">
    <w:p w14:paraId="335C53F3" w14:textId="77777777" w:rsidR="00F54C7E" w:rsidRPr="001F4833" w:rsidRDefault="00976636">
      <w:pPr>
        <w:pStyle w:val="Sprotnaopomba-besedilo"/>
        <w:rPr>
          <w:rFonts w:ascii="Times New Roman" w:hAnsi="Times New Roman" w:cs="Times New Roman"/>
          <w:sz w:val="16"/>
          <w:szCs w:val="16"/>
        </w:rPr>
      </w:pPr>
      <w:r>
        <w:rPr>
          <w:rFonts w:ascii="Times New Roman" w:hAnsi="Times New Roman" w:cs="Times New Roman"/>
          <w:sz w:val="16"/>
          <w:szCs w:val="16"/>
          <w:vertAlign w:val="superscript"/>
          <w:lang w:val="en-GB"/>
        </w:rPr>
        <w:footnoteRef/>
      </w:r>
      <w:r>
        <w:rPr>
          <w:rFonts w:ascii="Times New Roman" w:hAnsi="Times New Roman" w:cs="Times New Roman"/>
          <w:sz w:val="16"/>
          <w:szCs w:val="16"/>
          <w:lang w:val="en-GB"/>
        </w:rPr>
        <w:t xml:space="preserve"> LIFE Climate Path 2050 (2020). Local traffic-light system for climate activities. </w:t>
      </w:r>
    </w:p>
  </w:footnote>
  <w:footnote w:id="27">
    <w:p w14:paraId="780D5CA7" w14:textId="77777777" w:rsidR="00F54C7E" w:rsidRPr="001F4833" w:rsidRDefault="00976636" w:rsidP="00AE4583">
      <w:pPr>
        <w:pStyle w:val="Sprotnaopomba-besedilo"/>
        <w:rPr>
          <w:rFonts w:ascii="Times New Roman" w:hAnsi="Times New Roman" w:cs="Times New Roman"/>
          <w:sz w:val="16"/>
          <w:szCs w:val="16"/>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Statistical Office of the Republic of Slovenia (2021). Calculations of materials cycles. Available at: </w:t>
      </w:r>
      <w:hyperlink r:id="rId12" w:history="1">
        <w:r>
          <w:rPr>
            <w:rStyle w:val="Hiperpovezava"/>
            <w:rFonts w:ascii="Times New Roman" w:hAnsi="Times New Roman" w:cs="Times New Roman"/>
            <w:sz w:val="16"/>
            <w:szCs w:val="16"/>
            <w:lang w:val="en-GB"/>
          </w:rPr>
          <w:t>https://www.stat.si/StatWeb/News/Index/9292</w:t>
        </w:r>
      </w:hyperlink>
      <w:r>
        <w:rPr>
          <w:rFonts w:ascii="Times New Roman" w:hAnsi="Times New Roman" w:cs="Times New Roman"/>
          <w:sz w:val="16"/>
          <w:szCs w:val="16"/>
          <w:lang w:val="en-GB"/>
        </w:rPr>
        <w:t xml:space="preserve"> </w:t>
      </w:r>
    </w:p>
  </w:footnote>
  <w:footnote w:id="28">
    <w:p w14:paraId="33A86888" w14:textId="77777777" w:rsidR="00F54C7E" w:rsidRPr="001F4833" w:rsidRDefault="00976636" w:rsidP="00AE4583">
      <w:pPr>
        <w:pStyle w:val="Sprotnaopomba-besedilo"/>
        <w:rPr>
          <w:rFonts w:ascii="Times New Roman" w:hAnsi="Times New Roman" w:cs="Times New Roman"/>
          <w:sz w:val="16"/>
          <w:szCs w:val="16"/>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Institute of Macroeconomic Analysis and Development (2021). 2021 Development Report, Ljubljana.</w:t>
      </w:r>
    </w:p>
  </w:footnote>
  <w:footnote w:id="29">
    <w:p w14:paraId="5EBEF89B" w14:textId="77777777" w:rsidR="00F54C7E" w:rsidRPr="001F4833" w:rsidRDefault="00976636" w:rsidP="00AE4583">
      <w:pPr>
        <w:pStyle w:val="Sprotnaopomba-besedilo"/>
        <w:rPr>
          <w:rFonts w:ascii="Times New Roman" w:hAnsi="Times New Roman" w:cs="Times New Roman"/>
          <w:sz w:val="16"/>
          <w:szCs w:val="16"/>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European Commission (2020). Country Report – Slovenia 2020, working document of Commission service</w:t>
      </w:r>
      <w:r>
        <w:rPr>
          <w:rFonts w:ascii="Times New Roman" w:hAnsi="Times New Roman" w:cs="Times New Roman"/>
          <w:sz w:val="16"/>
          <w:szCs w:val="16"/>
          <w:lang w:val="en-GB"/>
        </w:rPr>
        <w:t>s, SWD (2020), 523 final, Brussels.</w:t>
      </w:r>
    </w:p>
  </w:footnote>
  <w:footnote w:id="30">
    <w:p w14:paraId="5F542BEC" w14:textId="77777777" w:rsidR="00F54C7E" w:rsidRPr="001F4833" w:rsidRDefault="00976636" w:rsidP="00AE4583">
      <w:pPr>
        <w:pStyle w:val="Sprotnaopomba-besedilo"/>
        <w:rPr>
          <w:rFonts w:ascii="Times New Roman" w:hAnsi="Times New Roman" w:cs="Times New Roman"/>
          <w:sz w:val="16"/>
          <w:szCs w:val="16"/>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Institute of Macroeconomic Analysis and Development (2021). 2021 Development Report, Ljubljana.</w:t>
      </w:r>
    </w:p>
  </w:footnote>
  <w:footnote w:id="31">
    <w:p w14:paraId="3B25DFDD" w14:textId="77777777" w:rsidR="00F54C7E" w:rsidRPr="001F4833" w:rsidRDefault="00976636" w:rsidP="00AE4583">
      <w:pPr>
        <w:pStyle w:val="Sprotnaopomba-besedilo"/>
        <w:rPr>
          <w:rFonts w:ascii="Times New Roman" w:hAnsi="Times New Roman" w:cs="Times New Roman"/>
          <w:sz w:val="16"/>
          <w:szCs w:val="16"/>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Institute of Macroeconomic Analysis and Development (2021). 2021 Development Report, Ljubljana.</w:t>
      </w:r>
    </w:p>
  </w:footnote>
  <w:footnote w:id="32">
    <w:p w14:paraId="370A070A" w14:textId="77777777" w:rsidR="00F54C7E" w:rsidRPr="001F4833" w:rsidRDefault="00976636">
      <w:pPr>
        <w:pStyle w:val="Sprotnaopomba-besedilo"/>
        <w:rPr>
          <w:rFonts w:ascii="Times New Roman" w:hAnsi="Times New Roman" w:cs="Times New Roman"/>
          <w:sz w:val="16"/>
          <w:szCs w:val="16"/>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Statistical Office of </w:t>
      </w:r>
      <w:r>
        <w:rPr>
          <w:rFonts w:ascii="Times New Roman" w:hAnsi="Times New Roman" w:cs="Times New Roman"/>
          <w:sz w:val="16"/>
          <w:szCs w:val="16"/>
          <w:lang w:val="en-GB"/>
        </w:rPr>
        <w:t xml:space="preserve">the Republic of Slovenia (2021). Available at: </w:t>
      </w:r>
      <w:hyperlink r:id="rId13" w:history="1">
        <w:r>
          <w:rPr>
            <w:rStyle w:val="Hiperpovezava"/>
            <w:rFonts w:ascii="Times New Roman" w:hAnsi="Times New Roman" w:cs="Times New Roman"/>
            <w:sz w:val="16"/>
            <w:szCs w:val="16"/>
            <w:lang w:val="en-GB"/>
          </w:rPr>
          <w:t>https://pxweb.stat.si/SiStatData/pxweb/sl/Data/-/2700010S.px/table/tableViewLayout2/</w:t>
        </w:r>
      </w:hyperlink>
      <w:r>
        <w:rPr>
          <w:rFonts w:ascii="Times New Roman" w:hAnsi="Times New Roman" w:cs="Times New Roman"/>
          <w:sz w:val="16"/>
          <w:szCs w:val="16"/>
          <w:lang w:val="en-GB"/>
        </w:rPr>
        <w:t xml:space="preserve"> </w:t>
      </w:r>
    </w:p>
  </w:footnote>
  <w:footnote w:id="33">
    <w:p w14:paraId="16BCD7BD" w14:textId="77777777" w:rsidR="00F54C7E" w:rsidRPr="00B7133D" w:rsidRDefault="00976636" w:rsidP="00B7133D">
      <w:pPr>
        <w:pStyle w:val="Sprotnaopomba-besedilo"/>
        <w:rPr>
          <w:rFonts w:ascii="Times New Roman" w:hAnsi="Times New Roman" w:cs="Times New Roman"/>
          <w:sz w:val="16"/>
          <w:szCs w:val="16"/>
        </w:rPr>
      </w:pPr>
      <w:r>
        <w:rPr>
          <w:rStyle w:val="Sprotnaopomba-sklic"/>
          <w:rFonts w:ascii="Times New Roman" w:hAnsi="Times New Roman" w:cs="Times New Roman"/>
          <w:sz w:val="16"/>
          <w:szCs w:val="16"/>
          <w:lang w:val="en-GB"/>
        </w:rPr>
        <w:footnoteRef/>
      </w:r>
      <w:r>
        <w:rPr>
          <w:lang w:val="en-GB"/>
        </w:rPr>
        <w:t xml:space="preserve"> </w:t>
      </w:r>
      <w:r>
        <w:rPr>
          <w:rFonts w:ascii="Times New Roman" w:hAnsi="Times New Roman"/>
          <w:sz w:val="16"/>
          <w:szCs w:val="16"/>
          <w:lang w:val="en-GB"/>
        </w:rPr>
        <w:t xml:space="preserve">Waste Management Programme and Waste Prevention Programme 2022. Available at: </w:t>
      </w:r>
      <w:hyperlink r:id="rId14" w:history="1">
        <w:r>
          <w:rPr>
            <w:rStyle w:val="Hiperpovezava"/>
            <w:rFonts w:ascii="Times New Roman" w:hAnsi="Times New Roman" w:cs="Times New Roman"/>
            <w:sz w:val="16"/>
            <w:szCs w:val="16"/>
            <w:lang w:val="en-GB"/>
          </w:rPr>
          <w:t>https://www.gov.si/assets/ministrstva/MOP/Operativni-programi/op_odpadki_2022.pd</w:t>
        </w:r>
        <w:r>
          <w:rPr>
            <w:rStyle w:val="Hiperpovezava"/>
            <w:rFonts w:ascii="Times New Roman" w:hAnsi="Times New Roman" w:cs="Times New Roman"/>
            <w:sz w:val="16"/>
            <w:szCs w:val="16"/>
            <w:lang w:val="en-GB"/>
          </w:rPr>
          <w:t>f</w:t>
        </w:r>
      </w:hyperlink>
      <w:r>
        <w:rPr>
          <w:rFonts w:ascii="Times New Roman" w:hAnsi="Times New Roman"/>
          <w:sz w:val="16"/>
          <w:szCs w:val="16"/>
          <w:lang w:val="en-GB"/>
        </w:rPr>
        <w:t xml:space="preserve"> </w:t>
      </w:r>
    </w:p>
  </w:footnote>
  <w:footnote w:id="34">
    <w:p w14:paraId="65AD1D9D" w14:textId="77777777" w:rsidR="00F54C7E" w:rsidRPr="00B7133D" w:rsidRDefault="00976636" w:rsidP="00B7133D">
      <w:pPr>
        <w:pStyle w:val="Sprotnaopomba-besedilo"/>
        <w:rPr>
          <w:rFonts w:ascii="Times New Roman" w:hAnsi="Times New Roman" w:cs="Times New Roman"/>
          <w:sz w:val="16"/>
          <w:szCs w:val="16"/>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European Commission (2014). Communication from the Commission to the European Parliament, the Council, the European Economic and Social Committee and the Committee of the Regions: Available at: </w:t>
      </w:r>
      <w:hyperlink r:id="rId15" w:history="1">
        <w:r>
          <w:rPr>
            <w:rStyle w:val="Hiperpovezava"/>
            <w:rFonts w:ascii="Times New Roman" w:hAnsi="Times New Roman" w:cs="Times New Roman"/>
            <w:sz w:val="16"/>
            <w:szCs w:val="16"/>
            <w:lang w:val="en-GB"/>
          </w:rPr>
          <w:t>https://eur-lex.europa.eu/legal-content/EN/TXT/?uri=CELEX:52014DC0297</w:t>
        </w:r>
      </w:hyperlink>
      <w:r>
        <w:rPr>
          <w:rFonts w:ascii="Times New Roman" w:hAnsi="Times New Roman" w:cs="Times New Roman"/>
          <w:sz w:val="16"/>
          <w:szCs w:val="16"/>
          <w:lang w:val="en-GB"/>
        </w:rPr>
        <w:t>.</w:t>
      </w:r>
    </w:p>
  </w:footnote>
  <w:footnote w:id="35">
    <w:p w14:paraId="3D55F377" w14:textId="77777777" w:rsidR="00F54C7E" w:rsidRPr="001F4833" w:rsidRDefault="00976636" w:rsidP="00AE4583">
      <w:pPr>
        <w:pStyle w:val="Sprotnaopomba-besedilo"/>
        <w:rPr>
          <w:rFonts w:ascii="Times New Roman" w:hAnsi="Times New Roman" w:cs="Times New Roman"/>
          <w:sz w:val="16"/>
          <w:szCs w:val="16"/>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Eurostat (2021), Circular materials use rate. Available at: </w:t>
      </w:r>
      <w:hyperlink r:id="rId16" w:history="1">
        <w:r>
          <w:rPr>
            <w:rStyle w:val="Hiperpovezava"/>
            <w:rFonts w:ascii="Times New Roman" w:hAnsi="Times New Roman" w:cs="Times New Roman"/>
            <w:sz w:val="16"/>
            <w:szCs w:val="16"/>
            <w:lang w:val="en-GB"/>
          </w:rPr>
          <w:t>https://ec.europa.eu/eurostat/databrowser/view/cei_srm030/default/table?lang=en</w:t>
        </w:r>
      </w:hyperlink>
      <w:r>
        <w:rPr>
          <w:rFonts w:ascii="Times New Roman" w:hAnsi="Times New Roman" w:cs="Times New Roman"/>
          <w:sz w:val="16"/>
          <w:szCs w:val="16"/>
          <w:lang w:val="en-GB"/>
        </w:rPr>
        <w:t xml:space="preserve"> </w:t>
      </w:r>
    </w:p>
  </w:footnote>
  <w:footnote w:id="36">
    <w:p w14:paraId="2569F77F" w14:textId="77777777" w:rsidR="00F54C7E" w:rsidRDefault="00976636" w:rsidP="00467152">
      <w:pPr>
        <w:pStyle w:val="Sprotnaopomba-besedilo"/>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Statistical Office of the Republic of Slovenia (2021). Shares of treated and untreated waste water. Available at: </w:t>
      </w:r>
      <w:hyperlink r:id="rId17" w:history="1">
        <w:r>
          <w:rPr>
            <w:rStyle w:val="Hiperpovezava"/>
            <w:rFonts w:ascii="Times New Roman" w:hAnsi="Times New Roman" w:cs="Times New Roman"/>
            <w:sz w:val="16"/>
            <w:szCs w:val="16"/>
            <w:lang w:val="en-GB"/>
          </w:rPr>
          <w:t>https://pxweb.stat.si/SiStatData/pxweb/sl/Data/-/2750230S.px/</w:t>
        </w:r>
      </w:hyperlink>
      <w:r>
        <w:rPr>
          <w:rFonts w:ascii="Times New Roman" w:hAnsi="Times New Roman" w:cs="Times New Roman"/>
          <w:sz w:val="16"/>
          <w:szCs w:val="16"/>
          <w:lang w:val="en-GB"/>
        </w:rPr>
        <w:t xml:space="preserve"> </w:t>
      </w:r>
    </w:p>
  </w:footnote>
  <w:footnote w:id="37">
    <w:p w14:paraId="6D487FC0" w14:textId="77777777" w:rsidR="00F54C7E" w:rsidRPr="001F4833" w:rsidRDefault="00976636" w:rsidP="00467152">
      <w:pPr>
        <w:pStyle w:val="Sprotnaopomba-besedilo"/>
        <w:rPr>
          <w:rFonts w:ascii="Times New Roman" w:hAnsi="Times New Roman" w:cs="Times New Roman"/>
          <w:sz w:val="16"/>
          <w:szCs w:val="16"/>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Statistical Office of the Republic of Slovenia (2021). Public water supply system. Available at: </w:t>
      </w:r>
      <w:hyperlink r:id="rId18" w:history="1">
        <w:r>
          <w:rPr>
            <w:rStyle w:val="Hiperpovezava"/>
            <w:rFonts w:ascii="Times New Roman" w:hAnsi="Times New Roman" w:cs="Times New Roman"/>
            <w:sz w:val="16"/>
            <w:szCs w:val="16"/>
            <w:lang w:val="en-GB"/>
          </w:rPr>
          <w:t>https://www.s</w:t>
        </w:r>
        <w:r>
          <w:rPr>
            <w:rStyle w:val="Hiperpovezava"/>
            <w:rFonts w:ascii="Times New Roman" w:hAnsi="Times New Roman" w:cs="Times New Roman"/>
            <w:sz w:val="16"/>
            <w:szCs w:val="16"/>
            <w:lang w:val="en-GB"/>
          </w:rPr>
          <w:t>tat.si/StatWeb/news/Index/9877</w:t>
        </w:r>
      </w:hyperlink>
      <w:r>
        <w:rPr>
          <w:rFonts w:ascii="Times New Roman" w:hAnsi="Times New Roman" w:cs="Times New Roman"/>
          <w:sz w:val="16"/>
          <w:szCs w:val="16"/>
          <w:lang w:val="en-GB"/>
        </w:rPr>
        <w:t xml:space="preserve"> </w:t>
      </w:r>
    </w:p>
  </w:footnote>
  <w:footnote w:id="38">
    <w:p w14:paraId="1159E6EF" w14:textId="77777777" w:rsidR="00F54C7E" w:rsidRPr="00A6087B" w:rsidRDefault="00976636" w:rsidP="00467152">
      <w:pPr>
        <w:autoSpaceDE w:val="0"/>
        <w:autoSpaceDN w:val="0"/>
        <w:adjustRightInd w:val="0"/>
        <w:spacing w:after="0" w:line="240" w:lineRule="auto"/>
        <w:jc w:val="both"/>
        <w:rPr>
          <w:rFonts w:ascii="Times New Roman" w:hAnsi="Times New Roman" w:cs="Times New Roman"/>
          <w:sz w:val="16"/>
          <w:szCs w:val="16"/>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Damage is estimated in accordance with the Protection Against Natural and Other Disasters Act (Uradni list RS, 64/94 and 28/06), the Elimination of the Consequences of Natural Disasters Act (Uradni list RS, 75/03, 90/07 an</w:t>
      </w:r>
      <w:r>
        <w:rPr>
          <w:rFonts w:ascii="Times New Roman" w:hAnsi="Times New Roman" w:cs="Times New Roman"/>
          <w:sz w:val="16"/>
          <w:szCs w:val="16"/>
          <w:lang w:val="en-GB"/>
        </w:rPr>
        <w:t xml:space="preserve">d 102/07) and the Decree on the Methodology for Assessing Damage (Uradni list RS, 67/03, 79/04 and 81/06), available at http://www.sos112.si/slo/page.php?src=os74.htm. The aggregate data is available for specific types of climate-related disaster (floods, </w:t>
      </w:r>
      <w:r>
        <w:rPr>
          <w:rFonts w:ascii="Times New Roman" w:hAnsi="Times New Roman" w:cs="Times New Roman"/>
          <w:sz w:val="16"/>
          <w:szCs w:val="16"/>
          <w:lang w:val="en-GB"/>
        </w:rPr>
        <w:t>storms, drought, ice storms, large-scale wildfires) in a Slovenian Ministry of Defence document, ‘Draft content relating to protection, rescue and relief for insertion into ECP 2014–2020, MFF 2021–2027 and NGEU No 024-8/2020-10’ of 13 August 2020, which is</w:t>
      </w:r>
      <w:r>
        <w:rPr>
          <w:rFonts w:ascii="Times New Roman" w:hAnsi="Times New Roman" w:cs="Times New Roman"/>
          <w:sz w:val="16"/>
          <w:szCs w:val="16"/>
          <w:lang w:val="en-GB"/>
        </w:rPr>
        <w:t xml:space="preserve"> available at </w:t>
      </w:r>
      <w:hyperlink r:id="rId19" w:history="1">
        <w:r>
          <w:rPr>
            <w:rStyle w:val="Hiperpovezava"/>
            <w:rFonts w:ascii="Times New Roman" w:hAnsi="Times New Roman" w:cs="Times New Roman"/>
            <w:sz w:val="16"/>
            <w:szCs w:val="16"/>
            <w:lang w:val="en-GB"/>
          </w:rPr>
          <w:t>https://www.gov.si/novice/2020-08-25-ministrstvo-za-obrambo-bo-za-podrocje-zascite-in-resev</w:t>
        </w:r>
        <w:r>
          <w:rPr>
            <w:rStyle w:val="Hiperpovezava"/>
            <w:rFonts w:ascii="Times New Roman" w:hAnsi="Times New Roman" w:cs="Times New Roman"/>
            <w:sz w:val="16"/>
            <w:szCs w:val="16"/>
            <w:lang w:val="en-GB"/>
          </w:rPr>
          <w:t>anja-poskusalo-pridobiti-evropska-sredstva/</w:t>
        </w:r>
      </w:hyperlink>
      <w:r>
        <w:rPr>
          <w:rFonts w:ascii="Times New Roman" w:hAnsi="Times New Roman" w:cs="Times New Roman"/>
          <w:sz w:val="16"/>
          <w:szCs w:val="16"/>
          <w:lang w:val="en-GB"/>
        </w:rPr>
        <w:t xml:space="preserve">. The damage estimates contained in the official records do not include damage caused by wildfires, as the damage has not been assessed in full, although the emergency intervention costs have been calculated (EUR </w:t>
      </w:r>
      <w:r>
        <w:rPr>
          <w:rFonts w:ascii="Times New Roman" w:hAnsi="Times New Roman" w:cs="Times New Roman"/>
          <w:sz w:val="16"/>
          <w:szCs w:val="16"/>
          <w:lang w:val="en-GB"/>
        </w:rPr>
        <w:t>0.25 million in the case of three wildfires).</w:t>
      </w:r>
    </w:p>
  </w:footnote>
  <w:footnote w:id="39">
    <w:p w14:paraId="40FD0DCE" w14:textId="77777777" w:rsidR="00F54C7E" w:rsidRPr="00360017" w:rsidRDefault="00976636" w:rsidP="00AD3EF6">
      <w:pPr>
        <w:pStyle w:val="Sprotnaopomba-besedilo"/>
        <w:rPr>
          <w:rFonts w:ascii="Times New Roman" w:hAnsi="Times New Roman" w:cs="Times New Roman"/>
          <w:sz w:val="16"/>
          <w:szCs w:val="16"/>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ARSO (2018), Estimate of climate change until the end of the 21st century, Ljubljana; ARSO</w:t>
      </w:r>
      <w:r>
        <w:rPr>
          <w:rFonts w:ascii="Times New Roman" w:hAnsi="Times New Roman" w:cs="Times New Roman"/>
          <w:sz w:val="16"/>
          <w:szCs w:val="16"/>
          <w:lang w:val="en-GB"/>
        </w:rPr>
        <w:t xml:space="preserve"> (2018), Climate variability in Slovenia 1961–2011, Ljubljana; Ministry of Defence (2018), National disaster risk assessment, Version 2.0, No 84000-3/2018/3, 6 December 2018.  </w:t>
      </w:r>
    </w:p>
  </w:footnote>
  <w:footnote w:id="40">
    <w:p w14:paraId="47076D67" w14:textId="77777777" w:rsidR="00F54C7E" w:rsidRDefault="00976636" w:rsidP="00E57A28">
      <w:pPr>
        <w:pStyle w:val="Sprotnaopomba-besedilo"/>
      </w:pPr>
      <w:r>
        <w:rPr>
          <w:rStyle w:val="Sprotnaopomba-sklic"/>
          <w:rFonts w:ascii="Times New Roman" w:hAnsi="Times New Roman" w:cs="Times New Roman"/>
          <w:sz w:val="16"/>
          <w:szCs w:val="16"/>
          <w:lang w:val="en-GB"/>
        </w:rPr>
        <w:footnoteRef/>
      </w:r>
      <w:r>
        <w:rPr>
          <w:rFonts w:ascii="Times New Roman" w:hAnsi="Times New Roman"/>
          <w:sz w:val="16"/>
          <w:szCs w:val="16"/>
          <w:lang w:val="en-GB"/>
        </w:rPr>
        <w:t xml:space="preserve"> Ministry of Defence (2018),</w:t>
      </w:r>
      <w:r>
        <w:rPr>
          <w:lang w:val="en-GB"/>
        </w:rPr>
        <w:t xml:space="preserve"> </w:t>
      </w:r>
      <w:r>
        <w:rPr>
          <w:rFonts w:ascii="Times New Roman" w:hAnsi="Times New Roman"/>
          <w:sz w:val="16"/>
          <w:szCs w:val="16"/>
          <w:lang w:val="en-GB"/>
        </w:rPr>
        <w:t>National disaster risk assessment, Version 2.0, N</w:t>
      </w:r>
      <w:r>
        <w:rPr>
          <w:rFonts w:ascii="Times New Roman" w:hAnsi="Times New Roman"/>
          <w:sz w:val="16"/>
          <w:szCs w:val="16"/>
          <w:lang w:val="en-GB"/>
        </w:rPr>
        <w:t>o 84000-3/2018/3, 6 December 2018. In addition to the overall risk level, which is highest in relation to floods, the frequency of a particular type of disaster is taken into consideration when priorities are being determined (large-scale wildfires and sto</w:t>
      </w:r>
      <w:r>
        <w:rPr>
          <w:rFonts w:ascii="Times New Roman" w:hAnsi="Times New Roman"/>
          <w:sz w:val="16"/>
          <w:szCs w:val="16"/>
          <w:lang w:val="en-GB"/>
        </w:rPr>
        <w:t>rms are the most common events), as are the extensiveness of and damage caused by an event (highest in the case of the ice storm of 2014).</w:t>
      </w:r>
    </w:p>
  </w:footnote>
  <w:footnote w:id="41">
    <w:p w14:paraId="02FCF2E5" w14:textId="77777777" w:rsidR="00F54C7E" w:rsidRPr="001F4833" w:rsidRDefault="00976636" w:rsidP="00467152">
      <w:pPr>
        <w:pStyle w:val="Sprotnaopomba-besedilo"/>
        <w:rPr>
          <w:rFonts w:ascii="Times New Roman" w:hAnsi="Times New Roman" w:cs="Times New Roman"/>
          <w:sz w:val="16"/>
          <w:szCs w:val="16"/>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Ministry of the Environment and Spatial Planning (2019). Preliminary flood risk assessment for Slovenia, Ljubljana.</w:t>
      </w:r>
    </w:p>
  </w:footnote>
  <w:footnote w:id="42">
    <w:p w14:paraId="3CFEF2F0" w14:textId="77777777" w:rsidR="00F54C7E" w:rsidRPr="001F4833" w:rsidRDefault="00976636" w:rsidP="00467152">
      <w:pPr>
        <w:pStyle w:val="Sprotnaopomba-besedilo"/>
        <w:rPr>
          <w:rFonts w:ascii="Times New Roman" w:hAnsi="Times New Roman" w:cs="Times New Roman"/>
          <w:sz w:val="16"/>
          <w:szCs w:val="16"/>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Ministry of Defence (2016). Flood risk assessment for Slovenia, Ljubljana.</w:t>
      </w:r>
    </w:p>
  </w:footnote>
  <w:footnote w:id="43">
    <w:p w14:paraId="1BBAC06D" w14:textId="77777777" w:rsidR="00F54C7E" w:rsidRPr="001F4833" w:rsidRDefault="00976636" w:rsidP="00467152">
      <w:pPr>
        <w:pStyle w:val="Sprotnaopomba-besedilo"/>
        <w:rPr>
          <w:rFonts w:ascii="Times New Roman" w:hAnsi="Times New Roman" w:cs="Times New Roman"/>
          <w:sz w:val="16"/>
          <w:szCs w:val="16"/>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w:t>
      </w:r>
      <w:hyperlink r:id="rId20" w:history="1">
        <w:r>
          <w:rPr>
            <w:rStyle w:val="Hiperpovezava"/>
            <w:rFonts w:ascii="Times New Roman" w:hAnsi="Times New Roman" w:cs="Times New Roman"/>
            <w:color w:val="auto"/>
            <w:sz w:val="16"/>
            <w:szCs w:val="16"/>
            <w:lang w:val="en-GB"/>
          </w:rPr>
          <w:t>https://www.eee.europa.eu/data-and-maps/figures/trend-in-absolute-sea-level</w:t>
        </w:r>
      </w:hyperlink>
      <w:r>
        <w:rPr>
          <w:rStyle w:val="Hiperpovezava"/>
          <w:rFonts w:ascii="Times New Roman" w:hAnsi="Times New Roman" w:cs="Times New Roman"/>
          <w:color w:val="auto"/>
          <w:sz w:val="16"/>
          <w:szCs w:val="16"/>
          <w:lang w:val="en-GB"/>
        </w:rPr>
        <w:t xml:space="preserve"> </w:t>
      </w:r>
    </w:p>
  </w:footnote>
  <w:footnote w:id="44">
    <w:p w14:paraId="6674DAE8" w14:textId="77777777" w:rsidR="00F54C7E" w:rsidRDefault="00976636" w:rsidP="00467152">
      <w:pPr>
        <w:pStyle w:val="Sprotnaopomba-besedilo"/>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Slove</w:t>
      </w:r>
      <w:r>
        <w:rPr>
          <w:rFonts w:ascii="Times New Roman" w:hAnsi="Times New Roman" w:cs="Times New Roman"/>
          <w:sz w:val="16"/>
          <w:szCs w:val="16"/>
          <w:lang w:val="en-GB"/>
        </w:rPr>
        <w:t>nia’s reporting under the Habitats Directive and the Birds Directive (2019).</w:t>
      </w:r>
    </w:p>
  </w:footnote>
  <w:footnote w:id="45">
    <w:p w14:paraId="2BFED0CC" w14:textId="77777777" w:rsidR="00F54C7E" w:rsidRPr="0069341D" w:rsidRDefault="00976636" w:rsidP="00B7133D">
      <w:pPr>
        <w:pStyle w:val="Sprotnaopomba-besedilo"/>
        <w:rPr>
          <w:rStyle w:val="Sprotnaopomba-sklic"/>
          <w:rFonts w:ascii="Times New Roman" w:hAnsi="Times New Roman" w:cs="Times New Roman"/>
          <w:sz w:val="16"/>
          <w:szCs w:val="16"/>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Statistical Office of the Republic of Slovenia (2022). Population by large and five-year age groups, gender and level of urbanisation, Slovenia, annual. Available at: </w:t>
      </w:r>
      <w:r>
        <w:rPr>
          <w:rStyle w:val="Sprotnaopomba-sklic"/>
          <w:rFonts w:ascii="Times New Roman" w:hAnsi="Times New Roman" w:cs="Times New Roman"/>
          <w:sz w:val="16"/>
          <w:szCs w:val="16"/>
          <w:lang w:val="en-GB"/>
        </w:rPr>
        <w:t xml:space="preserve"> </w:t>
      </w:r>
      <w:hyperlink r:id="rId21" w:history="1">
        <w:r>
          <w:rPr>
            <w:rStyle w:val="Hiperpovezava"/>
            <w:rFonts w:ascii="Times New Roman" w:hAnsi="Times New Roman" w:cs="Times New Roman"/>
            <w:sz w:val="16"/>
            <w:szCs w:val="16"/>
            <w:lang w:val="en-GB"/>
          </w:rPr>
          <w:t>https://pxweb.stat.si/SiStatData/pxweb/sl/Data/-/05C1015S.PX/table/tableViewLayout2/</w:t>
        </w:r>
      </w:hyperlink>
      <w:r>
        <w:rPr>
          <w:rFonts w:ascii="Times New Roman" w:hAnsi="Times New Roman" w:cs="Times New Roman"/>
          <w:sz w:val="16"/>
          <w:szCs w:val="16"/>
          <w:lang w:val="en-GB"/>
        </w:rPr>
        <w:t xml:space="preserve"> </w:t>
      </w:r>
    </w:p>
  </w:footnote>
  <w:footnote w:id="46">
    <w:p w14:paraId="699CE5C4" w14:textId="77777777" w:rsidR="00F54C7E" w:rsidRPr="00C65E2D" w:rsidRDefault="00976636" w:rsidP="00B7133D">
      <w:pPr>
        <w:rPr>
          <w:rFonts w:ascii="Times New Roman" w:hAnsi="Times New Roman" w:cs="Times New Roman"/>
          <w:sz w:val="16"/>
          <w:szCs w:val="16"/>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Sustainable Use of Land and Nature-Based Solutions Partnership Action Plan (2018). Available at: </w:t>
      </w:r>
      <w:hyperlink r:id="rId22" w:history="1">
        <w:r>
          <w:rPr>
            <w:rStyle w:val="Hiperpovezava"/>
            <w:rFonts w:ascii="Times New Roman" w:hAnsi="Times New Roman" w:cs="Times New Roman"/>
            <w:sz w:val="16"/>
            <w:szCs w:val="16"/>
            <w:lang w:val="en-GB"/>
          </w:rPr>
          <w:t>https://ec.europa.eu/futurium/en/system/files/ged/sul-nbs_f</w:t>
        </w:r>
        <w:r>
          <w:rPr>
            <w:rStyle w:val="Hiperpovezava"/>
            <w:rFonts w:ascii="Times New Roman" w:hAnsi="Times New Roman" w:cs="Times New Roman"/>
            <w:sz w:val="16"/>
            <w:szCs w:val="16"/>
            <w:lang w:val="en-GB"/>
          </w:rPr>
          <w:t>inalactionplan_2018.pdf</w:t>
        </w:r>
      </w:hyperlink>
      <w:r>
        <w:rPr>
          <w:rFonts w:ascii="Times New Roman" w:hAnsi="Times New Roman" w:cs="Times New Roman"/>
          <w:sz w:val="16"/>
          <w:szCs w:val="16"/>
          <w:lang w:val="en-GB"/>
        </w:rPr>
        <w:t xml:space="preserve"> </w:t>
      </w:r>
    </w:p>
    <w:p w14:paraId="4327913B" w14:textId="77777777" w:rsidR="00F54C7E" w:rsidRDefault="00F54C7E" w:rsidP="00B7133D">
      <w:pPr>
        <w:pStyle w:val="Sprotnaopomba-besedilo"/>
      </w:pPr>
    </w:p>
  </w:footnote>
  <w:footnote w:id="47">
    <w:p w14:paraId="5FFB5607" w14:textId="77777777" w:rsidR="00F54C7E" w:rsidRPr="001F4833" w:rsidRDefault="00976636" w:rsidP="009901BF">
      <w:pPr>
        <w:pStyle w:val="Sprotnaopomba-besedilo"/>
        <w:jc w:val="both"/>
        <w:rPr>
          <w:rFonts w:ascii="Times New Roman" w:hAnsi="Times New Roman" w:cs="Times New Roman"/>
          <w:sz w:val="16"/>
          <w:szCs w:val="16"/>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This is the total number of registered battery electric vehicles (BEV), excluding plug-in hybrids. Slovenia should have 40,096 registered electric vehicles and 7,000 publicly accessible charging stations by 2025, with these figu</w:t>
      </w:r>
      <w:r>
        <w:rPr>
          <w:rFonts w:ascii="Times New Roman" w:hAnsi="Times New Roman" w:cs="Times New Roman"/>
          <w:sz w:val="16"/>
          <w:szCs w:val="16"/>
          <w:lang w:val="en-GB"/>
        </w:rPr>
        <w:t>res rising to 129,690 electric vehicles and 22,300 charging stations by 2030.</w:t>
      </w:r>
    </w:p>
  </w:footnote>
  <w:footnote w:id="48">
    <w:p w14:paraId="48204354" w14:textId="77777777" w:rsidR="00F54C7E" w:rsidRPr="001F4833" w:rsidRDefault="00976636" w:rsidP="009901BF">
      <w:pPr>
        <w:pStyle w:val="Sprotnaopomba-besedilo"/>
        <w:rPr>
          <w:rFonts w:ascii="Times New Roman" w:hAnsi="Times New Roman" w:cs="Times New Roman"/>
          <w:sz w:val="16"/>
          <w:szCs w:val="16"/>
        </w:rPr>
      </w:pPr>
      <w:r>
        <w:rPr>
          <w:rFonts w:ascii="Times New Roman" w:hAnsi="Times New Roman" w:cs="Times New Roman"/>
          <w:sz w:val="16"/>
          <w:szCs w:val="16"/>
          <w:vertAlign w:val="superscript"/>
          <w:lang w:val="en-GB"/>
        </w:rPr>
        <w:footnoteRef/>
      </w:r>
      <w:r>
        <w:rPr>
          <w:rFonts w:ascii="Times New Roman" w:hAnsi="Times New Roman" w:cs="Times New Roman"/>
          <w:sz w:val="16"/>
          <w:szCs w:val="16"/>
          <w:lang w:val="en-GB"/>
        </w:rPr>
        <w:t xml:space="preserve"> Ministry of Infrastructure and the Statistical Office of the Republic of Slovenia (2021).</w:t>
      </w:r>
    </w:p>
  </w:footnote>
  <w:footnote w:id="49">
    <w:p w14:paraId="18C3BFDD" w14:textId="77777777" w:rsidR="00F54C7E" w:rsidRPr="001F4833" w:rsidRDefault="00976636">
      <w:pPr>
        <w:pStyle w:val="Sprotnaopomba-besedilo"/>
        <w:rPr>
          <w:rFonts w:ascii="Times New Roman" w:hAnsi="Times New Roman" w:cs="Times New Roman"/>
          <w:sz w:val="16"/>
          <w:szCs w:val="16"/>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Statistical Office of the Republic of Slovenia (2022). Available at: </w:t>
      </w:r>
      <w:hyperlink r:id="rId23" w:history="1">
        <w:r>
          <w:rPr>
            <w:rStyle w:val="Hiperpovezava"/>
            <w:rFonts w:ascii="Times New Roman" w:hAnsi="Times New Roman" w:cs="Times New Roman"/>
            <w:sz w:val="16"/>
            <w:szCs w:val="16"/>
            <w:lang w:val="en-GB"/>
          </w:rPr>
          <w:t>https://pxweb.stat.si/SiStatData/pxweb/sl/Data/-/2221104S.px/table/tableViewLayout2/</w:t>
        </w:r>
      </w:hyperlink>
      <w:r>
        <w:rPr>
          <w:rFonts w:ascii="Times New Roman" w:hAnsi="Times New Roman" w:cs="Times New Roman"/>
          <w:sz w:val="16"/>
          <w:szCs w:val="16"/>
          <w:lang w:val="en-GB"/>
        </w:rPr>
        <w:t xml:space="preserve"> </w:t>
      </w:r>
    </w:p>
  </w:footnote>
  <w:footnote w:id="50">
    <w:p w14:paraId="28A44CAA" w14:textId="77777777" w:rsidR="00F54C7E" w:rsidRPr="001F4833" w:rsidRDefault="00976636" w:rsidP="00CC28C7">
      <w:pPr>
        <w:pStyle w:val="Sprotnaopomba-besedilo"/>
        <w:rPr>
          <w:rFonts w:ascii="Times New Roman" w:hAnsi="Times New Roman" w:cs="Times New Roman"/>
          <w:sz w:val="16"/>
          <w:szCs w:val="16"/>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Transport model projections.</w:t>
      </w:r>
    </w:p>
  </w:footnote>
  <w:footnote w:id="51">
    <w:p w14:paraId="421DE542" w14:textId="77777777" w:rsidR="00F54C7E" w:rsidRPr="001F4833" w:rsidRDefault="00976636" w:rsidP="00AE4583">
      <w:pPr>
        <w:pStyle w:val="Sprotnaopomba-besedilo"/>
        <w:rPr>
          <w:rFonts w:ascii="Times New Roman" w:hAnsi="Times New Roman" w:cs="Times New Roman"/>
          <w:sz w:val="16"/>
          <w:szCs w:val="16"/>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Institute of Macroeconomic Analysis and Development</w:t>
      </w:r>
      <w:r>
        <w:rPr>
          <w:rFonts w:ascii="Times New Roman" w:hAnsi="Times New Roman" w:cs="Times New Roman"/>
          <w:sz w:val="16"/>
          <w:szCs w:val="16"/>
          <w:lang w:val="en-GB"/>
        </w:rPr>
        <w:t xml:space="preserve"> (2020). 2020 Development Report, Ljubljana.</w:t>
      </w:r>
    </w:p>
  </w:footnote>
  <w:footnote w:id="52">
    <w:p w14:paraId="0FF0E41B" w14:textId="77777777" w:rsidR="00F54C7E" w:rsidRPr="001F4833" w:rsidRDefault="00976636" w:rsidP="00AE4583">
      <w:pPr>
        <w:pStyle w:val="Sprotnaopomba-besedilo"/>
        <w:rPr>
          <w:rFonts w:ascii="Times New Roman" w:hAnsi="Times New Roman" w:cs="Times New Roman"/>
          <w:sz w:val="16"/>
          <w:szCs w:val="16"/>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European Commission (2020). 2020 Country Report, Brussels.</w:t>
      </w:r>
    </w:p>
  </w:footnote>
  <w:footnote w:id="53">
    <w:p w14:paraId="276B8C18" w14:textId="77777777" w:rsidR="00F54C7E" w:rsidRPr="00E71347" w:rsidRDefault="00976636" w:rsidP="00AE4583">
      <w:pPr>
        <w:pStyle w:val="Sprotnaopomba-besedilo"/>
        <w:rPr>
          <w:rFonts w:ascii="Times New Roman" w:hAnsi="Times New Roman" w:cs="Times New Roman"/>
          <w:sz w:val="16"/>
          <w:szCs w:val="16"/>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Institute of Macroeconomic Analysis and Development (2020). 2020 Development Report, Ljubljana.</w:t>
      </w:r>
    </w:p>
  </w:footnote>
  <w:footnote w:id="54">
    <w:p w14:paraId="63EA359B" w14:textId="77777777" w:rsidR="00F54C7E" w:rsidRPr="00673445" w:rsidRDefault="00976636" w:rsidP="00A91930">
      <w:pPr>
        <w:pStyle w:val="Sprotnaopomba-besedilo"/>
        <w:rPr>
          <w:rFonts w:ascii="Times New Roman" w:hAnsi="Times New Roman" w:cs="Times New Roman"/>
          <w:sz w:val="16"/>
          <w:szCs w:val="16"/>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Ministry of Labour, Family, Social Affairs and Equ</w:t>
      </w:r>
      <w:r>
        <w:rPr>
          <w:rFonts w:ascii="Times New Roman" w:hAnsi="Times New Roman" w:cs="Times New Roman"/>
          <w:sz w:val="16"/>
          <w:szCs w:val="16"/>
          <w:lang w:val="en-GB"/>
        </w:rPr>
        <w:t>al Opportunities (2021). Background documents for determining Slovenia’s objectives up to 2030.</w:t>
      </w:r>
    </w:p>
  </w:footnote>
  <w:footnote w:id="55">
    <w:p w14:paraId="2B1760B0" w14:textId="77777777" w:rsidR="00F54C7E" w:rsidRDefault="00976636" w:rsidP="001B201C">
      <w:pPr>
        <w:pStyle w:val="Sprotnaopomba-besedilo"/>
      </w:pPr>
      <w:r>
        <w:rPr>
          <w:rStyle w:val="Sprotnaopomba-sklic"/>
          <w:lang w:val="en-GB"/>
        </w:rPr>
        <w:footnoteRef/>
      </w:r>
      <w:r>
        <w:rPr>
          <w:lang w:val="en-GB"/>
        </w:rPr>
        <w:t xml:space="preserve"> </w:t>
      </w:r>
      <w:r>
        <w:rPr>
          <w:rFonts w:ascii="Times New Roman" w:hAnsi="Times New Roman"/>
          <w:sz w:val="16"/>
          <w:szCs w:val="16"/>
          <w:lang w:val="en-GB"/>
        </w:rPr>
        <w:t>Statistical Office, available at: https://www.stat.si/StatWeb/News/Index/9624</w:t>
      </w:r>
    </w:p>
  </w:footnote>
  <w:footnote w:id="56">
    <w:p w14:paraId="3AE51090" w14:textId="77777777" w:rsidR="00F54C7E" w:rsidRPr="00673445" w:rsidRDefault="00976636" w:rsidP="00A91930">
      <w:pPr>
        <w:pStyle w:val="Sprotnaopomba-besedilo"/>
        <w:rPr>
          <w:rFonts w:ascii="Times New Roman" w:hAnsi="Times New Roman" w:cs="Times New Roman"/>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Institute of Macroeconomic Analysis and Development (2019). Economic Challenges 2019. Ljubljana, page 13.</w:t>
      </w:r>
    </w:p>
  </w:footnote>
  <w:footnote w:id="57">
    <w:p w14:paraId="00B928E0" w14:textId="77777777" w:rsidR="00F54C7E" w:rsidRPr="00673445" w:rsidRDefault="00976636" w:rsidP="00A91930">
      <w:pPr>
        <w:pStyle w:val="Sprotnaopomba-besedilo"/>
        <w:rPr>
          <w:rFonts w:ascii="Times New Roman" w:hAnsi="Times New Roman" w:cs="Times New Roman"/>
          <w:sz w:val="16"/>
          <w:szCs w:val="16"/>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Ministry of Labour, Family, Social Affairs and Equal Opportunities (2021). Background documents for determining Slovenia’s objectives up to 2030, p</w:t>
      </w:r>
      <w:r>
        <w:rPr>
          <w:rFonts w:ascii="Times New Roman" w:hAnsi="Times New Roman" w:cs="Times New Roman"/>
          <w:sz w:val="16"/>
          <w:szCs w:val="16"/>
          <w:lang w:val="en-GB"/>
        </w:rPr>
        <w:t>ages 19–20.</w:t>
      </w:r>
    </w:p>
  </w:footnote>
  <w:footnote w:id="58">
    <w:p w14:paraId="5A61D491" w14:textId="77777777" w:rsidR="00F54C7E" w:rsidRPr="00673445" w:rsidRDefault="00976636" w:rsidP="00A91930">
      <w:pPr>
        <w:pStyle w:val="Sprotnaopomba-besedilo"/>
        <w:rPr>
          <w:rFonts w:ascii="Times New Roman" w:hAnsi="Times New Roman" w:cs="Times New Roman"/>
          <w:sz w:val="16"/>
          <w:szCs w:val="16"/>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Data from Employment Forecast 2022/I, available at: </w:t>
      </w:r>
      <w:hyperlink r:id="rId24" w:history="1">
        <w:r>
          <w:rPr>
            <w:rStyle w:val="Hiperpovezava"/>
            <w:rFonts w:ascii="Times New Roman" w:hAnsi="Times New Roman" w:cs="Times New Roman"/>
            <w:sz w:val="16"/>
            <w:szCs w:val="16"/>
            <w:lang w:val="en-GB"/>
          </w:rPr>
          <w:t>Porocilo_Napovednik_zaposlovanja_pomlad_2022.pdf (gov.si)</w:t>
        </w:r>
      </w:hyperlink>
    </w:p>
  </w:footnote>
  <w:footnote w:id="59">
    <w:p w14:paraId="7624AB8B" w14:textId="77777777" w:rsidR="00F54C7E" w:rsidRPr="00673445" w:rsidRDefault="00976636" w:rsidP="00A91930">
      <w:pPr>
        <w:pStyle w:val="Sprotnaopomba-besedilo"/>
        <w:rPr>
          <w:rFonts w:ascii="Times New Roman" w:hAnsi="Times New Roman" w:cs="Times New Roman"/>
          <w:sz w:val="16"/>
          <w:szCs w:val="16"/>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Ministry of Labour, Family, S</w:t>
      </w:r>
      <w:r>
        <w:rPr>
          <w:rFonts w:ascii="Times New Roman" w:hAnsi="Times New Roman" w:cs="Times New Roman"/>
          <w:sz w:val="16"/>
          <w:szCs w:val="16"/>
          <w:lang w:val="en-GB"/>
        </w:rPr>
        <w:t xml:space="preserve">ocial Affairs and Equal Opportunities (2022). Well-being indicators report, available at: </w:t>
      </w:r>
      <w:hyperlink r:id="rId25" w:history="1">
        <w:r>
          <w:rPr>
            <w:rStyle w:val="Hiperpovezava"/>
            <w:rFonts w:ascii="Times New Roman" w:hAnsi="Times New Roman" w:cs="Times New Roman"/>
            <w:sz w:val="16"/>
            <w:szCs w:val="16"/>
            <w:lang w:val="en-GB"/>
          </w:rPr>
          <w:t>https://www.gov.si/novice/2022-05-31-objavljamo-porocilo-kazalniki-blagin</w:t>
        </w:r>
        <w:r>
          <w:rPr>
            <w:rStyle w:val="Hiperpovezava"/>
            <w:rFonts w:ascii="Times New Roman" w:hAnsi="Times New Roman" w:cs="Times New Roman"/>
            <w:sz w:val="16"/>
            <w:szCs w:val="16"/>
            <w:lang w:val="en-GB"/>
          </w:rPr>
          <w:t>je/</w:t>
        </w:r>
      </w:hyperlink>
      <w:r>
        <w:rPr>
          <w:rFonts w:ascii="Times New Roman" w:hAnsi="Times New Roman" w:cs="Times New Roman"/>
          <w:sz w:val="16"/>
          <w:szCs w:val="16"/>
          <w:lang w:val="en-GB"/>
        </w:rPr>
        <w:t xml:space="preserve"> </w:t>
      </w:r>
    </w:p>
  </w:footnote>
  <w:footnote w:id="60">
    <w:p w14:paraId="77D5FC3D" w14:textId="77777777" w:rsidR="00F54C7E" w:rsidRPr="00673445" w:rsidRDefault="00976636" w:rsidP="00A91930">
      <w:pPr>
        <w:pStyle w:val="Sprotnaopomba-besedilo"/>
        <w:rPr>
          <w:rFonts w:ascii="Times New Roman" w:hAnsi="Times New Roman" w:cs="Times New Roman"/>
          <w:sz w:val="16"/>
          <w:szCs w:val="16"/>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Registered unemployment figures for May 2022, available at: </w:t>
      </w:r>
      <w:hyperlink r:id="rId26" w:history="1">
        <w:r>
          <w:rPr>
            <w:rStyle w:val="Hiperpovezava"/>
            <w:rFonts w:ascii="Times New Roman" w:hAnsi="Times New Roman" w:cs="Times New Roman"/>
            <w:sz w:val="16"/>
            <w:szCs w:val="16"/>
            <w:lang w:val="en-GB"/>
          </w:rPr>
          <w:t>trg_dela_maj_2022.pdf (gov.si)</w:t>
        </w:r>
      </w:hyperlink>
    </w:p>
  </w:footnote>
  <w:footnote w:id="61">
    <w:p w14:paraId="673A9D07" w14:textId="77777777" w:rsidR="00F54C7E" w:rsidRPr="00673445" w:rsidRDefault="00976636" w:rsidP="00A91930">
      <w:pPr>
        <w:pStyle w:val="Sprotnaopomba-besedilo"/>
        <w:rPr>
          <w:rFonts w:ascii="Times New Roman" w:hAnsi="Times New Roman" w:cs="Times New Roman"/>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Employment Service of Slovenia figures on the long-term unemployed, available at: </w:t>
      </w:r>
      <w:r>
        <w:rPr>
          <w:rFonts w:ascii="Times New Roman" w:hAnsi="Times New Roman" w:cs="Times New Roman"/>
          <w:sz w:val="16"/>
          <w:szCs w:val="16"/>
          <w:lang w:val="en-GB"/>
        </w:rPr>
        <w:t xml:space="preserve"> </w:t>
      </w:r>
      <w:hyperlink r:id="rId27" w:history="1">
        <w:r>
          <w:rPr>
            <w:rStyle w:val="Hiperpovezava"/>
            <w:rFonts w:ascii="Times New Roman" w:hAnsi="Times New Roman" w:cs="Times New Roman"/>
            <w:sz w:val="16"/>
            <w:szCs w:val="16"/>
            <w:lang w:val="en-GB"/>
          </w:rPr>
          <w:t>DBO_2022.pdf (gov.si)</w:t>
        </w:r>
      </w:hyperlink>
    </w:p>
  </w:footnote>
  <w:footnote w:id="62">
    <w:p w14:paraId="4EA712E6" w14:textId="77777777" w:rsidR="00F54C7E" w:rsidRPr="00214E66" w:rsidRDefault="00976636" w:rsidP="007607A5">
      <w:pPr>
        <w:pStyle w:val="Sprotnaopomba-besedilo"/>
        <w:rPr>
          <w:rFonts w:ascii="Times New Roman" w:hAnsi="Times New Roman" w:cs="Times New Roman"/>
          <w:sz w:val="16"/>
          <w:szCs w:val="16"/>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Employment Service of Slovenia (March 2021). Young people and the labour market. Available at: </w:t>
      </w:r>
      <w:hyperlink r:id="rId28" w:history="1">
        <w:r>
          <w:rPr>
            <w:rStyle w:val="Hiperpovezava"/>
            <w:rFonts w:ascii="Times New Roman" w:hAnsi="Times New Roman" w:cs="Times New Roman"/>
            <w:sz w:val="16"/>
            <w:szCs w:val="16"/>
            <w:lang w:val="en-GB"/>
          </w:rPr>
          <w:t>https://www.ess.gov.si/_files/14103/Analiza_Mladi_in_trg_dela_2021.pdf</w:t>
        </w:r>
      </w:hyperlink>
      <w:r>
        <w:rPr>
          <w:rFonts w:ascii="Times New Roman" w:hAnsi="Times New Roman" w:cs="Times New Roman"/>
          <w:sz w:val="16"/>
          <w:szCs w:val="16"/>
          <w:lang w:val="en-GB"/>
        </w:rPr>
        <w:t>.</w:t>
      </w:r>
    </w:p>
  </w:footnote>
  <w:footnote w:id="63">
    <w:p w14:paraId="7A8CD6F8" w14:textId="77777777" w:rsidR="00F54C7E" w:rsidRPr="001F4833" w:rsidRDefault="00976636" w:rsidP="00DE4F2E">
      <w:pPr>
        <w:pStyle w:val="Sprotnaopomba-besedilo"/>
        <w:rPr>
          <w:rFonts w:ascii="Times New Roman" w:hAnsi="Times New Roman" w:cs="Times New Roman"/>
          <w:sz w:val="16"/>
          <w:szCs w:val="16"/>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Employment Service of Slovenia (2021). Employment Forecast 2021/II. Available at: </w:t>
      </w:r>
      <w:hyperlink r:id="rId29" w:history="1">
        <w:r>
          <w:rPr>
            <w:rStyle w:val="Hiperpovezava"/>
            <w:rFonts w:ascii="Times New Roman" w:hAnsi="Times New Roman" w:cs="Times New Roman"/>
            <w:sz w:val="16"/>
            <w:szCs w:val="16"/>
            <w:lang w:val="en-GB"/>
          </w:rPr>
          <w:t>https://www.ess.gov.si/_files/14807/Porocilo_Napovednik_zaposlovanja_2021_jesen.pdf</w:t>
        </w:r>
      </w:hyperlink>
      <w:r>
        <w:rPr>
          <w:rFonts w:ascii="Times New Roman" w:hAnsi="Times New Roman" w:cs="Times New Roman"/>
          <w:sz w:val="16"/>
          <w:szCs w:val="16"/>
          <w:lang w:val="en-GB"/>
        </w:rPr>
        <w:t>.</w:t>
      </w:r>
    </w:p>
  </w:footnote>
  <w:footnote w:id="64">
    <w:p w14:paraId="081FEAFF" w14:textId="77777777" w:rsidR="00F54C7E" w:rsidRPr="001F4833" w:rsidRDefault="00976636" w:rsidP="00DE4F2E">
      <w:pPr>
        <w:pStyle w:val="Sprotnaopomba-besedilo"/>
        <w:rPr>
          <w:rFonts w:ascii="Times New Roman" w:hAnsi="Times New Roman" w:cs="Times New Roman"/>
          <w:sz w:val="16"/>
          <w:szCs w:val="16"/>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CEDEFOP (2018). 2018 Skills Forecast Slovenia, </w:t>
      </w:r>
      <w:hyperlink r:id="rId30" w:history="1">
        <w:r>
          <w:rPr>
            <w:rStyle w:val="Hiperpovezava"/>
            <w:rFonts w:ascii="Times New Roman" w:hAnsi="Times New Roman" w:cs="Times New Roman"/>
            <w:sz w:val="16"/>
            <w:szCs w:val="16"/>
            <w:lang w:val="en-GB"/>
          </w:rPr>
          <w:t>https://www.cedefop.europa.eu/files/cedefop_skills_forecast_2018_-_slovenia.pdf</w:t>
        </w:r>
      </w:hyperlink>
      <w:r>
        <w:rPr>
          <w:rFonts w:ascii="Times New Roman" w:hAnsi="Times New Roman" w:cs="Times New Roman"/>
          <w:sz w:val="16"/>
          <w:szCs w:val="16"/>
          <w:lang w:val="en-GB"/>
        </w:rPr>
        <w:t>).</w:t>
      </w:r>
    </w:p>
  </w:footnote>
  <w:footnote w:id="65">
    <w:p w14:paraId="4B86F8B3" w14:textId="77777777" w:rsidR="00F54C7E" w:rsidRPr="001F4833" w:rsidRDefault="00976636" w:rsidP="002468ED">
      <w:pPr>
        <w:pStyle w:val="Sprotnaopomba-besedilo"/>
        <w:rPr>
          <w:rFonts w:ascii="Times New Roman" w:hAnsi="Times New Roman" w:cs="Times New Roman"/>
          <w:sz w:val="16"/>
          <w:szCs w:val="16"/>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Institute of Macroeconomic Analysis and Development (2021). 2021 Development R</w:t>
      </w:r>
      <w:r>
        <w:rPr>
          <w:rFonts w:ascii="Times New Roman" w:hAnsi="Times New Roman" w:cs="Times New Roman"/>
          <w:sz w:val="16"/>
          <w:szCs w:val="16"/>
          <w:lang w:val="en-GB"/>
        </w:rPr>
        <w:t>eport, Ljubljana.</w:t>
      </w:r>
    </w:p>
  </w:footnote>
  <w:footnote w:id="66">
    <w:p w14:paraId="13FFD07C" w14:textId="77777777" w:rsidR="00F54C7E" w:rsidRPr="001F4833" w:rsidRDefault="00976636" w:rsidP="002468ED">
      <w:pPr>
        <w:pStyle w:val="Sprotnaopomba-besedilo"/>
        <w:rPr>
          <w:rFonts w:ascii="Times New Roman" w:hAnsi="Times New Roman" w:cs="Times New Roman"/>
          <w:sz w:val="16"/>
          <w:szCs w:val="16"/>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Institute of Macroeconomic Analysis and Development (2021). European Pillar of Social Rights Slovenia 2010–2020, Ljubljana.</w:t>
      </w:r>
    </w:p>
  </w:footnote>
  <w:footnote w:id="67">
    <w:p w14:paraId="57EDD646" w14:textId="77777777" w:rsidR="00F54C7E" w:rsidRPr="00EC2AF7" w:rsidRDefault="00976636" w:rsidP="00B03A3A">
      <w:pPr>
        <w:pStyle w:val="Sprotnaopomba-besedilo"/>
        <w:rPr>
          <w:rFonts w:ascii="Times New Roman" w:hAnsi="Times New Roman" w:cs="Times New Roman"/>
          <w:sz w:val="16"/>
          <w:szCs w:val="16"/>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Review of education and training for 2020. Available at: </w:t>
      </w:r>
      <w:hyperlink r:id="rId31" w:history="1">
        <w:r>
          <w:rPr>
            <w:rStyle w:val="Hiperpovezava"/>
            <w:rFonts w:ascii="Times New Roman" w:hAnsi="Times New Roman" w:cs="Times New Roman"/>
            <w:sz w:val="16"/>
            <w:szCs w:val="16"/>
            <w:lang w:val="en-GB"/>
          </w:rPr>
          <w:t>https://op.europa.eu/webpub/eac/education-and-training-monitor-2020/countries/slovenia_sl.html</w:t>
        </w:r>
      </w:hyperlink>
      <w:r>
        <w:rPr>
          <w:rFonts w:ascii="Times New Roman" w:hAnsi="Times New Roman" w:cs="Times New Roman"/>
          <w:sz w:val="16"/>
          <w:szCs w:val="16"/>
          <w:lang w:val="en-GB"/>
        </w:rPr>
        <w:t>.</w:t>
      </w:r>
    </w:p>
  </w:footnote>
  <w:footnote w:id="68">
    <w:p w14:paraId="5A42223B" w14:textId="77777777" w:rsidR="00F54C7E" w:rsidRPr="00EC2AF7" w:rsidRDefault="00976636" w:rsidP="00B03A3A">
      <w:pPr>
        <w:pStyle w:val="Sprotnaopomba-besedilo"/>
        <w:rPr>
          <w:rFonts w:ascii="Times New Roman" w:hAnsi="Times New Roman" w:cs="Times New Roman"/>
          <w:sz w:val="16"/>
          <w:szCs w:val="16"/>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Review of education and training for 2020. Available at: </w:t>
      </w:r>
      <w:hyperlink r:id="rId32" w:history="1">
        <w:r>
          <w:rPr>
            <w:rStyle w:val="Hiperpovezava"/>
            <w:rFonts w:ascii="Times New Roman" w:hAnsi="Times New Roman" w:cs="Times New Roman"/>
            <w:sz w:val="16"/>
            <w:szCs w:val="16"/>
            <w:lang w:val="en-GB"/>
          </w:rPr>
          <w:t>https://op.europa.eu/webpub/eac/education-and-training-monitor-2020/countries/slovenia_sl.html</w:t>
        </w:r>
      </w:hyperlink>
      <w:r>
        <w:rPr>
          <w:rFonts w:ascii="Times New Roman" w:hAnsi="Times New Roman" w:cs="Times New Roman"/>
          <w:sz w:val="16"/>
          <w:szCs w:val="16"/>
          <w:lang w:val="en-GB"/>
        </w:rPr>
        <w:t>.</w:t>
      </w:r>
    </w:p>
  </w:footnote>
  <w:footnote w:id="69">
    <w:p w14:paraId="3628135E" w14:textId="77777777" w:rsidR="00F54C7E" w:rsidRPr="00BF6C1E" w:rsidRDefault="00976636" w:rsidP="002468ED">
      <w:pPr>
        <w:pStyle w:val="Sprotnaopomba-besedilo"/>
        <w:rPr>
          <w:rFonts w:ascii="Times New Roman" w:hAnsi="Times New Roman" w:cs="Times New Roman"/>
          <w:sz w:val="16"/>
          <w:szCs w:val="16"/>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Internal documents of the Ministry of Education, Science and Sport, SPIS no 024-41/2019/17</w:t>
      </w:r>
      <w:r>
        <w:rPr>
          <w:rFonts w:ascii="Times New Roman" w:hAnsi="Times New Roman" w:cs="Times New Roman"/>
          <w:sz w:val="16"/>
          <w:szCs w:val="16"/>
          <w:lang w:val="en-GB"/>
        </w:rPr>
        <w:t>0.</w:t>
      </w:r>
    </w:p>
  </w:footnote>
  <w:footnote w:id="70">
    <w:p w14:paraId="3A7BC023" w14:textId="77777777" w:rsidR="00F54C7E" w:rsidRPr="00E71347" w:rsidRDefault="00976636" w:rsidP="002468ED">
      <w:pPr>
        <w:pStyle w:val="Sprotnaopomba-besedilo"/>
        <w:rPr>
          <w:rFonts w:ascii="Times New Roman" w:hAnsi="Times New Roman" w:cs="Times New Roman"/>
          <w:sz w:val="16"/>
          <w:szCs w:val="16"/>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Rupnik Vec et al. (National Education Institute, 2020).</w:t>
      </w:r>
    </w:p>
  </w:footnote>
  <w:footnote w:id="71">
    <w:p w14:paraId="3886C107" w14:textId="77777777" w:rsidR="00F54C7E" w:rsidRPr="00E71347" w:rsidRDefault="00976636" w:rsidP="002468ED">
      <w:pPr>
        <w:pStyle w:val="Sprotnaopomba-besedilo"/>
        <w:rPr>
          <w:rFonts w:ascii="Times New Roman" w:hAnsi="Times New Roman" w:cs="Times New Roman"/>
          <w:sz w:val="16"/>
          <w:szCs w:val="16"/>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Association of Parents’ Councils of Slovenia (ZASSS, 2020).</w:t>
      </w:r>
    </w:p>
  </w:footnote>
  <w:footnote w:id="72">
    <w:p w14:paraId="24A7F9DE" w14:textId="77777777" w:rsidR="00F54C7E" w:rsidRPr="00E71347" w:rsidRDefault="00976636" w:rsidP="002468ED">
      <w:pPr>
        <w:pStyle w:val="Sprotnaopomba-besedilo"/>
        <w:rPr>
          <w:rFonts w:ascii="Times New Roman" w:hAnsi="Times New Roman" w:cs="Times New Roman"/>
          <w:sz w:val="16"/>
          <w:szCs w:val="16"/>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Schooling and education in Slovenia under Covid-19 conditions (2020), Ljubljana. </w:t>
      </w:r>
    </w:p>
  </w:footnote>
  <w:footnote w:id="73">
    <w:p w14:paraId="5B2988B2" w14:textId="77777777" w:rsidR="00F54C7E" w:rsidRPr="00E71347" w:rsidRDefault="00976636" w:rsidP="00CC28C7">
      <w:pPr>
        <w:pStyle w:val="Sprotnaopomba-besedilo"/>
        <w:rPr>
          <w:rFonts w:ascii="Times New Roman" w:hAnsi="Times New Roman" w:cs="Times New Roman"/>
          <w:sz w:val="16"/>
          <w:szCs w:val="16"/>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European Commission (2020). EU Council Recommen</w:t>
      </w:r>
      <w:r>
        <w:rPr>
          <w:rFonts w:ascii="Times New Roman" w:hAnsi="Times New Roman" w:cs="Times New Roman"/>
          <w:sz w:val="16"/>
          <w:szCs w:val="16"/>
          <w:lang w:val="en-GB"/>
        </w:rPr>
        <w:t>dations, COM (2020) 524 final, Brussels.</w:t>
      </w:r>
    </w:p>
  </w:footnote>
  <w:footnote w:id="74">
    <w:p w14:paraId="636E06B4" w14:textId="77777777" w:rsidR="00F54C7E" w:rsidRPr="00E71347" w:rsidRDefault="00976636" w:rsidP="00CC28C7">
      <w:pPr>
        <w:pStyle w:val="Sprotnaopomba-besedilo"/>
        <w:rPr>
          <w:rFonts w:ascii="Times New Roman" w:hAnsi="Times New Roman" w:cs="Times New Roman"/>
          <w:sz w:val="16"/>
          <w:szCs w:val="16"/>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w:t>
      </w:r>
      <w:hyperlink r:id="rId33" w:history="1">
        <w:r>
          <w:rPr>
            <w:rStyle w:val="Hiperpovezava"/>
            <w:rFonts w:ascii="Times New Roman" w:hAnsi="Times New Roman" w:cs="Times New Roman"/>
            <w:sz w:val="16"/>
            <w:szCs w:val="16"/>
            <w:lang w:val="en-GB"/>
          </w:rPr>
          <w:t>https://www.zsss.si/wp-content/uploads/2016/07/UMAR_2016_Demografske_Spremembe_C2_P.pdf</w:t>
        </w:r>
      </w:hyperlink>
      <w:r>
        <w:rPr>
          <w:rFonts w:ascii="Times New Roman" w:hAnsi="Times New Roman" w:cs="Times New Roman"/>
          <w:sz w:val="16"/>
          <w:szCs w:val="16"/>
          <w:lang w:val="en-GB"/>
        </w:rPr>
        <w:t xml:space="preserve"> </w:t>
      </w:r>
    </w:p>
  </w:footnote>
  <w:footnote w:id="75">
    <w:p w14:paraId="0F0412C4" w14:textId="77777777" w:rsidR="00F54C7E" w:rsidRPr="00D27C9F" w:rsidRDefault="00976636" w:rsidP="00A91930">
      <w:pPr>
        <w:pStyle w:val="Sprotnaopomba-besedilo"/>
        <w:rPr>
          <w:rFonts w:ascii="Times New Roman" w:hAnsi="Times New Roman" w:cs="Times New Roman"/>
          <w:sz w:val="16"/>
          <w:szCs w:val="16"/>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w:t>
      </w:r>
      <w:hyperlink r:id="rId34" w:history="1">
        <w:r>
          <w:rPr>
            <w:rStyle w:val="Hiperpovezava"/>
            <w:rFonts w:ascii="Times New Roman" w:hAnsi="Times New Roman" w:cs="Times New Roman"/>
            <w:sz w:val="16"/>
            <w:szCs w:val="16"/>
            <w:lang w:val="en-GB"/>
          </w:rPr>
          <w:t>Employment Service of Slovenia – Occupational Barometer (gov.si)</w:t>
        </w:r>
      </w:hyperlink>
    </w:p>
  </w:footnote>
  <w:footnote w:id="76">
    <w:p w14:paraId="2A50A7D8" w14:textId="77777777" w:rsidR="00F54C7E" w:rsidRPr="00E71347" w:rsidRDefault="00976636" w:rsidP="00CC28C7">
      <w:pPr>
        <w:pStyle w:val="Sprotnaopomba-besedilo"/>
        <w:rPr>
          <w:rFonts w:ascii="Times New Roman" w:hAnsi="Times New Roman" w:cs="Times New Roman"/>
          <w:sz w:val="16"/>
          <w:szCs w:val="16"/>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Institute of Macroeconomic Analysis and Development (2020). 2020 Development Report, Ljubljana.</w:t>
      </w:r>
    </w:p>
  </w:footnote>
  <w:footnote w:id="77">
    <w:p w14:paraId="7343DD9C" w14:textId="77777777" w:rsidR="00F54C7E" w:rsidRPr="00B10EE1" w:rsidRDefault="00976636" w:rsidP="00A91930">
      <w:pPr>
        <w:pStyle w:val="Sprotnaopomba-besedilo"/>
        <w:rPr>
          <w:sz w:val="16"/>
          <w:szCs w:val="16"/>
        </w:rPr>
      </w:pPr>
      <w:r>
        <w:rPr>
          <w:rStyle w:val="Sprotnaopomba-sklic"/>
          <w:sz w:val="16"/>
          <w:szCs w:val="16"/>
          <w:lang w:val="en-GB"/>
        </w:rPr>
        <w:footnoteRef/>
      </w:r>
      <w:r>
        <w:rPr>
          <w:sz w:val="16"/>
          <w:szCs w:val="16"/>
          <w:lang w:val="en-GB"/>
        </w:rPr>
        <w:t xml:space="preserve"> </w:t>
      </w:r>
      <w:hyperlink r:id="rId35" w:history="1">
        <w:r>
          <w:rPr>
            <w:rStyle w:val="Hiperpovezava"/>
            <w:rFonts w:ascii="Times New Roman" w:hAnsi="Times New Roman" w:cs="Times New Roman"/>
            <w:sz w:val="16"/>
            <w:szCs w:val="16"/>
            <w:lang w:val="en-GB"/>
          </w:rPr>
          <w:t>http://www.rs-rs.si/fileadmin/user_upload/Datoteke/Revizije/2019/KAM/KAM-2_RSP_RevizijskoP.pdf</w:t>
        </w:r>
      </w:hyperlink>
    </w:p>
  </w:footnote>
  <w:footnote w:id="78">
    <w:p w14:paraId="0D99A934" w14:textId="77777777" w:rsidR="00F54C7E" w:rsidRPr="00A65444" w:rsidRDefault="00976636" w:rsidP="00A91930">
      <w:pPr>
        <w:pStyle w:val="Sprotnaopomba-besedilo"/>
        <w:rPr>
          <w:rFonts w:ascii="Times New Roman" w:hAnsi="Times New Roman" w:cs="Times New Roman"/>
          <w:sz w:val="16"/>
          <w:szCs w:val="16"/>
        </w:rPr>
      </w:pPr>
      <w:r>
        <w:rPr>
          <w:rStyle w:val="Sprotnaopomba-sklic"/>
          <w:sz w:val="16"/>
          <w:szCs w:val="16"/>
          <w:lang w:val="en-GB"/>
        </w:rPr>
        <w:footnoteRef/>
      </w:r>
      <w:r>
        <w:rPr>
          <w:sz w:val="16"/>
          <w:szCs w:val="16"/>
          <w:lang w:val="en-GB"/>
        </w:rPr>
        <w:t xml:space="preserve"> </w:t>
      </w:r>
      <w:r>
        <w:rPr>
          <w:rFonts w:ascii="Times New Roman" w:hAnsi="Times New Roman"/>
          <w:sz w:val="16"/>
          <w:szCs w:val="16"/>
          <w:lang w:val="en-GB"/>
        </w:rPr>
        <w:t>Social Protection Institute of the Republic of Slovenia (2019). Social sta</w:t>
      </w:r>
      <w:r>
        <w:rPr>
          <w:rFonts w:ascii="Times New Roman" w:hAnsi="Times New Roman"/>
          <w:sz w:val="16"/>
          <w:szCs w:val="16"/>
          <w:lang w:val="en-GB"/>
        </w:rPr>
        <w:t xml:space="preserve">tus in Slovenia 2018–2019, Ljubljana. Available at: </w:t>
      </w:r>
      <w:hyperlink r:id="rId36" w:history="1">
        <w:r>
          <w:rPr>
            <w:rStyle w:val="Hiperpovezava"/>
            <w:rFonts w:ascii="Times New Roman" w:hAnsi="Times New Roman" w:cs="Times New Roman"/>
            <w:sz w:val="16"/>
            <w:szCs w:val="16"/>
            <w:lang w:val="en-GB"/>
          </w:rPr>
          <w:t>https://irssv.si/upload2/Socialni%20polozaj%20v%20Sloveniji%202018_2019_koncno%20porocilo.pdf</w:t>
        </w:r>
      </w:hyperlink>
      <w:r>
        <w:rPr>
          <w:rFonts w:ascii="Times New Roman" w:hAnsi="Times New Roman"/>
          <w:sz w:val="16"/>
          <w:szCs w:val="16"/>
          <w:lang w:val="en-GB"/>
        </w:rPr>
        <w:t>.</w:t>
      </w:r>
      <w:r>
        <w:rPr>
          <w:rFonts w:ascii="Times New Roman" w:hAnsi="Times New Roman"/>
          <w:sz w:val="16"/>
          <w:szCs w:val="16"/>
          <w:lang w:val="en-GB"/>
        </w:rPr>
        <w:t xml:space="preserve"> </w:t>
      </w:r>
    </w:p>
  </w:footnote>
  <w:footnote w:id="79">
    <w:p w14:paraId="5AFCE95C" w14:textId="77777777" w:rsidR="00F54C7E" w:rsidRPr="00A65444" w:rsidRDefault="00976636" w:rsidP="00D05EAE">
      <w:pPr>
        <w:pStyle w:val="Sprotnaopomba-besedilo"/>
        <w:rPr>
          <w:rFonts w:ascii="Times New Roman" w:hAnsi="Times New Roman" w:cs="Times New Roman"/>
          <w:sz w:val="16"/>
          <w:szCs w:val="16"/>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Hosting (2021). Evaluation of the Strategy for the Sustainable Growth of Slovenian Tourism 2017–2021, Ljubljana.</w:t>
      </w:r>
    </w:p>
  </w:footnote>
  <w:footnote w:id="80">
    <w:p w14:paraId="3391547A" w14:textId="77777777" w:rsidR="00F54C7E" w:rsidRPr="00432F60" w:rsidRDefault="00976636" w:rsidP="00872602">
      <w:pPr>
        <w:pStyle w:val="Sprotnaopomba-besedilo"/>
        <w:rPr>
          <w:rFonts w:ascii="Times New Roman" w:hAnsi="Times New Roman" w:cs="Times New Roman"/>
          <w:sz w:val="16"/>
          <w:szCs w:val="16"/>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Ministry of Economic Development and Technology (2022). Slovenian Tourism Strategy 2022–2028.</w:t>
      </w:r>
    </w:p>
  </w:footnote>
  <w:footnote w:id="81">
    <w:p w14:paraId="69628EEE" w14:textId="77777777" w:rsidR="00317E1B" w:rsidRPr="001C15DD" w:rsidRDefault="00976636" w:rsidP="00317E1B">
      <w:pPr>
        <w:pStyle w:val="Sprotnaopomba-besedilo"/>
        <w:rPr>
          <w:rFonts w:ascii="Times New Roman" w:hAnsi="Times New Roman" w:cs="Times New Roman"/>
          <w:sz w:val="16"/>
          <w:szCs w:val="16"/>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European Union (2018). Cultural Heritage Counts for Europe.</w:t>
      </w:r>
    </w:p>
  </w:footnote>
  <w:footnote w:id="82">
    <w:p w14:paraId="05122CA9" w14:textId="77777777" w:rsidR="00F54C7E" w:rsidRPr="001C15DD" w:rsidRDefault="00976636" w:rsidP="00D05EAE">
      <w:pPr>
        <w:pStyle w:val="Sprotnaopomba-besedilo"/>
        <w:rPr>
          <w:rFonts w:ascii="Times New Roman" w:hAnsi="Times New Roman" w:cs="Times New Roman"/>
          <w:sz w:val="16"/>
          <w:szCs w:val="16"/>
        </w:rPr>
      </w:pPr>
      <w:r>
        <w:rPr>
          <w:rFonts w:ascii="Times New Roman" w:hAnsi="Times New Roman" w:cs="Times New Roman"/>
          <w:sz w:val="16"/>
          <w:szCs w:val="16"/>
          <w:vertAlign w:val="superscript"/>
          <w:lang w:val="en-GB"/>
        </w:rPr>
        <w:footnoteRef/>
      </w:r>
      <w:r>
        <w:rPr>
          <w:rFonts w:ascii="Times New Roman" w:hAnsi="Times New Roman" w:cs="Times New Roman"/>
          <w:sz w:val="16"/>
          <w:szCs w:val="16"/>
          <w:lang w:val="en-GB"/>
        </w:rPr>
        <w:t xml:space="preserve"> Economics Institute of the Faculty of Law (2018). Comparative analysis of the tax and financial mechanisms in the field of cultural heritage between Slovenia and EU Member States, Ljubljana.</w:t>
      </w:r>
    </w:p>
  </w:footnote>
  <w:footnote w:id="83">
    <w:p w14:paraId="25480DF6" w14:textId="77777777" w:rsidR="00F54C7E" w:rsidRPr="001C15DD" w:rsidRDefault="00976636">
      <w:pPr>
        <w:pStyle w:val="Sprotnaopomba-besedilo"/>
        <w:rPr>
          <w:rFonts w:ascii="Times New Roman" w:hAnsi="Times New Roman" w:cs="Times New Roman"/>
          <w:sz w:val="16"/>
          <w:szCs w:val="16"/>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w:t>
      </w:r>
      <w:r>
        <w:rPr>
          <w:rFonts w:ascii="Times New Roman" w:hAnsi="Times New Roman" w:cs="Times New Roman"/>
          <w:sz w:val="16"/>
          <w:szCs w:val="16"/>
          <w:lang w:val="en-GB"/>
        </w:rPr>
        <w:t>Ljubljana Institute for Business Diagnosis and Prognosis (2021). The sustainable aspects of investments in the maintenance of cultural heritage buildings in relation to (EU) Regulation 2020, Ljubljana.</w:t>
      </w:r>
    </w:p>
  </w:footnote>
  <w:footnote w:id="84">
    <w:p w14:paraId="584C638B" w14:textId="77777777" w:rsidR="00F54C7E" w:rsidRPr="001C15DD" w:rsidRDefault="00976636" w:rsidP="00CC28C7">
      <w:pPr>
        <w:pStyle w:val="Sprotnaopomba-besedilo"/>
        <w:rPr>
          <w:rFonts w:ascii="Times New Roman" w:hAnsi="Times New Roman" w:cs="Times New Roman"/>
          <w:sz w:val="16"/>
          <w:szCs w:val="16"/>
        </w:rPr>
      </w:pPr>
      <w:r>
        <w:rPr>
          <w:rStyle w:val="Sprotnaopomba-sklic"/>
          <w:rFonts w:ascii="Times New Roman" w:hAnsi="Times New Roman" w:cs="Times New Roman"/>
          <w:sz w:val="16"/>
          <w:szCs w:val="16"/>
          <w:lang w:val="en-GB"/>
        </w:rPr>
        <w:footnoteRef/>
      </w:r>
      <w:r>
        <w:rPr>
          <w:rStyle w:val="Sprotnaopomba-sklic"/>
          <w:rFonts w:ascii="Times New Roman" w:hAnsi="Times New Roman" w:cs="Times New Roman"/>
          <w:sz w:val="16"/>
          <w:szCs w:val="16"/>
          <w:vertAlign w:val="baseline"/>
          <w:lang w:val="en-GB"/>
        </w:rPr>
        <w:t xml:space="preserve"> </w:t>
      </w:r>
      <w:r>
        <w:rPr>
          <w:rFonts w:ascii="Times New Roman" w:hAnsi="Times New Roman" w:cs="Times New Roman"/>
          <w:sz w:val="16"/>
          <w:szCs w:val="16"/>
          <w:lang w:val="en-GB"/>
        </w:rPr>
        <w:t xml:space="preserve">Institute of Macroeconomic Analysis and Development </w:t>
      </w:r>
      <w:r>
        <w:rPr>
          <w:rFonts w:ascii="Times New Roman" w:hAnsi="Times New Roman" w:cs="Times New Roman"/>
          <w:sz w:val="16"/>
          <w:szCs w:val="16"/>
          <w:lang w:val="en-GB"/>
        </w:rPr>
        <w:t>(2020). 2020 Development Report, Ljubljana.</w:t>
      </w:r>
      <w:r>
        <w:rPr>
          <w:rFonts w:ascii="Times New Roman" w:hAnsi="Times New Roman" w:cs="Times New Roman"/>
          <w:sz w:val="16"/>
          <w:szCs w:val="16"/>
          <w:shd w:val="clear" w:color="auto" w:fill="FFFFFF"/>
          <w:lang w:val="en-GB"/>
        </w:rPr>
        <w:t xml:space="preserve"> Page 19.</w:t>
      </w:r>
      <w:r>
        <w:rPr>
          <w:rFonts w:ascii="Times New Roman" w:hAnsi="Times New Roman" w:cs="Times New Roman"/>
          <w:sz w:val="16"/>
          <w:szCs w:val="16"/>
          <w:lang w:val="en-GB"/>
        </w:rPr>
        <w:t xml:space="preserve"> </w:t>
      </w:r>
    </w:p>
  </w:footnote>
  <w:footnote w:id="85">
    <w:p w14:paraId="0593A8C9" w14:textId="77777777" w:rsidR="00F54C7E" w:rsidRPr="00A65444" w:rsidRDefault="00976636" w:rsidP="002C03D8">
      <w:pPr>
        <w:pStyle w:val="Sprotnaopomba-besedilo"/>
        <w:rPr>
          <w:rFonts w:ascii="Times New Roman" w:hAnsi="Times New Roman" w:cs="Times New Roman"/>
          <w:sz w:val="16"/>
          <w:szCs w:val="16"/>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WSCR Development Council (2019). Starting points for the WSCR Development Strategy 2030.</w:t>
      </w:r>
    </w:p>
  </w:footnote>
  <w:footnote w:id="86">
    <w:p w14:paraId="0CBEDFF8" w14:textId="77777777" w:rsidR="00F54C7E" w:rsidRPr="00A65444" w:rsidRDefault="00976636" w:rsidP="002C03D8">
      <w:pPr>
        <w:pStyle w:val="Sprotnaopomba-besedilo"/>
        <w:rPr>
          <w:rFonts w:ascii="Times New Roman" w:hAnsi="Times New Roman" w:cs="Times New Roman"/>
          <w:sz w:val="16"/>
          <w:szCs w:val="16"/>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ESCR Development Council (2019). Strategic starting points for the development of the Eastern Slovenia Cohesi</w:t>
      </w:r>
      <w:r>
        <w:rPr>
          <w:rFonts w:ascii="Times New Roman" w:hAnsi="Times New Roman" w:cs="Times New Roman"/>
          <w:sz w:val="16"/>
          <w:szCs w:val="16"/>
          <w:lang w:val="en-GB"/>
        </w:rPr>
        <w:t>on Region.</w:t>
      </w:r>
    </w:p>
  </w:footnote>
  <w:footnote w:id="87">
    <w:p w14:paraId="11A2E25F" w14:textId="77777777" w:rsidR="00F54C7E" w:rsidRPr="00A65444" w:rsidRDefault="00976636" w:rsidP="00CC28C7">
      <w:pPr>
        <w:pStyle w:val="Sprotnaopomba-besedilo"/>
        <w:rPr>
          <w:rFonts w:ascii="Times New Roman" w:hAnsi="Times New Roman" w:cs="Times New Roman"/>
          <w:sz w:val="16"/>
          <w:szCs w:val="16"/>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w:t>
      </w:r>
      <w:r>
        <w:rPr>
          <w:rFonts w:ascii="Times New Roman" w:hAnsi="Times New Roman" w:cs="Times New Roman"/>
          <w:sz w:val="16"/>
          <w:szCs w:val="16"/>
          <w:shd w:val="clear" w:color="auto" w:fill="FFFFFF"/>
          <w:lang w:val="en-GB"/>
        </w:rPr>
        <w:t>Regional Policy Objectives of Slovenia 2021–2027, UMAR, Working Paper 3/2020, Volume XXIX, pp. 25, 26.</w:t>
      </w:r>
    </w:p>
  </w:footnote>
  <w:footnote w:id="88">
    <w:p w14:paraId="30D30F9C" w14:textId="77777777" w:rsidR="00F54C7E" w:rsidRPr="00A65444" w:rsidRDefault="00976636" w:rsidP="009E0FBD">
      <w:pPr>
        <w:pStyle w:val="Sprotnaopomba-besedilo"/>
        <w:rPr>
          <w:rFonts w:ascii="Times New Roman" w:hAnsi="Times New Roman" w:cs="Times New Roman"/>
          <w:sz w:val="16"/>
          <w:szCs w:val="16"/>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Institute of Macroeconomic Analysis and Development (2022). 2022 Development Report, Ljubljana.</w:t>
      </w:r>
      <w:r>
        <w:rPr>
          <w:rFonts w:ascii="Times New Roman" w:hAnsi="Times New Roman" w:cs="Times New Roman"/>
          <w:sz w:val="16"/>
          <w:szCs w:val="16"/>
          <w:shd w:val="clear" w:color="auto" w:fill="FFFFFF"/>
          <w:lang w:val="en-GB"/>
        </w:rPr>
        <w:t xml:space="preserve"> Page 31.</w:t>
      </w:r>
    </w:p>
  </w:footnote>
  <w:footnote w:id="89">
    <w:p w14:paraId="2C0A96E2" w14:textId="77777777" w:rsidR="00F54C7E" w:rsidRPr="00A65444" w:rsidRDefault="00976636" w:rsidP="009E0FBD">
      <w:pPr>
        <w:pStyle w:val="Sprotnaopomba-besedilo"/>
        <w:rPr>
          <w:rFonts w:ascii="Times New Roman" w:hAnsi="Times New Roman" w:cs="Times New Roman"/>
          <w:sz w:val="16"/>
          <w:szCs w:val="16"/>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Institute of Macroeconomic Analysis and Development (2021). 2021 Development Report, Ljubljana. Page 116.</w:t>
      </w:r>
    </w:p>
  </w:footnote>
  <w:footnote w:id="90">
    <w:p w14:paraId="2D4B3352" w14:textId="77777777" w:rsidR="00F54C7E" w:rsidRPr="00E71347" w:rsidRDefault="00976636" w:rsidP="00A65444">
      <w:pPr>
        <w:pStyle w:val="Sprotnaopomba-besedilo"/>
        <w:rPr>
          <w:rFonts w:ascii="Times New Roman" w:hAnsi="Times New Roman" w:cs="Times New Roman"/>
          <w:sz w:val="16"/>
          <w:szCs w:val="16"/>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European Commission (2019). Country Report.</w:t>
      </w:r>
    </w:p>
  </w:footnote>
  <w:footnote w:id="91">
    <w:p w14:paraId="38FC94C0" w14:textId="77777777" w:rsidR="00F54C7E" w:rsidRPr="00E71347" w:rsidRDefault="00976636" w:rsidP="00CC28C7">
      <w:pPr>
        <w:pStyle w:val="Sprotnaopomba-besedilo"/>
        <w:rPr>
          <w:rFonts w:ascii="Times New Roman" w:hAnsi="Times New Roman" w:cs="Times New Roman"/>
          <w:sz w:val="16"/>
          <w:szCs w:val="16"/>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Ministry of Infrastructure (2021). The National Strategy for the Phasing-Out of Coal and the Restruct</w:t>
      </w:r>
      <w:r>
        <w:rPr>
          <w:rFonts w:ascii="Times New Roman" w:hAnsi="Times New Roman" w:cs="Times New Roman"/>
          <w:sz w:val="16"/>
          <w:szCs w:val="16"/>
          <w:lang w:val="en-GB"/>
        </w:rPr>
        <w:t>uring of Coal Regions in Accordance with the Principles of a Just Transition.</w:t>
      </w:r>
    </w:p>
  </w:footnote>
  <w:footnote w:id="92">
    <w:p w14:paraId="4CE359EC" w14:textId="77777777" w:rsidR="00F54C7E" w:rsidRDefault="00976636" w:rsidP="00E76D8C">
      <w:pPr>
        <w:pStyle w:val="Sprotnaopomba-besedilo"/>
      </w:pPr>
      <w:r>
        <w:rPr>
          <w:rStyle w:val="Sprotnaopomba-sklic"/>
          <w:lang w:val="en-GB"/>
        </w:rPr>
        <w:footnoteRef/>
      </w:r>
      <w:r>
        <w:rPr>
          <w:lang w:val="en-GB"/>
        </w:rPr>
        <w:t xml:space="preserve"> </w:t>
      </w:r>
      <w:r>
        <w:rPr>
          <w:rFonts w:ascii="Times New Roman" w:hAnsi="Times New Roman"/>
          <w:sz w:val="16"/>
          <w:szCs w:val="16"/>
          <w:lang w:val="en-GB"/>
        </w:rPr>
        <w:t>We will comply with Commission Recommendation</w:t>
      </w:r>
      <w:r>
        <w:rPr>
          <w:lang w:val="en-GB"/>
        </w:rPr>
        <w:t xml:space="preserve"> </w:t>
      </w:r>
      <w:r>
        <w:rPr>
          <w:rFonts w:ascii="Times New Roman" w:hAnsi="Times New Roman"/>
          <w:sz w:val="16"/>
          <w:szCs w:val="16"/>
          <w:lang w:val="en-GB"/>
        </w:rPr>
        <w:t xml:space="preserve">(EU) 2021/1970 of 10 November 2021 on a common European data space for cultural heritage in the digitalisation of cultural </w:t>
      </w:r>
      <w:r>
        <w:rPr>
          <w:rFonts w:ascii="Times New Roman" w:hAnsi="Times New Roman"/>
          <w:sz w:val="16"/>
          <w:szCs w:val="16"/>
          <w:lang w:val="en-GB"/>
        </w:rPr>
        <w:t>heritage, which is important from the point of view of the sustainable development of the economy and of society as a whole.</w:t>
      </w:r>
    </w:p>
  </w:footnote>
  <w:footnote w:id="93">
    <w:p w14:paraId="48FD9A36" w14:textId="77777777" w:rsidR="00F54C7E" w:rsidRPr="00621FE3" w:rsidRDefault="00976636" w:rsidP="002D4358">
      <w:pPr>
        <w:pStyle w:val="Naslov1"/>
        <w:shd w:val="clear" w:color="auto" w:fill="FFFFFF"/>
        <w:spacing w:before="0" w:line="360" w:lineRule="atLeast"/>
        <w:rPr>
          <w:rFonts w:cs="Times New Roman"/>
          <w:b w:val="0"/>
          <w:color w:val="auto"/>
          <w:sz w:val="16"/>
          <w:szCs w:val="16"/>
        </w:rPr>
      </w:pPr>
      <w:r>
        <w:rPr>
          <w:rStyle w:val="Sprotnaopomba-sklic"/>
          <w:rFonts w:cs="Times New Roman"/>
          <w:b w:val="0"/>
          <w:color w:val="auto"/>
          <w:sz w:val="16"/>
          <w:szCs w:val="16"/>
          <w:lang w:val="en-GB"/>
        </w:rPr>
        <w:footnoteRef/>
      </w:r>
      <w:r>
        <w:rPr>
          <w:rFonts w:cs="Times New Roman"/>
          <w:b w:val="0"/>
          <w:color w:val="auto"/>
          <w:sz w:val="16"/>
          <w:szCs w:val="16"/>
          <w:lang w:val="en-GB"/>
        </w:rPr>
        <w:t xml:space="preserve"> Communication from the Commission (2020): A new Circular Economy Action Plan For a Cleaner and More Competitive Europe, Brussels.</w:t>
      </w:r>
    </w:p>
  </w:footnote>
  <w:footnote w:id="94">
    <w:p w14:paraId="4411DD89" w14:textId="77777777" w:rsidR="00F54C7E" w:rsidRPr="00621FE3" w:rsidRDefault="00976636" w:rsidP="002D4358">
      <w:pPr>
        <w:pStyle w:val="Sprotnaopomba-besedilo"/>
        <w:rPr>
          <w:rFonts w:ascii="Times New Roman" w:eastAsiaTheme="majorEastAsia" w:hAnsi="Times New Roman" w:cs="Times New Roman"/>
          <w:sz w:val="16"/>
          <w:szCs w:val="16"/>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EU Farm to Fork Strategy.</w:t>
      </w:r>
    </w:p>
  </w:footnote>
  <w:footnote w:id="95">
    <w:p w14:paraId="7C6CBB64" w14:textId="77777777" w:rsidR="00F54C7E" w:rsidRPr="00621FE3" w:rsidRDefault="00976636" w:rsidP="00F951B6">
      <w:pPr>
        <w:spacing w:after="0" w:line="276" w:lineRule="auto"/>
        <w:jc w:val="both"/>
        <w:rPr>
          <w:rFonts w:ascii="Times New Roman" w:hAnsi="Times New Roman" w:cs="Times New Roman"/>
          <w:bCs/>
          <w:color w:val="5B9BD5" w:themeColor="accent1"/>
          <w:sz w:val="16"/>
          <w:szCs w:val="16"/>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Marine Strategy Framework Directive. </w:t>
      </w:r>
    </w:p>
    <w:p w14:paraId="725DD75F" w14:textId="77777777" w:rsidR="00F54C7E" w:rsidRPr="00262C92" w:rsidRDefault="00F54C7E" w:rsidP="00F951B6">
      <w:pPr>
        <w:pStyle w:val="Sprotnaopomba-besedilo"/>
        <w:rPr>
          <w:sz w:val="16"/>
          <w:szCs w:val="16"/>
        </w:rPr>
      </w:pPr>
    </w:p>
  </w:footnote>
  <w:footnote w:id="96">
    <w:p w14:paraId="151C5505" w14:textId="77777777" w:rsidR="00F54C7E" w:rsidRPr="00BA756D" w:rsidRDefault="00976636" w:rsidP="00BD27E2">
      <w:pPr>
        <w:pStyle w:val="Sprotnaopomba-besedilo"/>
        <w:rPr>
          <w:rFonts w:ascii="Times New Roman" w:hAnsi="Times New Roman" w:cs="Times New Roman"/>
          <w:sz w:val="16"/>
          <w:szCs w:val="16"/>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Internal documents of the Ministry of Education, Science and Sport, SPIS no 024-41/2019/170.</w:t>
      </w:r>
    </w:p>
  </w:footnote>
  <w:footnote w:id="97">
    <w:p w14:paraId="7AF65DE1" w14:textId="77777777" w:rsidR="00F54C7E" w:rsidRPr="00F56C41" w:rsidRDefault="00976636" w:rsidP="00EA4248">
      <w:pPr>
        <w:pStyle w:val="Sprotnaopomba-besedilo"/>
        <w:rPr>
          <w:rFonts w:ascii="Times New Roman" w:hAnsi="Times New Roman" w:cs="Times New Roman"/>
          <w:sz w:val="16"/>
          <w:szCs w:val="16"/>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Recovery and Resilience Plan (‘Smart, sustainable and inclusive growth’ development area)</w:t>
      </w:r>
      <w:r>
        <w:rPr>
          <w:rFonts w:ascii="Times New Roman" w:hAnsi="Times New Roman" w:cs="Times New Roman"/>
          <w:sz w:val="16"/>
          <w:szCs w:val="16"/>
          <w:lang w:val="en-GB"/>
        </w:rPr>
        <w:t>.</w:t>
      </w:r>
    </w:p>
  </w:footnote>
  <w:footnote w:id="98">
    <w:p w14:paraId="587C825D" w14:textId="77777777" w:rsidR="00F54C7E" w:rsidRPr="005C2473" w:rsidRDefault="00976636" w:rsidP="00DB1131">
      <w:pPr>
        <w:pStyle w:val="Sprotnaopomba-besedilo"/>
        <w:jc w:val="both"/>
        <w:rPr>
          <w:rFonts w:ascii="Times New Roman" w:hAnsi="Times New Roman" w:cs="Times New Roman"/>
          <w:iCs/>
          <w:sz w:val="16"/>
          <w:szCs w:val="16"/>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Together with departments, and in the course of the upgrading of the Smart Specialisation Strategy (S5), the Government Office for Development and European Cohesion Policy (SVRK) identified RRP actions that indirectly or directly contributed to S5 </w:t>
      </w:r>
      <w:r>
        <w:rPr>
          <w:rFonts w:ascii="Times New Roman" w:hAnsi="Times New Roman" w:cs="Times New Roman"/>
          <w:sz w:val="16"/>
          <w:szCs w:val="16"/>
          <w:lang w:val="en-GB"/>
        </w:rPr>
        <w:t>implementation, and inserted them into the text of the strategy (Tables 5 and 6). It has been agreed with the departments that the relevant coordination shall be carried out with the S5 team when public tenders under the RRP are being drafted or steps take</w:t>
      </w:r>
      <w:r>
        <w:rPr>
          <w:rFonts w:ascii="Times New Roman" w:hAnsi="Times New Roman" w:cs="Times New Roman"/>
          <w:sz w:val="16"/>
          <w:szCs w:val="16"/>
          <w:lang w:val="en-GB"/>
        </w:rPr>
        <w:t>n to ensure that a tender complies with S5. To this end, the SVRK has also worked with the Office for Recovery and Resilience (URSOO) in drafting the handbook on the method of implementation of the Recovery and Resilience Facility, which was adopted in Apr</w:t>
      </w:r>
      <w:r>
        <w:rPr>
          <w:rFonts w:ascii="Times New Roman" w:hAnsi="Times New Roman" w:cs="Times New Roman"/>
          <w:sz w:val="16"/>
          <w:szCs w:val="16"/>
          <w:lang w:val="en-GB"/>
        </w:rPr>
        <w:t>il 2022. Chapter 3.7 of the handbook states that due regard should be paid to the possibility of obtaining funds from various sources for actions to promote the development of the area covered by S5 that are directly linked to S5 in all pillars (Table 5 in</w:t>
      </w:r>
      <w:r>
        <w:rPr>
          <w:rFonts w:ascii="Times New Roman" w:hAnsi="Times New Roman" w:cs="Times New Roman"/>
          <w:sz w:val="16"/>
          <w:szCs w:val="16"/>
          <w:lang w:val="en-GB"/>
        </w:rPr>
        <w:t xml:space="preserve"> the draft of S5), thereby ensuring complementarity between mechanisms and other funds and Union instruments. In this light, the measures within the pillars are prepared and implemented in a way that also enables achievement of the objectives of S5. In thi</w:t>
      </w:r>
      <w:r>
        <w:rPr>
          <w:rFonts w:ascii="Times New Roman" w:hAnsi="Times New Roman" w:cs="Times New Roman"/>
          <w:sz w:val="16"/>
          <w:szCs w:val="16"/>
          <w:lang w:val="en-GB"/>
        </w:rPr>
        <w:t xml:space="preserve">s sense, the responsible authorities and those implementing the measures work with the SVRK, which is the authority responsible for the Slovenian Smart Specialisation Strategy S4/S5, i.e. before publication of a public tender or other method of allocating </w:t>
      </w:r>
      <w:r>
        <w:rPr>
          <w:rFonts w:ascii="Times New Roman" w:hAnsi="Times New Roman" w:cs="Times New Roman"/>
          <w:sz w:val="16"/>
          <w:szCs w:val="16"/>
          <w:lang w:val="en-GB"/>
        </w:rPr>
        <w:t xml:space="preserve">funds during the tender process and during implementation of the measures. The responsible authorities and those implementing the measures therefore ask the SVRK for an opinion on compliance with S4/S5 before the tender is published. The SVRK will respond </w:t>
      </w:r>
      <w:r>
        <w:rPr>
          <w:rFonts w:ascii="Times New Roman" w:hAnsi="Times New Roman" w:cs="Times New Roman"/>
          <w:sz w:val="16"/>
          <w:szCs w:val="16"/>
          <w:lang w:val="en-GB"/>
        </w:rPr>
        <w:t>with its position on compliance and provide any necessary additional proposals or guidance. This provision shall be applied as required to measures indirectly linked to S5 (Table 6 in the draft S5).</w:t>
      </w:r>
    </w:p>
  </w:footnote>
  <w:footnote w:id="99">
    <w:p w14:paraId="3BA20CEA" w14:textId="77777777" w:rsidR="00F54C7E" w:rsidRPr="00F56C41" w:rsidRDefault="00976636" w:rsidP="00EA4248">
      <w:pPr>
        <w:pStyle w:val="Sprotnaopomba-besedilo"/>
        <w:rPr>
          <w:rFonts w:ascii="Times New Roman" w:hAnsi="Times New Roman" w:cs="Times New Roman"/>
          <w:sz w:val="16"/>
          <w:szCs w:val="16"/>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Recovery and Resilience Plan, measures in support of a </w:t>
      </w:r>
      <w:r>
        <w:rPr>
          <w:rFonts w:ascii="Times New Roman" w:hAnsi="Times New Roman" w:cs="Times New Roman"/>
          <w:sz w:val="16"/>
          <w:szCs w:val="16"/>
          <w:lang w:val="en-GB"/>
        </w:rPr>
        <w:t>more productive economy for the digital and green transition.</w:t>
      </w:r>
    </w:p>
  </w:footnote>
  <w:footnote w:id="100">
    <w:p w14:paraId="52D652C2" w14:textId="77777777" w:rsidR="00F54C7E" w:rsidRPr="00621FE3" w:rsidRDefault="00976636" w:rsidP="00EA4248">
      <w:pPr>
        <w:pStyle w:val="Sprotnaopomba-besedilo"/>
        <w:rPr>
          <w:rFonts w:ascii="Times New Roman" w:hAnsi="Times New Roman" w:cs="Times New Roman"/>
          <w:sz w:val="16"/>
          <w:szCs w:val="16"/>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Recovery and Resilience Plan (‘Digital transformation’ development area).</w:t>
      </w:r>
    </w:p>
  </w:footnote>
  <w:footnote w:id="101">
    <w:p w14:paraId="0331CFF2" w14:textId="77777777" w:rsidR="00F54C7E" w:rsidRPr="004B4C9C" w:rsidRDefault="00976636" w:rsidP="00CB450B">
      <w:pPr>
        <w:pStyle w:val="Sprotnaopomba-besedilo"/>
        <w:rPr>
          <w:rFonts w:ascii="Times New Roman" w:hAnsi="Times New Roman" w:cs="Times New Roman"/>
          <w:sz w:val="16"/>
          <w:szCs w:val="16"/>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Digital transformation in health care is not party to MFF funding but only to RRP funding under the ‘Health and soci</w:t>
      </w:r>
      <w:r>
        <w:rPr>
          <w:rFonts w:ascii="Times New Roman" w:hAnsi="Times New Roman" w:cs="Times New Roman"/>
          <w:sz w:val="16"/>
          <w:szCs w:val="16"/>
          <w:lang w:val="en-GB"/>
        </w:rPr>
        <w:t>al security’ development area.</w:t>
      </w:r>
    </w:p>
  </w:footnote>
  <w:footnote w:id="102">
    <w:p w14:paraId="290326DF" w14:textId="77777777" w:rsidR="00F54C7E" w:rsidRPr="00D61F76" w:rsidRDefault="00976636" w:rsidP="006372B8">
      <w:pPr>
        <w:pStyle w:val="Sprotnaopomba-besedilo"/>
        <w:rPr>
          <w:rFonts w:ascii="Times New Roman" w:hAnsi="Times New Roman" w:cs="Times New Roman"/>
          <w:sz w:val="16"/>
          <w:szCs w:val="16"/>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Annex XI to the Decree on strategic planning.</w:t>
      </w:r>
    </w:p>
  </w:footnote>
  <w:footnote w:id="103">
    <w:p w14:paraId="78F6F614" w14:textId="77777777" w:rsidR="00F54C7E" w:rsidRPr="00D61F76" w:rsidRDefault="00976636" w:rsidP="006372B8">
      <w:pPr>
        <w:pStyle w:val="Sprotnaopomba-besedilo"/>
        <w:rPr>
          <w:rFonts w:ascii="Times New Roman" w:hAnsi="Times New Roman" w:cs="Times New Roman"/>
          <w:sz w:val="16"/>
          <w:szCs w:val="16"/>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Resolution on the National Programme of Strategic Guidelines for the Development of Slovenian Agriculture and Food Production (‘Our Food, Countryside and Natural Resources Aft</w:t>
      </w:r>
      <w:r>
        <w:rPr>
          <w:rFonts w:ascii="Times New Roman" w:hAnsi="Times New Roman" w:cs="Times New Roman"/>
          <w:sz w:val="16"/>
          <w:szCs w:val="16"/>
          <w:lang w:val="en-GB"/>
        </w:rPr>
        <w:t>er 2021’), National Assembly (29 January 2020).</w:t>
      </w:r>
    </w:p>
  </w:footnote>
  <w:footnote w:id="104">
    <w:p w14:paraId="354B4F88" w14:textId="77777777" w:rsidR="00F54C7E" w:rsidRPr="004B4C9C" w:rsidRDefault="00976636">
      <w:pPr>
        <w:pStyle w:val="Sprotnaopomba-besedilo"/>
        <w:rPr>
          <w:rFonts w:ascii="Times New Roman" w:hAnsi="Times New Roman" w:cs="Times New Roman"/>
          <w:sz w:val="16"/>
          <w:szCs w:val="16"/>
        </w:rPr>
      </w:pPr>
      <w:r>
        <w:rPr>
          <w:rStyle w:val="Sprotnaopomba-sklic"/>
          <w:rFonts w:ascii="Times New Roman" w:hAnsi="Times New Roman" w:cs="Times New Roman"/>
          <w:sz w:val="16"/>
          <w:szCs w:val="16"/>
          <w:lang w:val="en-GB"/>
        </w:rPr>
        <w:footnoteRef/>
      </w:r>
      <w:r>
        <w:rPr>
          <w:rFonts w:ascii="Times New Roman" w:hAnsi="Times New Roman" w:cs="Times New Roman"/>
          <w:sz w:val="16"/>
          <w:szCs w:val="16"/>
          <w:lang w:val="en-GB"/>
        </w:rPr>
        <w:t xml:space="preserve"> Institute of Macroeconomic Analysis and Development (2021). Autumn forecast of economic trends 2021, Ljubljana.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1EB13" w14:textId="77777777" w:rsidR="00F54C7E" w:rsidRDefault="00F54C7E">
    <w:pPr>
      <w:pStyle w:val="Glav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3209F" w14:textId="77777777" w:rsidR="00F54C7E" w:rsidRDefault="00F54C7E">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3648A"/>
    <w:multiLevelType w:val="hybridMultilevel"/>
    <w:tmpl w:val="B97AF6A6"/>
    <w:lvl w:ilvl="0" w:tplc="C8BA4142">
      <w:start w:val="19"/>
      <w:numFmt w:val="bullet"/>
      <w:lvlText w:val="-"/>
      <w:lvlJc w:val="left"/>
      <w:pPr>
        <w:ind w:left="720" w:hanging="360"/>
      </w:pPr>
      <w:rPr>
        <w:rFonts w:ascii="Calibri" w:eastAsiaTheme="minorHAnsi" w:hAnsi="Calibri" w:cs="Calibri" w:hint="default"/>
      </w:rPr>
    </w:lvl>
    <w:lvl w:ilvl="1" w:tplc="FA8C952C" w:tentative="1">
      <w:start w:val="1"/>
      <w:numFmt w:val="bullet"/>
      <w:lvlText w:val="o"/>
      <w:lvlJc w:val="left"/>
      <w:pPr>
        <w:ind w:left="1440" w:hanging="360"/>
      </w:pPr>
      <w:rPr>
        <w:rFonts w:ascii="Courier New" w:hAnsi="Courier New" w:cs="Courier New" w:hint="default"/>
      </w:rPr>
    </w:lvl>
    <w:lvl w:ilvl="2" w:tplc="3C0CEB92" w:tentative="1">
      <w:start w:val="1"/>
      <w:numFmt w:val="bullet"/>
      <w:lvlText w:val=""/>
      <w:lvlJc w:val="left"/>
      <w:pPr>
        <w:ind w:left="2160" w:hanging="360"/>
      </w:pPr>
      <w:rPr>
        <w:rFonts w:ascii="Wingdings" w:hAnsi="Wingdings" w:hint="default"/>
      </w:rPr>
    </w:lvl>
    <w:lvl w:ilvl="3" w:tplc="D084E5FC" w:tentative="1">
      <w:start w:val="1"/>
      <w:numFmt w:val="bullet"/>
      <w:lvlText w:val=""/>
      <w:lvlJc w:val="left"/>
      <w:pPr>
        <w:ind w:left="2880" w:hanging="360"/>
      </w:pPr>
      <w:rPr>
        <w:rFonts w:ascii="Symbol" w:hAnsi="Symbol" w:hint="default"/>
      </w:rPr>
    </w:lvl>
    <w:lvl w:ilvl="4" w:tplc="7CD44EFC" w:tentative="1">
      <w:start w:val="1"/>
      <w:numFmt w:val="bullet"/>
      <w:lvlText w:val="o"/>
      <w:lvlJc w:val="left"/>
      <w:pPr>
        <w:ind w:left="3600" w:hanging="360"/>
      </w:pPr>
      <w:rPr>
        <w:rFonts w:ascii="Courier New" w:hAnsi="Courier New" w:cs="Courier New" w:hint="default"/>
      </w:rPr>
    </w:lvl>
    <w:lvl w:ilvl="5" w:tplc="A60EFC2A" w:tentative="1">
      <w:start w:val="1"/>
      <w:numFmt w:val="bullet"/>
      <w:lvlText w:val=""/>
      <w:lvlJc w:val="left"/>
      <w:pPr>
        <w:ind w:left="4320" w:hanging="360"/>
      </w:pPr>
      <w:rPr>
        <w:rFonts w:ascii="Wingdings" w:hAnsi="Wingdings" w:hint="default"/>
      </w:rPr>
    </w:lvl>
    <w:lvl w:ilvl="6" w:tplc="879256F6" w:tentative="1">
      <w:start w:val="1"/>
      <w:numFmt w:val="bullet"/>
      <w:lvlText w:val=""/>
      <w:lvlJc w:val="left"/>
      <w:pPr>
        <w:ind w:left="5040" w:hanging="360"/>
      </w:pPr>
      <w:rPr>
        <w:rFonts w:ascii="Symbol" w:hAnsi="Symbol" w:hint="default"/>
      </w:rPr>
    </w:lvl>
    <w:lvl w:ilvl="7" w:tplc="A2644CBA" w:tentative="1">
      <w:start w:val="1"/>
      <w:numFmt w:val="bullet"/>
      <w:lvlText w:val="o"/>
      <w:lvlJc w:val="left"/>
      <w:pPr>
        <w:ind w:left="5760" w:hanging="360"/>
      </w:pPr>
      <w:rPr>
        <w:rFonts w:ascii="Courier New" w:hAnsi="Courier New" w:cs="Courier New" w:hint="default"/>
      </w:rPr>
    </w:lvl>
    <w:lvl w:ilvl="8" w:tplc="D2CEB926" w:tentative="1">
      <w:start w:val="1"/>
      <w:numFmt w:val="bullet"/>
      <w:lvlText w:val=""/>
      <w:lvlJc w:val="left"/>
      <w:pPr>
        <w:ind w:left="6480" w:hanging="360"/>
      </w:pPr>
      <w:rPr>
        <w:rFonts w:ascii="Wingdings" w:hAnsi="Wingdings" w:hint="default"/>
      </w:rPr>
    </w:lvl>
  </w:abstractNum>
  <w:abstractNum w:abstractNumId="1" w15:restartNumberingAfterBreak="0">
    <w:nsid w:val="057A5B3A"/>
    <w:multiLevelType w:val="hybridMultilevel"/>
    <w:tmpl w:val="B510A634"/>
    <w:lvl w:ilvl="0" w:tplc="21BCA1FE">
      <w:start w:val="1"/>
      <w:numFmt w:val="decimal"/>
      <w:lvlText w:val="%1."/>
      <w:lvlJc w:val="left"/>
      <w:pPr>
        <w:ind w:left="710" w:hanging="710"/>
      </w:pPr>
      <w:rPr>
        <w:rFonts w:hint="default"/>
      </w:rPr>
    </w:lvl>
    <w:lvl w:ilvl="1" w:tplc="24925E54" w:tentative="1">
      <w:start w:val="1"/>
      <w:numFmt w:val="lowerLetter"/>
      <w:lvlText w:val="%2."/>
      <w:lvlJc w:val="left"/>
      <w:pPr>
        <w:ind w:left="1080" w:hanging="360"/>
      </w:pPr>
    </w:lvl>
    <w:lvl w:ilvl="2" w:tplc="4748E704" w:tentative="1">
      <w:start w:val="1"/>
      <w:numFmt w:val="lowerRoman"/>
      <w:lvlText w:val="%3."/>
      <w:lvlJc w:val="right"/>
      <w:pPr>
        <w:ind w:left="1800" w:hanging="180"/>
      </w:pPr>
    </w:lvl>
    <w:lvl w:ilvl="3" w:tplc="4A8EAF3E" w:tentative="1">
      <w:start w:val="1"/>
      <w:numFmt w:val="decimal"/>
      <w:lvlText w:val="%4."/>
      <w:lvlJc w:val="left"/>
      <w:pPr>
        <w:ind w:left="2520" w:hanging="360"/>
      </w:pPr>
    </w:lvl>
    <w:lvl w:ilvl="4" w:tplc="88D4A962" w:tentative="1">
      <w:start w:val="1"/>
      <w:numFmt w:val="lowerLetter"/>
      <w:lvlText w:val="%5."/>
      <w:lvlJc w:val="left"/>
      <w:pPr>
        <w:ind w:left="3240" w:hanging="360"/>
      </w:pPr>
    </w:lvl>
    <w:lvl w:ilvl="5" w:tplc="995E1A20" w:tentative="1">
      <w:start w:val="1"/>
      <w:numFmt w:val="lowerRoman"/>
      <w:lvlText w:val="%6."/>
      <w:lvlJc w:val="right"/>
      <w:pPr>
        <w:ind w:left="3960" w:hanging="180"/>
      </w:pPr>
    </w:lvl>
    <w:lvl w:ilvl="6" w:tplc="934C4644" w:tentative="1">
      <w:start w:val="1"/>
      <w:numFmt w:val="decimal"/>
      <w:lvlText w:val="%7."/>
      <w:lvlJc w:val="left"/>
      <w:pPr>
        <w:ind w:left="4680" w:hanging="360"/>
      </w:pPr>
    </w:lvl>
    <w:lvl w:ilvl="7" w:tplc="2F067F9A" w:tentative="1">
      <w:start w:val="1"/>
      <w:numFmt w:val="lowerLetter"/>
      <w:lvlText w:val="%8."/>
      <w:lvlJc w:val="left"/>
      <w:pPr>
        <w:ind w:left="5400" w:hanging="360"/>
      </w:pPr>
    </w:lvl>
    <w:lvl w:ilvl="8" w:tplc="9DEAB444" w:tentative="1">
      <w:start w:val="1"/>
      <w:numFmt w:val="lowerRoman"/>
      <w:lvlText w:val="%9."/>
      <w:lvlJc w:val="right"/>
      <w:pPr>
        <w:ind w:left="6120" w:hanging="180"/>
      </w:pPr>
    </w:lvl>
  </w:abstractNum>
  <w:abstractNum w:abstractNumId="2" w15:restartNumberingAfterBreak="0">
    <w:nsid w:val="076C589E"/>
    <w:multiLevelType w:val="hybridMultilevel"/>
    <w:tmpl w:val="3D82ED72"/>
    <w:lvl w:ilvl="0" w:tplc="86526AB4">
      <w:start w:val="1"/>
      <w:numFmt w:val="decimal"/>
      <w:lvlText w:val="%1."/>
      <w:lvlJc w:val="left"/>
      <w:pPr>
        <w:ind w:left="1428" w:hanging="360"/>
      </w:pPr>
    </w:lvl>
    <w:lvl w:ilvl="1" w:tplc="EF3A331E" w:tentative="1">
      <w:start w:val="1"/>
      <w:numFmt w:val="lowerLetter"/>
      <w:lvlText w:val="%2."/>
      <w:lvlJc w:val="left"/>
      <w:pPr>
        <w:ind w:left="2148" w:hanging="360"/>
      </w:pPr>
    </w:lvl>
    <w:lvl w:ilvl="2" w:tplc="4B820D8A" w:tentative="1">
      <w:start w:val="1"/>
      <w:numFmt w:val="lowerRoman"/>
      <w:lvlText w:val="%3."/>
      <w:lvlJc w:val="right"/>
      <w:pPr>
        <w:ind w:left="2868" w:hanging="180"/>
      </w:pPr>
    </w:lvl>
    <w:lvl w:ilvl="3" w:tplc="CBA4F7B6" w:tentative="1">
      <w:start w:val="1"/>
      <w:numFmt w:val="decimal"/>
      <w:lvlText w:val="%4."/>
      <w:lvlJc w:val="left"/>
      <w:pPr>
        <w:ind w:left="3588" w:hanging="360"/>
      </w:pPr>
    </w:lvl>
    <w:lvl w:ilvl="4" w:tplc="93800A3C" w:tentative="1">
      <w:start w:val="1"/>
      <w:numFmt w:val="lowerLetter"/>
      <w:lvlText w:val="%5."/>
      <w:lvlJc w:val="left"/>
      <w:pPr>
        <w:ind w:left="4308" w:hanging="360"/>
      </w:pPr>
    </w:lvl>
    <w:lvl w:ilvl="5" w:tplc="226CD92E" w:tentative="1">
      <w:start w:val="1"/>
      <w:numFmt w:val="lowerRoman"/>
      <w:lvlText w:val="%6."/>
      <w:lvlJc w:val="right"/>
      <w:pPr>
        <w:ind w:left="5028" w:hanging="180"/>
      </w:pPr>
    </w:lvl>
    <w:lvl w:ilvl="6" w:tplc="522E491E" w:tentative="1">
      <w:start w:val="1"/>
      <w:numFmt w:val="decimal"/>
      <w:lvlText w:val="%7."/>
      <w:lvlJc w:val="left"/>
      <w:pPr>
        <w:ind w:left="5748" w:hanging="360"/>
      </w:pPr>
    </w:lvl>
    <w:lvl w:ilvl="7" w:tplc="5E705D80" w:tentative="1">
      <w:start w:val="1"/>
      <w:numFmt w:val="lowerLetter"/>
      <w:lvlText w:val="%8."/>
      <w:lvlJc w:val="left"/>
      <w:pPr>
        <w:ind w:left="6468" w:hanging="360"/>
      </w:pPr>
    </w:lvl>
    <w:lvl w:ilvl="8" w:tplc="742C2D90" w:tentative="1">
      <w:start w:val="1"/>
      <w:numFmt w:val="lowerRoman"/>
      <w:lvlText w:val="%9."/>
      <w:lvlJc w:val="right"/>
      <w:pPr>
        <w:ind w:left="7188" w:hanging="180"/>
      </w:pPr>
    </w:lvl>
  </w:abstractNum>
  <w:abstractNum w:abstractNumId="3" w15:restartNumberingAfterBreak="0">
    <w:nsid w:val="11215E15"/>
    <w:multiLevelType w:val="hybridMultilevel"/>
    <w:tmpl w:val="2CD09FC8"/>
    <w:lvl w:ilvl="0" w:tplc="427CD98E">
      <w:start w:val="17"/>
      <w:numFmt w:val="bullet"/>
      <w:lvlText w:val="-"/>
      <w:lvlJc w:val="left"/>
      <w:pPr>
        <w:ind w:left="720" w:hanging="360"/>
      </w:pPr>
      <w:rPr>
        <w:rFonts w:ascii="Calibri" w:eastAsiaTheme="minorHAnsi" w:hAnsi="Calibri" w:cs="Calibri" w:hint="default"/>
      </w:rPr>
    </w:lvl>
    <w:lvl w:ilvl="1" w:tplc="B238C418" w:tentative="1">
      <w:start w:val="1"/>
      <w:numFmt w:val="bullet"/>
      <w:lvlText w:val="o"/>
      <w:lvlJc w:val="left"/>
      <w:pPr>
        <w:ind w:left="1440" w:hanging="360"/>
      </w:pPr>
      <w:rPr>
        <w:rFonts w:ascii="Courier New" w:hAnsi="Courier New" w:cs="Courier New" w:hint="default"/>
      </w:rPr>
    </w:lvl>
    <w:lvl w:ilvl="2" w:tplc="6DEC864A" w:tentative="1">
      <w:start w:val="1"/>
      <w:numFmt w:val="bullet"/>
      <w:lvlText w:val=""/>
      <w:lvlJc w:val="left"/>
      <w:pPr>
        <w:ind w:left="2160" w:hanging="360"/>
      </w:pPr>
      <w:rPr>
        <w:rFonts w:ascii="Wingdings" w:hAnsi="Wingdings" w:hint="default"/>
      </w:rPr>
    </w:lvl>
    <w:lvl w:ilvl="3" w:tplc="259E8E9A" w:tentative="1">
      <w:start w:val="1"/>
      <w:numFmt w:val="bullet"/>
      <w:lvlText w:val=""/>
      <w:lvlJc w:val="left"/>
      <w:pPr>
        <w:ind w:left="2880" w:hanging="360"/>
      </w:pPr>
      <w:rPr>
        <w:rFonts w:ascii="Symbol" w:hAnsi="Symbol" w:hint="default"/>
      </w:rPr>
    </w:lvl>
    <w:lvl w:ilvl="4" w:tplc="26F6F7BE" w:tentative="1">
      <w:start w:val="1"/>
      <w:numFmt w:val="bullet"/>
      <w:lvlText w:val="o"/>
      <w:lvlJc w:val="left"/>
      <w:pPr>
        <w:ind w:left="3600" w:hanging="360"/>
      </w:pPr>
      <w:rPr>
        <w:rFonts w:ascii="Courier New" w:hAnsi="Courier New" w:cs="Courier New" w:hint="default"/>
      </w:rPr>
    </w:lvl>
    <w:lvl w:ilvl="5" w:tplc="D3C6096A" w:tentative="1">
      <w:start w:val="1"/>
      <w:numFmt w:val="bullet"/>
      <w:lvlText w:val=""/>
      <w:lvlJc w:val="left"/>
      <w:pPr>
        <w:ind w:left="4320" w:hanging="360"/>
      </w:pPr>
      <w:rPr>
        <w:rFonts w:ascii="Wingdings" w:hAnsi="Wingdings" w:hint="default"/>
      </w:rPr>
    </w:lvl>
    <w:lvl w:ilvl="6" w:tplc="A7A6F482" w:tentative="1">
      <w:start w:val="1"/>
      <w:numFmt w:val="bullet"/>
      <w:lvlText w:val=""/>
      <w:lvlJc w:val="left"/>
      <w:pPr>
        <w:ind w:left="5040" w:hanging="360"/>
      </w:pPr>
      <w:rPr>
        <w:rFonts w:ascii="Symbol" w:hAnsi="Symbol" w:hint="default"/>
      </w:rPr>
    </w:lvl>
    <w:lvl w:ilvl="7" w:tplc="E1C2763A" w:tentative="1">
      <w:start w:val="1"/>
      <w:numFmt w:val="bullet"/>
      <w:lvlText w:val="o"/>
      <w:lvlJc w:val="left"/>
      <w:pPr>
        <w:ind w:left="5760" w:hanging="360"/>
      </w:pPr>
      <w:rPr>
        <w:rFonts w:ascii="Courier New" w:hAnsi="Courier New" w:cs="Courier New" w:hint="default"/>
      </w:rPr>
    </w:lvl>
    <w:lvl w:ilvl="8" w:tplc="F9F02C58" w:tentative="1">
      <w:start w:val="1"/>
      <w:numFmt w:val="bullet"/>
      <w:lvlText w:val=""/>
      <w:lvlJc w:val="left"/>
      <w:pPr>
        <w:ind w:left="6480" w:hanging="360"/>
      </w:pPr>
      <w:rPr>
        <w:rFonts w:ascii="Wingdings" w:hAnsi="Wingdings" w:hint="default"/>
      </w:rPr>
    </w:lvl>
  </w:abstractNum>
  <w:abstractNum w:abstractNumId="4" w15:restartNumberingAfterBreak="0">
    <w:nsid w:val="16DC2D5F"/>
    <w:multiLevelType w:val="hybridMultilevel"/>
    <w:tmpl w:val="30F6A1F4"/>
    <w:lvl w:ilvl="0" w:tplc="012AFB9E">
      <w:start w:val="13"/>
      <w:numFmt w:val="bullet"/>
      <w:lvlText w:val="-"/>
      <w:lvlJc w:val="left"/>
      <w:pPr>
        <w:ind w:left="720" w:hanging="360"/>
      </w:pPr>
      <w:rPr>
        <w:rFonts w:ascii="Calibri" w:eastAsia="Calibri" w:hAnsi="Calibri" w:cs="Calibri" w:hint="default"/>
      </w:rPr>
    </w:lvl>
    <w:lvl w:ilvl="1" w:tplc="7D8841EA">
      <w:start w:val="1"/>
      <w:numFmt w:val="bullet"/>
      <w:lvlText w:val="o"/>
      <w:lvlJc w:val="left"/>
      <w:pPr>
        <w:ind w:left="1440" w:hanging="360"/>
      </w:pPr>
      <w:rPr>
        <w:rFonts w:ascii="Courier New" w:hAnsi="Courier New" w:cs="Courier New" w:hint="default"/>
      </w:rPr>
    </w:lvl>
    <w:lvl w:ilvl="2" w:tplc="3E4E96B6">
      <w:start w:val="1"/>
      <w:numFmt w:val="bullet"/>
      <w:lvlText w:val=""/>
      <w:lvlJc w:val="left"/>
      <w:pPr>
        <w:ind w:left="2160" w:hanging="360"/>
      </w:pPr>
      <w:rPr>
        <w:rFonts w:ascii="Wingdings" w:hAnsi="Wingdings" w:hint="default"/>
      </w:rPr>
    </w:lvl>
    <w:lvl w:ilvl="3" w:tplc="2DB02FD0">
      <w:start w:val="1"/>
      <w:numFmt w:val="bullet"/>
      <w:lvlText w:val=""/>
      <w:lvlJc w:val="left"/>
      <w:pPr>
        <w:ind w:left="2880" w:hanging="360"/>
      </w:pPr>
      <w:rPr>
        <w:rFonts w:ascii="Symbol" w:hAnsi="Symbol" w:hint="default"/>
      </w:rPr>
    </w:lvl>
    <w:lvl w:ilvl="4" w:tplc="A85658D4">
      <w:start w:val="1"/>
      <w:numFmt w:val="bullet"/>
      <w:lvlText w:val="o"/>
      <w:lvlJc w:val="left"/>
      <w:pPr>
        <w:ind w:left="3600" w:hanging="360"/>
      </w:pPr>
      <w:rPr>
        <w:rFonts w:ascii="Courier New" w:hAnsi="Courier New" w:cs="Courier New" w:hint="default"/>
      </w:rPr>
    </w:lvl>
    <w:lvl w:ilvl="5" w:tplc="2D2A03A8">
      <w:start w:val="1"/>
      <w:numFmt w:val="bullet"/>
      <w:lvlText w:val=""/>
      <w:lvlJc w:val="left"/>
      <w:pPr>
        <w:ind w:left="4320" w:hanging="360"/>
      </w:pPr>
      <w:rPr>
        <w:rFonts w:ascii="Wingdings" w:hAnsi="Wingdings" w:hint="default"/>
      </w:rPr>
    </w:lvl>
    <w:lvl w:ilvl="6" w:tplc="99DC25D2">
      <w:start w:val="1"/>
      <w:numFmt w:val="bullet"/>
      <w:lvlText w:val=""/>
      <w:lvlJc w:val="left"/>
      <w:pPr>
        <w:ind w:left="5040" w:hanging="360"/>
      </w:pPr>
      <w:rPr>
        <w:rFonts w:ascii="Symbol" w:hAnsi="Symbol" w:hint="default"/>
      </w:rPr>
    </w:lvl>
    <w:lvl w:ilvl="7" w:tplc="58CC1E26">
      <w:start w:val="1"/>
      <w:numFmt w:val="bullet"/>
      <w:lvlText w:val="o"/>
      <w:lvlJc w:val="left"/>
      <w:pPr>
        <w:ind w:left="5760" w:hanging="360"/>
      </w:pPr>
      <w:rPr>
        <w:rFonts w:ascii="Courier New" w:hAnsi="Courier New" w:cs="Courier New" w:hint="default"/>
      </w:rPr>
    </w:lvl>
    <w:lvl w:ilvl="8" w:tplc="11E25B5C">
      <w:start w:val="1"/>
      <w:numFmt w:val="bullet"/>
      <w:lvlText w:val=""/>
      <w:lvlJc w:val="left"/>
      <w:pPr>
        <w:ind w:left="6480" w:hanging="360"/>
      </w:pPr>
      <w:rPr>
        <w:rFonts w:ascii="Wingdings" w:hAnsi="Wingdings" w:hint="default"/>
      </w:rPr>
    </w:lvl>
  </w:abstractNum>
  <w:abstractNum w:abstractNumId="5" w15:restartNumberingAfterBreak="0">
    <w:nsid w:val="188D0C6E"/>
    <w:multiLevelType w:val="hybridMultilevel"/>
    <w:tmpl w:val="E83C0BA2"/>
    <w:lvl w:ilvl="0" w:tplc="07BAD92A">
      <w:start w:val="1"/>
      <w:numFmt w:val="bullet"/>
      <w:lvlText w:val=""/>
      <w:lvlJc w:val="left"/>
      <w:pPr>
        <w:ind w:left="360" w:hanging="360"/>
      </w:pPr>
      <w:rPr>
        <w:rFonts w:ascii="Symbol" w:hAnsi="Symbol" w:hint="default"/>
      </w:rPr>
    </w:lvl>
    <w:lvl w:ilvl="1" w:tplc="C564155C">
      <w:start w:val="1"/>
      <w:numFmt w:val="bullet"/>
      <w:lvlText w:val="o"/>
      <w:lvlJc w:val="left"/>
      <w:pPr>
        <w:ind w:left="1080" w:hanging="360"/>
      </w:pPr>
      <w:rPr>
        <w:rFonts w:ascii="Courier New" w:hAnsi="Courier New" w:cs="Courier New" w:hint="default"/>
      </w:rPr>
    </w:lvl>
    <w:lvl w:ilvl="2" w:tplc="D4461280" w:tentative="1">
      <w:start w:val="1"/>
      <w:numFmt w:val="bullet"/>
      <w:lvlText w:val=""/>
      <w:lvlJc w:val="left"/>
      <w:pPr>
        <w:ind w:left="1800" w:hanging="360"/>
      </w:pPr>
      <w:rPr>
        <w:rFonts w:ascii="Wingdings" w:hAnsi="Wingdings" w:hint="default"/>
      </w:rPr>
    </w:lvl>
    <w:lvl w:ilvl="3" w:tplc="1102CAA0" w:tentative="1">
      <w:start w:val="1"/>
      <w:numFmt w:val="bullet"/>
      <w:lvlText w:val=""/>
      <w:lvlJc w:val="left"/>
      <w:pPr>
        <w:ind w:left="2520" w:hanging="360"/>
      </w:pPr>
      <w:rPr>
        <w:rFonts w:ascii="Symbol" w:hAnsi="Symbol" w:hint="default"/>
      </w:rPr>
    </w:lvl>
    <w:lvl w:ilvl="4" w:tplc="F9E8FE92" w:tentative="1">
      <w:start w:val="1"/>
      <w:numFmt w:val="bullet"/>
      <w:lvlText w:val="o"/>
      <w:lvlJc w:val="left"/>
      <w:pPr>
        <w:ind w:left="3240" w:hanging="360"/>
      </w:pPr>
      <w:rPr>
        <w:rFonts w:ascii="Courier New" w:hAnsi="Courier New" w:cs="Courier New" w:hint="default"/>
      </w:rPr>
    </w:lvl>
    <w:lvl w:ilvl="5" w:tplc="B03699F2" w:tentative="1">
      <w:start w:val="1"/>
      <w:numFmt w:val="bullet"/>
      <w:lvlText w:val=""/>
      <w:lvlJc w:val="left"/>
      <w:pPr>
        <w:ind w:left="3960" w:hanging="360"/>
      </w:pPr>
      <w:rPr>
        <w:rFonts w:ascii="Wingdings" w:hAnsi="Wingdings" w:hint="default"/>
      </w:rPr>
    </w:lvl>
    <w:lvl w:ilvl="6" w:tplc="5E0C7220" w:tentative="1">
      <w:start w:val="1"/>
      <w:numFmt w:val="bullet"/>
      <w:lvlText w:val=""/>
      <w:lvlJc w:val="left"/>
      <w:pPr>
        <w:ind w:left="4680" w:hanging="360"/>
      </w:pPr>
      <w:rPr>
        <w:rFonts w:ascii="Symbol" w:hAnsi="Symbol" w:hint="default"/>
      </w:rPr>
    </w:lvl>
    <w:lvl w:ilvl="7" w:tplc="B1B27332" w:tentative="1">
      <w:start w:val="1"/>
      <w:numFmt w:val="bullet"/>
      <w:lvlText w:val="o"/>
      <w:lvlJc w:val="left"/>
      <w:pPr>
        <w:ind w:left="5400" w:hanging="360"/>
      </w:pPr>
      <w:rPr>
        <w:rFonts w:ascii="Courier New" w:hAnsi="Courier New" w:cs="Courier New" w:hint="default"/>
      </w:rPr>
    </w:lvl>
    <w:lvl w:ilvl="8" w:tplc="C4AC7550" w:tentative="1">
      <w:start w:val="1"/>
      <w:numFmt w:val="bullet"/>
      <w:lvlText w:val=""/>
      <w:lvlJc w:val="left"/>
      <w:pPr>
        <w:ind w:left="6120" w:hanging="360"/>
      </w:pPr>
      <w:rPr>
        <w:rFonts w:ascii="Wingdings" w:hAnsi="Wingdings" w:hint="default"/>
      </w:rPr>
    </w:lvl>
  </w:abstractNum>
  <w:abstractNum w:abstractNumId="6" w15:restartNumberingAfterBreak="0">
    <w:nsid w:val="19F909EB"/>
    <w:multiLevelType w:val="multilevel"/>
    <w:tmpl w:val="39EC6112"/>
    <w:lvl w:ilvl="0">
      <w:start w:val="1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B7C187D"/>
    <w:multiLevelType w:val="hybridMultilevel"/>
    <w:tmpl w:val="B510A634"/>
    <w:lvl w:ilvl="0" w:tplc="94004F30">
      <w:start w:val="1"/>
      <w:numFmt w:val="decimal"/>
      <w:lvlText w:val="%1."/>
      <w:lvlJc w:val="left"/>
      <w:pPr>
        <w:ind w:left="1070" w:hanging="710"/>
      </w:pPr>
      <w:rPr>
        <w:rFonts w:hint="default"/>
      </w:rPr>
    </w:lvl>
    <w:lvl w:ilvl="1" w:tplc="51F6D118" w:tentative="1">
      <w:start w:val="1"/>
      <w:numFmt w:val="lowerLetter"/>
      <w:lvlText w:val="%2."/>
      <w:lvlJc w:val="left"/>
      <w:pPr>
        <w:ind w:left="1440" w:hanging="360"/>
      </w:pPr>
    </w:lvl>
    <w:lvl w:ilvl="2" w:tplc="3F422DC0" w:tentative="1">
      <w:start w:val="1"/>
      <w:numFmt w:val="lowerRoman"/>
      <w:lvlText w:val="%3."/>
      <w:lvlJc w:val="right"/>
      <w:pPr>
        <w:ind w:left="2160" w:hanging="180"/>
      </w:pPr>
    </w:lvl>
    <w:lvl w:ilvl="3" w:tplc="67DAAB00" w:tentative="1">
      <w:start w:val="1"/>
      <w:numFmt w:val="decimal"/>
      <w:lvlText w:val="%4."/>
      <w:lvlJc w:val="left"/>
      <w:pPr>
        <w:ind w:left="2880" w:hanging="360"/>
      </w:pPr>
    </w:lvl>
    <w:lvl w:ilvl="4" w:tplc="C728E1F8" w:tentative="1">
      <w:start w:val="1"/>
      <w:numFmt w:val="lowerLetter"/>
      <w:lvlText w:val="%5."/>
      <w:lvlJc w:val="left"/>
      <w:pPr>
        <w:ind w:left="3600" w:hanging="360"/>
      </w:pPr>
    </w:lvl>
    <w:lvl w:ilvl="5" w:tplc="679C683E" w:tentative="1">
      <w:start w:val="1"/>
      <w:numFmt w:val="lowerRoman"/>
      <w:lvlText w:val="%6."/>
      <w:lvlJc w:val="right"/>
      <w:pPr>
        <w:ind w:left="4320" w:hanging="180"/>
      </w:pPr>
    </w:lvl>
    <w:lvl w:ilvl="6" w:tplc="AE7EA760" w:tentative="1">
      <w:start w:val="1"/>
      <w:numFmt w:val="decimal"/>
      <w:lvlText w:val="%7."/>
      <w:lvlJc w:val="left"/>
      <w:pPr>
        <w:ind w:left="5040" w:hanging="360"/>
      </w:pPr>
    </w:lvl>
    <w:lvl w:ilvl="7" w:tplc="8E827BCA" w:tentative="1">
      <w:start w:val="1"/>
      <w:numFmt w:val="lowerLetter"/>
      <w:lvlText w:val="%8."/>
      <w:lvlJc w:val="left"/>
      <w:pPr>
        <w:ind w:left="5760" w:hanging="360"/>
      </w:pPr>
    </w:lvl>
    <w:lvl w:ilvl="8" w:tplc="68CE0EFC" w:tentative="1">
      <w:start w:val="1"/>
      <w:numFmt w:val="lowerRoman"/>
      <w:lvlText w:val="%9."/>
      <w:lvlJc w:val="right"/>
      <w:pPr>
        <w:ind w:left="6480" w:hanging="180"/>
      </w:pPr>
    </w:lvl>
  </w:abstractNum>
  <w:abstractNum w:abstractNumId="8" w15:restartNumberingAfterBreak="0">
    <w:nsid w:val="1EBC3A9C"/>
    <w:multiLevelType w:val="hybridMultilevel"/>
    <w:tmpl w:val="EBC69D42"/>
    <w:lvl w:ilvl="0" w:tplc="BC2EA182">
      <w:start w:val="19"/>
      <w:numFmt w:val="bullet"/>
      <w:lvlText w:val="-"/>
      <w:lvlJc w:val="left"/>
      <w:pPr>
        <w:ind w:left="720" w:hanging="360"/>
      </w:pPr>
      <w:rPr>
        <w:rFonts w:ascii="Calibri" w:eastAsiaTheme="minorHAnsi" w:hAnsi="Calibri" w:cs="Calibri" w:hint="default"/>
      </w:rPr>
    </w:lvl>
    <w:lvl w:ilvl="1" w:tplc="92BC989C" w:tentative="1">
      <w:start w:val="1"/>
      <w:numFmt w:val="bullet"/>
      <w:lvlText w:val="o"/>
      <w:lvlJc w:val="left"/>
      <w:pPr>
        <w:ind w:left="1440" w:hanging="360"/>
      </w:pPr>
      <w:rPr>
        <w:rFonts w:ascii="Courier New" w:hAnsi="Courier New" w:cs="Courier New" w:hint="default"/>
      </w:rPr>
    </w:lvl>
    <w:lvl w:ilvl="2" w:tplc="12025EBE" w:tentative="1">
      <w:start w:val="1"/>
      <w:numFmt w:val="bullet"/>
      <w:lvlText w:val=""/>
      <w:lvlJc w:val="left"/>
      <w:pPr>
        <w:ind w:left="2160" w:hanging="360"/>
      </w:pPr>
      <w:rPr>
        <w:rFonts w:ascii="Wingdings" w:hAnsi="Wingdings" w:hint="default"/>
      </w:rPr>
    </w:lvl>
    <w:lvl w:ilvl="3" w:tplc="3D08AC0C" w:tentative="1">
      <w:start w:val="1"/>
      <w:numFmt w:val="bullet"/>
      <w:lvlText w:val=""/>
      <w:lvlJc w:val="left"/>
      <w:pPr>
        <w:ind w:left="2880" w:hanging="360"/>
      </w:pPr>
      <w:rPr>
        <w:rFonts w:ascii="Symbol" w:hAnsi="Symbol" w:hint="default"/>
      </w:rPr>
    </w:lvl>
    <w:lvl w:ilvl="4" w:tplc="F48C2882" w:tentative="1">
      <w:start w:val="1"/>
      <w:numFmt w:val="bullet"/>
      <w:lvlText w:val="o"/>
      <w:lvlJc w:val="left"/>
      <w:pPr>
        <w:ind w:left="3600" w:hanging="360"/>
      </w:pPr>
      <w:rPr>
        <w:rFonts w:ascii="Courier New" w:hAnsi="Courier New" w:cs="Courier New" w:hint="default"/>
      </w:rPr>
    </w:lvl>
    <w:lvl w:ilvl="5" w:tplc="516E6448" w:tentative="1">
      <w:start w:val="1"/>
      <w:numFmt w:val="bullet"/>
      <w:lvlText w:val=""/>
      <w:lvlJc w:val="left"/>
      <w:pPr>
        <w:ind w:left="4320" w:hanging="360"/>
      </w:pPr>
      <w:rPr>
        <w:rFonts w:ascii="Wingdings" w:hAnsi="Wingdings" w:hint="default"/>
      </w:rPr>
    </w:lvl>
    <w:lvl w:ilvl="6" w:tplc="963E465A" w:tentative="1">
      <w:start w:val="1"/>
      <w:numFmt w:val="bullet"/>
      <w:lvlText w:val=""/>
      <w:lvlJc w:val="left"/>
      <w:pPr>
        <w:ind w:left="5040" w:hanging="360"/>
      </w:pPr>
      <w:rPr>
        <w:rFonts w:ascii="Symbol" w:hAnsi="Symbol" w:hint="default"/>
      </w:rPr>
    </w:lvl>
    <w:lvl w:ilvl="7" w:tplc="469A19D0" w:tentative="1">
      <w:start w:val="1"/>
      <w:numFmt w:val="bullet"/>
      <w:lvlText w:val="o"/>
      <w:lvlJc w:val="left"/>
      <w:pPr>
        <w:ind w:left="5760" w:hanging="360"/>
      </w:pPr>
      <w:rPr>
        <w:rFonts w:ascii="Courier New" w:hAnsi="Courier New" w:cs="Courier New" w:hint="default"/>
      </w:rPr>
    </w:lvl>
    <w:lvl w:ilvl="8" w:tplc="8F6204EC" w:tentative="1">
      <w:start w:val="1"/>
      <w:numFmt w:val="bullet"/>
      <w:lvlText w:val=""/>
      <w:lvlJc w:val="left"/>
      <w:pPr>
        <w:ind w:left="6480" w:hanging="360"/>
      </w:pPr>
      <w:rPr>
        <w:rFonts w:ascii="Wingdings" w:hAnsi="Wingdings" w:hint="default"/>
      </w:rPr>
    </w:lvl>
  </w:abstractNum>
  <w:abstractNum w:abstractNumId="9" w15:restartNumberingAfterBreak="0">
    <w:nsid w:val="230D67D2"/>
    <w:multiLevelType w:val="hybridMultilevel"/>
    <w:tmpl w:val="84C4F65A"/>
    <w:lvl w:ilvl="0" w:tplc="359CEA44">
      <w:start w:val="19"/>
      <w:numFmt w:val="bullet"/>
      <w:lvlText w:val="-"/>
      <w:lvlJc w:val="left"/>
      <w:pPr>
        <w:ind w:left="720" w:hanging="360"/>
      </w:pPr>
      <w:rPr>
        <w:rFonts w:ascii="Calibri" w:eastAsiaTheme="minorHAnsi" w:hAnsi="Calibri" w:cs="Calibri" w:hint="default"/>
      </w:rPr>
    </w:lvl>
    <w:lvl w:ilvl="1" w:tplc="D4C2BFE8" w:tentative="1">
      <w:start w:val="1"/>
      <w:numFmt w:val="lowerLetter"/>
      <w:lvlText w:val="%2."/>
      <w:lvlJc w:val="left"/>
      <w:pPr>
        <w:ind w:left="1440" w:hanging="360"/>
      </w:pPr>
    </w:lvl>
    <w:lvl w:ilvl="2" w:tplc="D75EC54A" w:tentative="1">
      <w:start w:val="1"/>
      <w:numFmt w:val="lowerRoman"/>
      <w:lvlText w:val="%3."/>
      <w:lvlJc w:val="right"/>
      <w:pPr>
        <w:ind w:left="2160" w:hanging="180"/>
      </w:pPr>
    </w:lvl>
    <w:lvl w:ilvl="3" w:tplc="2572DF08" w:tentative="1">
      <w:start w:val="1"/>
      <w:numFmt w:val="decimal"/>
      <w:lvlText w:val="%4."/>
      <w:lvlJc w:val="left"/>
      <w:pPr>
        <w:ind w:left="2880" w:hanging="360"/>
      </w:pPr>
    </w:lvl>
    <w:lvl w:ilvl="4" w:tplc="B19AE1D6" w:tentative="1">
      <w:start w:val="1"/>
      <w:numFmt w:val="lowerLetter"/>
      <w:lvlText w:val="%5."/>
      <w:lvlJc w:val="left"/>
      <w:pPr>
        <w:ind w:left="3600" w:hanging="360"/>
      </w:pPr>
    </w:lvl>
    <w:lvl w:ilvl="5" w:tplc="65D86A36" w:tentative="1">
      <w:start w:val="1"/>
      <w:numFmt w:val="lowerRoman"/>
      <w:lvlText w:val="%6."/>
      <w:lvlJc w:val="right"/>
      <w:pPr>
        <w:ind w:left="4320" w:hanging="180"/>
      </w:pPr>
    </w:lvl>
    <w:lvl w:ilvl="6" w:tplc="F2B81EEA" w:tentative="1">
      <w:start w:val="1"/>
      <w:numFmt w:val="decimal"/>
      <w:lvlText w:val="%7."/>
      <w:lvlJc w:val="left"/>
      <w:pPr>
        <w:ind w:left="5040" w:hanging="360"/>
      </w:pPr>
    </w:lvl>
    <w:lvl w:ilvl="7" w:tplc="6E5080B2" w:tentative="1">
      <w:start w:val="1"/>
      <w:numFmt w:val="lowerLetter"/>
      <w:lvlText w:val="%8."/>
      <w:lvlJc w:val="left"/>
      <w:pPr>
        <w:ind w:left="5760" w:hanging="360"/>
      </w:pPr>
    </w:lvl>
    <w:lvl w:ilvl="8" w:tplc="C1A670EC" w:tentative="1">
      <w:start w:val="1"/>
      <w:numFmt w:val="lowerRoman"/>
      <w:lvlText w:val="%9."/>
      <w:lvlJc w:val="right"/>
      <w:pPr>
        <w:ind w:left="6480" w:hanging="180"/>
      </w:pPr>
    </w:lvl>
  </w:abstractNum>
  <w:abstractNum w:abstractNumId="10" w15:restartNumberingAfterBreak="0">
    <w:nsid w:val="2A43022A"/>
    <w:multiLevelType w:val="hybridMultilevel"/>
    <w:tmpl w:val="AB242618"/>
    <w:lvl w:ilvl="0" w:tplc="B3E4E61C">
      <w:start w:val="1"/>
      <w:numFmt w:val="bullet"/>
      <w:lvlText w:val=""/>
      <w:lvlJc w:val="left"/>
      <w:pPr>
        <w:ind w:left="360" w:hanging="360"/>
      </w:pPr>
      <w:rPr>
        <w:rFonts w:ascii="Wingdings" w:hAnsi="Wingdings" w:hint="default"/>
      </w:rPr>
    </w:lvl>
    <w:lvl w:ilvl="1" w:tplc="485C54DA" w:tentative="1">
      <w:start w:val="1"/>
      <w:numFmt w:val="bullet"/>
      <w:lvlText w:val="o"/>
      <w:lvlJc w:val="left"/>
      <w:pPr>
        <w:ind w:left="1080" w:hanging="360"/>
      </w:pPr>
      <w:rPr>
        <w:rFonts w:ascii="Courier New" w:hAnsi="Courier New" w:cs="Courier New" w:hint="default"/>
      </w:rPr>
    </w:lvl>
    <w:lvl w:ilvl="2" w:tplc="B6A8F8A2" w:tentative="1">
      <w:start w:val="1"/>
      <w:numFmt w:val="bullet"/>
      <w:lvlText w:val=""/>
      <w:lvlJc w:val="left"/>
      <w:pPr>
        <w:ind w:left="1800" w:hanging="360"/>
      </w:pPr>
      <w:rPr>
        <w:rFonts w:ascii="Wingdings" w:hAnsi="Wingdings" w:hint="default"/>
      </w:rPr>
    </w:lvl>
    <w:lvl w:ilvl="3" w:tplc="E44CF43A" w:tentative="1">
      <w:start w:val="1"/>
      <w:numFmt w:val="bullet"/>
      <w:lvlText w:val=""/>
      <w:lvlJc w:val="left"/>
      <w:pPr>
        <w:ind w:left="2520" w:hanging="360"/>
      </w:pPr>
      <w:rPr>
        <w:rFonts w:ascii="Symbol" w:hAnsi="Symbol" w:hint="default"/>
      </w:rPr>
    </w:lvl>
    <w:lvl w:ilvl="4" w:tplc="11AEBB58" w:tentative="1">
      <w:start w:val="1"/>
      <w:numFmt w:val="bullet"/>
      <w:lvlText w:val="o"/>
      <w:lvlJc w:val="left"/>
      <w:pPr>
        <w:ind w:left="3240" w:hanging="360"/>
      </w:pPr>
      <w:rPr>
        <w:rFonts w:ascii="Courier New" w:hAnsi="Courier New" w:cs="Courier New" w:hint="default"/>
      </w:rPr>
    </w:lvl>
    <w:lvl w:ilvl="5" w:tplc="CFB86BE2" w:tentative="1">
      <w:start w:val="1"/>
      <w:numFmt w:val="bullet"/>
      <w:lvlText w:val=""/>
      <w:lvlJc w:val="left"/>
      <w:pPr>
        <w:ind w:left="3960" w:hanging="360"/>
      </w:pPr>
      <w:rPr>
        <w:rFonts w:ascii="Wingdings" w:hAnsi="Wingdings" w:hint="default"/>
      </w:rPr>
    </w:lvl>
    <w:lvl w:ilvl="6" w:tplc="320E96F4" w:tentative="1">
      <w:start w:val="1"/>
      <w:numFmt w:val="bullet"/>
      <w:lvlText w:val=""/>
      <w:lvlJc w:val="left"/>
      <w:pPr>
        <w:ind w:left="4680" w:hanging="360"/>
      </w:pPr>
      <w:rPr>
        <w:rFonts w:ascii="Symbol" w:hAnsi="Symbol" w:hint="default"/>
      </w:rPr>
    </w:lvl>
    <w:lvl w:ilvl="7" w:tplc="9FB6B426" w:tentative="1">
      <w:start w:val="1"/>
      <w:numFmt w:val="bullet"/>
      <w:lvlText w:val="o"/>
      <w:lvlJc w:val="left"/>
      <w:pPr>
        <w:ind w:left="5400" w:hanging="360"/>
      </w:pPr>
      <w:rPr>
        <w:rFonts w:ascii="Courier New" w:hAnsi="Courier New" w:cs="Courier New" w:hint="default"/>
      </w:rPr>
    </w:lvl>
    <w:lvl w:ilvl="8" w:tplc="A1AA9CFE" w:tentative="1">
      <w:start w:val="1"/>
      <w:numFmt w:val="bullet"/>
      <w:lvlText w:val=""/>
      <w:lvlJc w:val="left"/>
      <w:pPr>
        <w:ind w:left="6120" w:hanging="360"/>
      </w:pPr>
      <w:rPr>
        <w:rFonts w:ascii="Wingdings" w:hAnsi="Wingdings" w:hint="default"/>
      </w:rPr>
    </w:lvl>
  </w:abstractNum>
  <w:abstractNum w:abstractNumId="11" w15:restartNumberingAfterBreak="0">
    <w:nsid w:val="2B2E3544"/>
    <w:multiLevelType w:val="hybridMultilevel"/>
    <w:tmpl w:val="045A4A28"/>
    <w:lvl w:ilvl="0" w:tplc="691E29D6">
      <w:start w:val="1"/>
      <w:numFmt w:val="lowerRoman"/>
      <w:lvlText w:val="(%1)"/>
      <w:lvlJc w:val="left"/>
      <w:pPr>
        <w:ind w:left="720" w:hanging="720"/>
      </w:pPr>
      <w:rPr>
        <w:rFonts w:hint="default"/>
      </w:rPr>
    </w:lvl>
    <w:lvl w:ilvl="1" w:tplc="7E8889EE" w:tentative="1">
      <w:start w:val="1"/>
      <w:numFmt w:val="lowerLetter"/>
      <w:lvlText w:val="%2."/>
      <w:lvlJc w:val="left"/>
      <w:pPr>
        <w:ind w:left="1080" w:hanging="360"/>
      </w:pPr>
    </w:lvl>
    <w:lvl w:ilvl="2" w:tplc="F0DA7D72" w:tentative="1">
      <w:start w:val="1"/>
      <w:numFmt w:val="lowerRoman"/>
      <w:lvlText w:val="%3."/>
      <w:lvlJc w:val="right"/>
      <w:pPr>
        <w:ind w:left="1800" w:hanging="180"/>
      </w:pPr>
    </w:lvl>
    <w:lvl w:ilvl="3" w:tplc="F8A44B5A" w:tentative="1">
      <w:start w:val="1"/>
      <w:numFmt w:val="decimal"/>
      <w:lvlText w:val="%4."/>
      <w:lvlJc w:val="left"/>
      <w:pPr>
        <w:ind w:left="2520" w:hanging="360"/>
      </w:pPr>
    </w:lvl>
    <w:lvl w:ilvl="4" w:tplc="0950A9BC" w:tentative="1">
      <w:start w:val="1"/>
      <w:numFmt w:val="lowerLetter"/>
      <w:lvlText w:val="%5."/>
      <w:lvlJc w:val="left"/>
      <w:pPr>
        <w:ind w:left="3240" w:hanging="360"/>
      </w:pPr>
    </w:lvl>
    <w:lvl w:ilvl="5" w:tplc="0112925E" w:tentative="1">
      <w:start w:val="1"/>
      <w:numFmt w:val="lowerRoman"/>
      <w:lvlText w:val="%6."/>
      <w:lvlJc w:val="right"/>
      <w:pPr>
        <w:ind w:left="3960" w:hanging="180"/>
      </w:pPr>
    </w:lvl>
    <w:lvl w:ilvl="6" w:tplc="96A49768" w:tentative="1">
      <w:start w:val="1"/>
      <w:numFmt w:val="decimal"/>
      <w:lvlText w:val="%7."/>
      <w:lvlJc w:val="left"/>
      <w:pPr>
        <w:ind w:left="4680" w:hanging="360"/>
      </w:pPr>
    </w:lvl>
    <w:lvl w:ilvl="7" w:tplc="03C4BECE" w:tentative="1">
      <w:start w:val="1"/>
      <w:numFmt w:val="lowerLetter"/>
      <w:lvlText w:val="%8."/>
      <w:lvlJc w:val="left"/>
      <w:pPr>
        <w:ind w:left="5400" w:hanging="360"/>
      </w:pPr>
    </w:lvl>
    <w:lvl w:ilvl="8" w:tplc="64D6EBE4" w:tentative="1">
      <w:start w:val="1"/>
      <w:numFmt w:val="lowerRoman"/>
      <w:lvlText w:val="%9."/>
      <w:lvlJc w:val="right"/>
      <w:pPr>
        <w:ind w:left="6120" w:hanging="180"/>
      </w:pPr>
    </w:lvl>
  </w:abstractNum>
  <w:abstractNum w:abstractNumId="12" w15:restartNumberingAfterBreak="0">
    <w:nsid w:val="30F022EB"/>
    <w:multiLevelType w:val="hybridMultilevel"/>
    <w:tmpl w:val="72F6A1CA"/>
    <w:lvl w:ilvl="0" w:tplc="18C228C0">
      <w:start w:val="1"/>
      <w:numFmt w:val="decimal"/>
      <w:lvlText w:val="%1."/>
      <w:lvlJc w:val="left"/>
      <w:pPr>
        <w:ind w:left="360" w:hanging="360"/>
      </w:pPr>
    </w:lvl>
    <w:lvl w:ilvl="1" w:tplc="BE0A40E8" w:tentative="1">
      <w:start w:val="1"/>
      <w:numFmt w:val="lowerLetter"/>
      <w:lvlText w:val="%2."/>
      <w:lvlJc w:val="left"/>
      <w:pPr>
        <w:ind w:left="1080" w:hanging="360"/>
      </w:pPr>
    </w:lvl>
    <w:lvl w:ilvl="2" w:tplc="62F6DE16" w:tentative="1">
      <w:start w:val="1"/>
      <w:numFmt w:val="lowerRoman"/>
      <w:lvlText w:val="%3."/>
      <w:lvlJc w:val="right"/>
      <w:pPr>
        <w:ind w:left="1800" w:hanging="180"/>
      </w:pPr>
    </w:lvl>
    <w:lvl w:ilvl="3" w:tplc="A0E03642" w:tentative="1">
      <w:start w:val="1"/>
      <w:numFmt w:val="decimal"/>
      <w:lvlText w:val="%4."/>
      <w:lvlJc w:val="left"/>
      <w:pPr>
        <w:ind w:left="2520" w:hanging="360"/>
      </w:pPr>
    </w:lvl>
    <w:lvl w:ilvl="4" w:tplc="E4761350" w:tentative="1">
      <w:start w:val="1"/>
      <w:numFmt w:val="lowerLetter"/>
      <w:lvlText w:val="%5."/>
      <w:lvlJc w:val="left"/>
      <w:pPr>
        <w:ind w:left="3240" w:hanging="360"/>
      </w:pPr>
    </w:lvl>
    <w:lvl w:ilvl="5" w:tplc="332EE620" w:tentative="1">
      <w:start w:val="1"/>
      <w:numFmt w:val="lowerRoman"/>
      <w:lvlText w:val="%6."/>
      <w:lvlJc w:val="right"/>
      <w:pPr>
        <w:ind w:left="3960" w:hanging="180"/>
      </w:pPr>
    </w:lvl>
    <w:lvl w:ilvl="6" w:tplc="EAF0BBE6" w:tentative="1">
      <w:start w:val="1"/>
      <w:numFmt w:val="decimal"/>
      <w:lvlText w:val="%7."/>
      <w:lvlJc w:val="left"/>
      <w:pPr>
        <w:ind w:left="4680" w:hanging="360"/>
      </w:pPr>
    </w:lvl>
    <w:lvl w:ilvl="7" w:tplc="E5E40528" w:tentative="1">
      <w:start w:val="1"/>
      <w:numFmt w:val="lowerLetter"/>
      <w:lvlText w:val="%8."/>
      <w:lvlJc w:val="left"/>
      <w:pPr>
        <w:ind w:left="5400" w:hanging="360"/>
      </w:pPr>
    </w:lvl>
    <w:lvl w:ilvl="8" w:tplc="08C02DC2" w:tentative="1">
      <w:start w:val="1"/>
      <w:numFmt w:val="lowerRoman"/>
      <w:lvlText w:val="%9."/>
      <w:lvlJc w:val="right"/>
      <w:pPr>
        <w:ind w:left="6120" w:hanging="180"/>
      </w:pPr>
    </w:lvl>
  </w:abstractNum>
  <w:abstractNum w:abstractNumId="13" w15:restartNumberingAfterBreak="0">
    <w:nsid w:val="31293A2B"/>
    <w:multiLevelType w:val="hybridMultilevel"/>
    <w:tmpl w:val="752CAFAE"/>
    <w:lvl w:ilvl="0" w:tplc="EC54EB48">
      <w:start w:val="19"/>
      <w:numFmt w:val="bullet"/>
      <w:lvlText w:val="-"/>
      <w:lvlJc w:val="left"/>
      <w:pPr>
        <w:ind w:left="720" w:hanging="360"/>
      </w:pPr>
      <w:rPr>
        <w:rFonts w:ascii="Calibri" w:eastAsiaTheme="minorHAnsi" w:hAnsi="Calibri" w:cs="Calibri" w:hint="default"/>
      </w:rPr>
    </w:lvl>
    <w:lvl w:ilvl="1" w:tplc="C79A0210" w:tentative="1">
      <w:start w:val="1"/>
      <w:numFmt w:val="bullet"/>
      <w:lvlText w:val="o"/>
      <w:lvlJc w:val="left"/>
      <w:pPr>
        <w:ind w:left="1440" w:hanging="360"/>
      </w:pPr>
      <w:rPr>
        <w:rFonts w:ascii="Courier New" w:hAnsi="Courier New" w:cs="Courier New" w:hint="default"/>
      </w:rPr>
    </w:lvl>
    <w:lvl w:ilvl="2" w:tplc="573E588E" w:tentative="1">
      <w:start w:val="1"/>
      <w:numFmt w:val="bullet"/>
      <w:lvlText w:val=""/>
      <w:lvlJc w:val="left"/>
      <w:pPr>
        <w:ind w:left="2160" w:hanging="360"/>
      </w:pPr>
      <w:rPr>
        <w:rFonts w:ascii="Wingdings" w:hAnsi="Wingdings" w:hint="default"/>
      </w:rPr>
    </w:lvl>
    <w:lvl w:ilvl="3" w:tplc="D196EE5E" w:tentative="1">
      <w:start w:val="1"/>
      <w:numFmt w:val="bullet"/>
      <w:lvlText w:val=""/>
      <w:lvlJc w:val="left"/>
      <w:pPr>
        <w:ind w:left="2880" w:hanging="360"/>
      </w:pPr>
      <w:rPr>
        <w:rFonts w:ascii="Symbol" w:hAnsi="Symbol" w:hint="default"/>
      </w:rPr>
    </w:lvl>
    <w:lvl w:ilvl="4" w:tplc="29D8A230" w:tentative="1">
      <w:start w:val="1"/>
      <w:numFmt w:val="bullet"/>
      <w:lvlText w:val="o"/>
      <w:lvlJc w:val="left"/>
      <w:pPr>
        <w:ind w:left="3600" w:hanging="360"/>
      </w:pPr>
      <w:rPr>
        <w:rFonts w:ascii="Courier New" w:hAnsi="Courier New" w:cs="Courier New" w:hint="default"/>
      </w:rPr>
    </w:lvl>
    <w:lvl w:ilvl="5" w:tplc="97FAE568" w:tentative="1">
      <w:start w:val="1"/>
      <w:numFmt w:val="bullet"/>
      <w:lvlText w:val=""/>
      <w:lvlJc w:val="left"/>
      <w:pPr>
        <w:ind w:left="4320" w:hanging="360"/>
      </w:pPr>
      <w:rPr>
        <w:rFonts w:ascii="Wingdings" w:hAnsi="Wingdings" w:hint="default"/>
      </w:rPr>
    </w:lvl>
    <w:lvl w:ilvl="6" w:tplc="81089CB4" w:tentative="1">
      <w:start w:val="1"/>
      <w:numFmt w:val="bullet"/>
      <w:lvlText w:val=""/>
      <w:lvlJc w:val="left"/>
      <w:pPr>
        <w:ind w:left="5040" w:hanging="360"/>
      </w:pPr>
      <w:rPr>
        <w:rFonts w:ascii="Symbol" w:hAnsi="Symbol" w:hint="default"/>
      </w:rPr>
    </w:lvl>
    <w:lvl w:ilvl="7" w:tplc="1AEC1E12" w:tentative="1">
      <w:start w:val="1"/>
      <w:numFmt w:val="bullet"/>
      <w:lvlText w:val="o"/>
      <w:lvlJc w:val="left"/>
      <w:pPr>
        <w:ind w:left="5760" w:hanging="360"/>
      </w:pPr>
      <w:rPr>
        <w:rFonts w:ascii="Courier New" w:hAnsi="Courier New" w:cs="Courier New" w:hint="default"/>
      </w:rPr>
    </w:lvl>
    <w:lvl w:ilvl="8" w:tplc="0ED42E60" w:tentative="1">
      <w:start w:val="1"/>
      <w:numFmt w:val="bullet"/>
      <w:lvlText w:val=""/>
      <w:lvlJc w:val="left"/>
      <w:pPr>
        <w:ind w:left="6480" w:hanging="360"/>
      </w:pPr>
      <w:rPr>
        <w:rFonts w:ascii="Wingdings" w:hAnsi="Wingdings" w:hint="default"/>
      </w:rPr>
    </w:lvl>
  </w:abstractNum>
  <w:abstractNum w:abstractNumId="14" w15:restartNumberingAfterBreak="0">
    <w:nsid w:val="35356CF7"/>
    <w:multiLevelType w:val="hybridMultilevel"/>
    <w:tmpl w:val="3604AF3C"/>
    <w:lvl w:ilvl="0" w:tplc="C324D53E">
      <w:start w:val="13"/>
      <w:numFmt w:val="bullet"/>
      <w:lvlText w:val="-"/>
      <w:lvlJc w:val="left"/>
      <w:pPr>
        <w:ind w:left="720" w:hanging="360"/>
      </w:pPr>
      <w:rPr>
        <w:rFonts w:ascii="Calibri" w:eastAsia="Calibri" w:hAnsi="Calibri" w:cs="Calibri" w:hint="default"/>
        <w:strike w:val="0"/>
        <w:dstrike w:val="0"/>
        <w:u w:val="none"/>
        <w:effect w:val="none"/>
      </w:rPr>
    </w:lvl>
    <w:lvl w:ilvl="1" w:tplc="4DB0CD46">
      <w:start w:val="1"/>
      <w:numFmt w:val="bullet"/>
      <w:lvlText w:val="o"/>
      <w:lvlJc w:val="left"/>
      <w:pPr>
        <w:ind w:left="1440" w:hanging="360"/>
      </w:pPr>
      <w:rPr>
        <w:rFonts w:ascii="Courier New" w:hAnsi="Courier New" w:cs="Courier New" w:hint="default"/>
      </w:rPr>
    </w:lvl>
    <w:lvl w:ilvl="2" w:tplc="827EBD4C">
      <w:start w:val="1"/>
      <w:numFmt w:val="bullet"/>
      <w:lvlText w:val=""/>
      <w:lvlJc w:val="left"/>
      <w:pPr>
        <w:ind w:left="2160" w:hanging="360"/>
      </w:pPr>
      <w:rPr>
        <w:rFonts w:ascii="Wingdings" w:hAnsi="Wingdings" w:hint="default"/>
      </w:rPr>
    </w:lvl>
    <w:lvl w:ilvl="3" w:tplc="C4BA9692">
      <w:start w:val="1"/>
      <w:numFmt w:val="bullet"/>
      <w:lvlText w:val=""/>
      <w:lvlJc w:val="left"/>
      <w:pPr>
        <w:ind w:left="2880" w:hanging="360"/>
      </w:pPr>
      <w:rPr>
        <w:rFonts w:ascii="Symbol" w:hAnsi="Symbol" w:hint="default"/>
      </w:rPr>
    </w:lvl>
    <w:lvl w:ilvl="4" w:tplc="F490BAB0">
      <w:start w:val="1"/>
      <w:numFmt w:val="bullet"/>
      <w:lvlText w:val="o"/>
      <w:lvlJc w:val="left"/>
      <w:pPr>
        <w:ind w:left="3600" w:hanging="360"/>
      </w:pPr>
      <w:rPr>
        <w:rFonts w:ascii="Courier New" w:hAnsi="Courier New" w:cs="Courier New" w:hint="default"/>
      </w:rPr>
    </w:lvl>
    <w:lvl w:ilvl="5" w:tplc="AB9E500E">
      <w:start w:val="1"/>
      <w:numFmt w:val="bullet"/>
      <w:lvlText w:val=""/>
      <w:lvlJc w:val="left"/>
      <w:pPr>
        <w:ind w:left="4320" w:hanging="360"/>
      </w:pPr>
      <w:rPr>
        <w:rFonts w:ascii="Wingdings" w:hAnsi="Wingdings" w:hint="default"/>
      </w:rPr>
    </w:lvl>
    <w:lvl w:ilvl="6" w:tplc="7E42465E">
      <w:start w:val="1"/>
      <w:numFmt w:val="bullet"/>
      <w:lvlText w:val=""/>
      <w:lvlJc w:val="left"/>
      <w:pPr>
        <w:ind w:left="5040" w:hanging="360"/>
      </w:pPr>
      <w:rPr>
        <w:rFonts w:ascii="Symbol" w:hAnsi="Symbol" w:hint="default"/>
      </w:rPr>
    </w:lvl>
    <w:lvl w:ilvl="7" w:tplc="E2C8B1CE">
      <w:start w:val="1"/>
      <w:numFmt w:val="bullet"/>
      <w:lvlText w:val="o"/>
      <w:lvlJc w:val="left"/>
      <w:pPr>
        <w:ind w:left="5760" w:hanging="360"/>
      </w:pPr>
      <w:rPr>
        <w:rFonts w:ascii="Courier New" w:hAnsi="Courier New" w:cs="Courier New" w:hint="default"/>
      </w:rPr>
    </w:lvl>
    <w:lvl w:ilvl="8" w:tplc="B16AAFC8">
      <w:start w:val="1"/>
      <w:numFmt w:val="bullet"/>
      <w:lvlText w:val=""/>
      <w:lvlJc w:val="left"/>
      <w:pPr>
        <w:ind w:left="6480" w:hanging="360"/>
      </w:pPr>
      <w:rPr>
        <w:rFonts w:ascii="Wingdings" w:hAnsi="Wingdings" w:hint="default"/>
      </w:rPr>
    </w:lvl>
  </w:abstractNum>
  <w:abstractNum w:abstractNumId="15" w15:restartNumberingAfterBreak="0">
    <w:nsid w:val="35636242"/>
    <w:multiLevelType w:val="hybridMultilevel"/>
    <w:tmpl w:val="AF828A30"/>
    <w:lvl w:ilvl="0" w:tplc="1924EC0C">
      <w:start w:val="1"/>
      <w:numFmt w:val="decimal"/>
      <w:lvlText w:val="%1."/>
      <w:lvlJc w:val="left"/>
      <w:pPr>
        <w:ind w:left="720" w:hanging="360"/>
      </w:pPr>
      <w:rPr>
        <w:rFonts w:hint="default"/>
      </w:rPr>
    </w:lvl>
    <w:lvl w:ilvl="1" w:tplc="45844A52" w:tentative="1">
      <w:start w:val="1"/>
      <w:numFmt w:val="lowerLetter"/>
      <w:lvlText w:val="%2."/>
      <w:lvlJc w:val="left"/>
      <w:pPr>
        <w:ind w:left="1440" w:hanging="360"/>
      </w:pPr>
    </w:lvl>
    <w:lvl w:ilvl="2" w:tplc="B8203B58" w:tentative="1">
      <w:start w:val="1"/>
      <w:numFmt w:val="lowerRoman"/>
      <w:lvlText w:val="%3."/>
      <w:lvlJc w:val="right"/>
      <w:pPr>
        <w:ind w:left="2160" w:hanging="180"/>
      </w:pPr>
    </w:lvl>
    <w:lvl w:ilvl="3" w:tplc="FBDA6ABC" w:tentative="1">
      <w:start w:val="1"/>
      <w:numFmt w:val="decimal"/>
      <w:lvlText w:val="%4."/>
      <w:lvlJc w:val="left"/>
      <w:pPr>
        <w:ind w:left="2880" w:hanging="360"/>
      </w:pPr>
    </w:lvl>
    <w:lvl w:ilvl="4" w:tplc="39C0030A" w:tentative="1">
      <w:start w:val="1"/>
      <w:numFmt w:val="lowerLetter"/>
      <w:lvlText w:val="%5."/>
      <w:lvlJc w:val="left"/>
      <w:pPr>
        <w:ind w:left="3600" w:hanging="360"/>
      </w:pPr>
    </w:lvl>
    <w:lvl w:ilvl="5" w:tplc="E1120A1C" w:tentative="1">
      <w:start w:val="1"/>
      <w:numFmt w:val="lowerRoman"/>
      <w:lvlText w:val="%6."/>
      <w:lvlJc w:val="right"/>
      <w:pPr>
        <w:ind w:left="4320" w:hanging="180"/>
      </w:pPr>
    </w:lvl>
    <w:lvl w:ilvl="6" w:tplc="2420215C" w:tentative="1">
      <w:start w:val="1"/>
      <w:numFmt w:val="decimal"/>
      <w:lvlText w:val="%7."/>
      <w:lvlJc w:val="left"/>
      <w:pPr>
        <w:ind w:left="5040" w:hanging="360"/>
      </w:pPr>
    </w:lvl>
    <w:lvl w:ilvl="7" w:tplc="1234D72C" w:tentative="1">
      <w:start w:val="1"/>
      <w:numFmt w:val="lowerLetter"/>
      <w:lvlText w:val="%8."/>
      <w:lvlJc w:val="left"/>
      <w:pPr>
        <w:ind w:left="5760" w:hanging="360"/>
      </w:pPr>
    </w:lvl>
    <w:lvl w:ilvl="8" w:tplc="49E8C2D8" w:tentative="1">
      <w:start w:val="1"/>
      <w:numFmt w:val="lowerRoman"/>
      <w:lvlText w:val="%9."/>
      <w:lvlJc w:val="right"/>
      <w:pPr>
        <w:ind w:left="6480" w:hanging="180"/>
      </w:pPr>
    </w:lvl>
  </w:abstractNum>
  <w:abstractNum w:abstractNumId="16" w15:restartNumberingAfterBreak="0">
    <w:nsid w:val="393025D8"/>
    <w:multiLevelType w:val="hybridMultilevel"/>
    <w:tmpl w:val="3766C204"/>
    <w:lvl w:ilvl="0" w:tplc="13B0B9DE">
      <w:start w:val="3032"/>
      <w:numFmt w:val="bullet"/>
      <w:lvlText w:val="-"/>
      <w:lvlJc w:val="left"/>
      <w:pPr>
        <w:ind w:left="720" w:hanging="360"/>
      </w:pPr>
      <w:rPr>
        <w:rFonts w:ascii="Arial" w:eastAsia="MS Mincho" w:hAnsi="Arial" w:cs="Arial" w:hint="default"/>
      </w:rPr>
    </w:lvl>
    <w:lvl w:ilvl="1" w:tplc="0F9AD870" w:tentative="1">
      <w:start w:val="1"/>
      <w:numFmt w:val="bullet"/>
      <w:lvlText w:val="o"/>
      <w:lvlJc w:val="left"/>
      <w:pPr>
        <w:ind w:left="1440" w:hanging="360"/>
      </w:pPr>
      <w:rPr>
        <w:rFonts w:ascii="Courier New" w:hAnsi="Courier New" w:cs="Courier New" w:hint="default"/>
      </w:rPr>
    </w:lvl>
    <w:lvl w:ilvl="2" w:tplc="BAB0746E" w:tentative="1">
      <w:start w:val="1"/>
      <w:numFmt w:val="bullet"/>
      <w:lvlText w:val=""/>
      <w:lvlJc w:val="left"/>
      <w:pPr>
        <w:ind w:left="2160" w:hanging="360"/>
      </w:pPr>
      <w:rPr>
        <w:rFonts w:ascii="Wingdings" w:hAnsi="Wingdings" w:hint="default"/>
      </w:rPr>
    </w:lvl>
    <w:lvl w:ilvl="3" w:tplc="2DD495CE" w:tentative="1">
      <w:start w:val="1"/>
      <w:numFmt w:val="bullet"/>
      <w:lvlText w:val=""/>
      <w:lvlJc w:val="left"/>
      <w:pPr>
        <w:ind w:left="2880" w:hanging="360"/>
      </w:pPr>
      <w:rPr>
        <w:rFonts w:ascii="Symbol" w:hAnsi="Symbol" w:hint="default"/>
      </w:rPr>
    </w:lvl>
    <w:lvl w:ilvl="4" w:tplc="7D30FDE6" w:tentative="1">
      <w:start w:val="1"/>
      <w:numFmt w:val="bullet"/>
      <w:lvlText w:val="o"/>
      <w:lvlJc w:val="left"/>
      <w:pPr>
        <w:ind w:left="3600" w:hanging="360"/>
      </w:pPr>
      <w:rPr>
        <w:rFonts w:ascii="Courier New" w:hAnsi="Courier New" w:cs="Courier New" w:hint="default"/>
      </w:rPr>
    </w:lvl>
    <w:lvl w:ilvl="5" w:tplc="27A8C588" w:tentative="1">
      <w:start w:val="1"/>
      <w:numFmt w:val="bullet"/>
      <w:lvlText w:val=""/>
      <w:lvlJc w:val="left"/>
      <w:pPr>
        <w:ind w:left="4320" w:hanging="360"/>
      </w:pPr>
      <w:rPr>
        <w:rFonts w:ascii="Wingdings" w:hAnsi="Wingdings" w:hint="default"/>
      </w:rPr>
    </w:lvl>
    <w:lvl w:ilvl="6" w:tplc="76B0B30C" w:tentative="1">
      <w:start w:val="1"/>
      <w:numFmt w:val="bullet"/>
      <w:lvlText w:val=""/>
      <w:lvlJc w:val="left"/>
      <w:pPr>
        <w:ind w:left="5040" w:hanging="360"/>
      </w:pPr>
      <w:rPr>
        <w:rFonts w:ascii="Symbol" w:hAnsi="Symbol" w:hint="default"/>
      </w:rPr>
    </w:lvl>
    <w:lvl w:ilvl="7" w:tplc="45B4821C" w:tentative="1">
      <w:start w:val="1"/>
      <w:numFmt w:val="bullet"/>
      <w:lvlText w:val="o"/>
      <w:lvlJc w:val="left"/>
      <w:pPr>
        <w:ind w:left="5760" w:hanging="360"/>
      </w:pPr>
      <w:rPr>
        <w:rFonts w:ascii="Courier New" w:hAnsi="Courier New" w:cs="Courier New" w:hint="default"/>
      </w:rPr>
    </w:lvl>
    <w:lvl w:ilvl="8" w:tplc="0AC0A7AA" w:tentative="1">
      <w:start w:val="1"/>
      <w:numFmt w:val="bullet"/>
      <w:lvlText w:val=""/>
      <w:lvlJc w:val="left"/>
      <w:pPr>
        <w:ind w:left="6480" w:hanging="360"/>
      </w:pPr>
      <w:rPr>
        <w:rFonts w:ascii="Wingdings" w:hAnsi="Wingdings" w:hint="default"/>
      </w:rPr>
    </w:lvl>
  </w:abstractNum>
  <w:abstractNum w:abstractNumId="17" w15:restartNumberingAfterBreak="0">
    <w:nsid w:val="3A7D1D20"/>
    <w:multiLevelType w:val="hybridMultilevel"/>
    <w:tmpl w:val="3F5C01B4"/>
    <w:lvl w:ilvl="0" w:tplc="D7D8F4E4">
      <w:start w:val="1"/>
      <w:numFmt w:val="bullet"/>
      <w:lvlText w:val=""/>
      <w:lvlJc w:val="left"/>
      <w:pPr>
        <w:ind w:left="720" w:hanging="360"/>
      </w:pPr>
      <w:rPr>
        <w:rFonts w:ascii="Symbol" w:hAnsi="Symbol" w:hint="default"/>
      </w:rPr>
    </w:lvl>
    <w:lvl w:ilvl="1" w:tplc="7A3CBCF6">
      <w:start w:val="1"/>
      <w:numFmt w:val="bullet"/>
      <w:lvlText w:val="o"/>
      <w:lvlJc w:val="left"/>
      <w:pPr>
        <w:ind w:left="1440" w:hanging="360"/>
      </w:pPr>
      <w:rPr>
        <w:rFonts w:ascii="Courier New" w:hAnsi="Courier New" w:cs="Courier New" w:hint="default"/>
      </w:rPr>
    </w:lvl>
    <w:lvl w:ilvl="2" w:tplc="D6BC9C48" w:tentative="1">
      <w:start w:val="1"/>
      <w:numFmt w:val="bullet"/>
      <w:lvlText w:val=""/>
      <w:lvlJc w:val="left"/>
      <w:pPr>
        <w:ind w:left="2160" w:hanging="360"/>
      </w:pPr>
      <w:rPr>
        <w:rFonts w:ascii="Wingdings" w:hAnsi="Wingdings" w:hint="default"/>
      </w:rPr>
    </w:lvl>
    <w:lvl w:ilvl="3" w:tplc="F1CCB094" w:tentative="1">
      <w:start w:val="1"/>
      <w:numFmt w:val="bullet"/>
      <w:lvlText w:val=""/>
      <w:lvlJc w:val="left"/>
      <w:pPr>
        <w:ind w:left="2880" w:hanging="360"/>
      </w:pPr>
      <w:rPr>
        <w:rFonts w:ascii="Symbol" w:hAnsi="Symbol" w:hint="default"/>
      </w:rPr>
    </w:lvl>
    <w:lvl w:ilvl="4" w:tplc="B1B2983C" w:tentative="1">
      <w:start w:val="1"/>
      <w:numFmt w:val="bullet"/>
      <w:lvlText w:val="o"/>
      <w:lvlJc w:val="left"/>
      <w:pPr>
        <w:ind w:left="3600" w:hanging="360"/>
      </w:pPr>
      <w:rPr>
        <w:rFonts w:ascii="Courier New" w:hAnsi="Courier New" w:cs="Courier New" w:hint="default"/>
      </w:rPr>
    </w:lvl>
    <w:lvl w:ilvl="5" w:tplc="E37EDE82" w:tentative="1">
      <w:start w:val="1"/>
      <w:numFmt w:val="bullet"/>
      <w:lvlText w:val=""/>
      <w:lvlJc w:val="left"/>
      <w:pPr>
        <w:ind w:left="4320" w:hanging="360"/>
      </w:pPr>
      <w:rPr>
        <w:rFonts w:ascii="Wingdings" w:hAnsi="Wingdings" w:hint="default"/>
      </w:rPr>
    </w:lvl>
    <w:lvl w:ilvl="6" w:tplc="CD1682C4" w:tentative="1">
      <w:start w:val="1"/>
      <w:numFmt w:val="bullet"/>
      <w:lvlText w:val=""/>
      <w:lvlJc w:val="left"/>
      <w:pPr>
        <w:ind w:left="5040" w:hanging="360"/>
      </w:pPr>
      <w:rPr>
        <w:rFonts w:ascii="Symbol" w:hAnsi="Symbol" w:hint="default"/>
      </w:rPr>
    </w:lvl>
    <w:lvl w:ilvl="7" w:tplc="FFEA5454" w:tentative="1">
      <w:start w:val="1"/>
      <w:numFmt w:val="bullet"/>
      <w:lvlText w:val="o"/>
      <w:lvlJc w:val="left"/>
      <w:pPr>
        <w:ind w:left="5760" w:hanging="360"/>
      </w:pPr>
      <w:rPr>
        <w:rFonts w:ascii="Courier New" w:hAnsi="Courier New" w:cs="Courier New" w:hint="default"/>
      </w:rPr>
    </w:lvl>
    <w:lvl w:ilvl="8" w:tplc="AD180014" w:tentative="1">
      <w:start w:val="1"/>
      <w:numFmt w:val="bullet"/>
      <w:lvlText w:val=""/>
      <w:lvlJc w:val="left"/>
      <w:pPr>
        <w:ind w:left="6480" w:hanging="360"/>
      </w:pPr>
      <w:rPr>
        <w:rFonts w:ascii="Wingdings" w:hAnsi="Wingdings" w:hint="default"/>
      </w:rPr>
    </w:lvl>
  </w:abstractNum>
  <w:abstractNum w:abstractNumId="18" w15:restartNumberingAfterBreak="0">
    <w:nsid w:val="3BEB5C86"/>
    <w:multiLevelType w:val="hybridMultilevel"/>
    <w:tmpl w:val="DC2AC8D0"/>
    <w:lvl w:ilvl="0" w:tplc="AC9EBE2A">
      <w:numFmt w:val="bullet"/>
      <w:lvlText w:val="-"/>
      <w:lvlJc w:val="left"/>
      <w:pPr>
        <w:ind w:left="720" w:hanging="360"/>
      </w:pPr>
      <w:rPr>
        <w:rFonts w:ascii="Calibri" w:eastAsiaTheme="minorHAnsi" w:hAnsi="Calibri" w:cs="Calibri" w:hint="default"/>
      </w:rPr>
    </w:lvl>
    <w:lvl w:ilvl="1" w:tplc="E9D40A8E" w:tentative="1">
      <w:start w:val="1"/>
      <w:numFmt w:val="bullet"/>
      <w:lvlText w:val="o"/>
      <w:lvlJc w:val="left"/>
      <w:pPr>
        <w:ind w:left="1440" w:hanging="360"/>
      </w:pPr>
      <w:rPr>
        <w:rFonts w:ascii="Courier New" w:hAnsi="Courier New" w:cs="Courier New" w:hint="default"/>
      </w:rPr>
    </w:lvl>
    <w:lvl w:ilvl="2" w:tplc="5B0673A8" w:tentative="1">
      <w:start w:val="1"/>
      <w:numFmt w:val="bullet"/>
      <w:lvlText w:val=""/>
      <w:lvlJc w:val="left"/>
      <w:pPr>
        <w:ind w:left="2160" w:hanging="360"/>
      </w:pPr>
      <w:rPr>
        <w:rFonts w:ascii="Wingdings" w:hAnsi="Wingdings" w:hint="default"/>
      </w:rPr>
    </w:lvl>
    <w:lvl w:ilvl="3" w:tplc="545843A6" w:tentative="1">
      <w:start w:val="1"/>
      <w:numFmt w:val="bullet"/>
      <w:lvlText w:val=""/>
      <w:lvlJc w:val="left"/>
      <w:pPr>
        <w:ind w:left="2880" w:hanging="360"/>
      </w:pPr>
      <w:rPr>
        <w:rFonts w:ascii="Symbol" w:hAnsi="Symbol" w:hint="default"/>
      </w:rPr>
    </w:lvl>
    <w:lvl w:ilvl="4" w:tplc="840AE0B0" w:tentative="1">
      <w:start w:val="1"/>
      <w:numFmt w:val="bullet"/>
      <w:lvlText w:val="o"/>
      <w:lvlJc w:val="left"/>
      <w:pPr>
        <w:ind w:left="3600" w:hanging="360"/>
      </w:pPr>
      <w:rPr>
        <w:rFonts w:ascii="Courier New" w:hAnsi="Courier New" w:cs="Courier New" w:hint="default"/>
      </w:rPr>
    </w:lvl>
    <w:lvl w:ilvl="5" w:tplc="4FA841EC" w:tentative="1">
      <w:start w:val="1"/>
      <w:numFmt w:val="bullet"/>
      <w:lvlText w:val=""/>
      <w:lvlJc w:val="left"/>
      <w:pPr>
        <w:ind w:left="4320" w:hanging="360"/>
      </w:pPr>
      <w:rPr>
        <w:rFonts w:ascii="Wingdings" w:hAnsi="Wingdings" w:hint="default"/>
      </w:rPr>
    </w:lvl>
    <w:lvl w:ilvl="6" w:tplc="561A9882" w:tentative="1">
      <w:start w:val="1"/>
      <w:numFmt w:val="bullet"/>
      <w:lvlText w:val=""/>
      <w:lvlJc w:val="left"/>
      <w:pPr>
        <w:ind w:left="5040" w:hanging="360"/>
      </w:pPr>
      <w:rPr>
        <w:rFonts w:ascii="Symbol" w:hAnsi="Symbol" w:hint="default"/>
      </w:rPr>
    </w:lvl>
    <w:lvl w:ilvl="7" w:tplc="3BB4E866" w:tentative="1">
      <w:start w:val="1"/>
      <w:numFmt w:val="bullet"/>
      <w:lvlText w:val="o"/>
      <w:lvlJc w:val="left"/>
      <w:pPr>
        <w:ind w:left="5760" w:hanging="360"/>
      </w:pPr>
      <w:rPr>
        <w:rFonts w:ascii="Courier New" w:hAnsi="Courier New" w:cs="Courier New" w:hint="default"/>
      </w:rPr>
    </w:lvl>
    <w:lvl w:ilvl="8" w:tplc="4816D40A" w:tentative="1">
      <w:start w:val="1"/>
      <w:numFmt w:val="bullet"/>
      <w:lvlText w:val=""/>
      <w:lvlJc w:val="left"/>
      <w:pPr>
        <w:ind w:left="6480" w:hanging="360"/>
      </w:pPr>
      <w:rPr>
        <w:rFonts w:ascii="Wingdings" w:hAnsi="Wingdings" w:hint="default"/>
      </w:rPr>
    </w:lvl>
  </w:abstractNum>
  <w:abstractNum w:abstractNumId="19" w15:restartNumberingAfterBreak="0">
    <w:nsid w:val="3E8C4ECF"/>
    <w:multiLevelType w:val="hybridMultilevel"/>
    <w:tmpl w:val="0292F972"/>
    <w:lvl w:ilvl="0" w:tplc="5AC00D46">
      <w:start w:val="1"/>
      <w:numFmt w:val="decimal"/>
      <w:lvlText w:val="%1."/>
      <w:lvlJc w:val="left"/>
      <w:pPr>
        <w:ind w:left="720" w:hanging="360"/>
      </w:pPr>
    </w:lvl>
    <w:lvl w:ilvl="1" w:tplc="7A904BA0">
      <w:start w:val="1"/>
      <w:numFmt w:val="bullet"/>
      <w:lvlText w:val="–"/>
      <w:lvlJc w:val="left"/>
      <w:pPr>
        <w:ind w:left="1440" w:hanging="360"/>
      </w:pPr>
      <w:rPr>
        <w:rFonts w:ascii="Times New Roman" w:eastAsiaTheme="minorHAnsi" w:hAnsi="Times New Roman" w:cs="Times New Roman" w:hint="default"/>
      </w:rPr>
    </w:lvl>
    <w:lvl w:ilvl="2" w:tplc="8EEC7D14">
      <w:start w:val="1"/>
      <w:numFmt w:val="lowerRoman"/>
      <w:lvlText w:val="%3."/>
      <w:lvlJc w:val="right"/>
      <w:pPr>
        <w:ind w:left="2160" w:hanging="180"/>
      </w:pPr>
    </w:lvl>
    <w:lvl w:ilvl="3" w:tplc="E1A8A5EC" w:tentative="1">
      <w:start w:val="1"/>
      <w:numFmt w:val="decimal"/>
      <w:lvlText w:val="%4."/>
      <w:lvlJc w:val="left"/>
      <w:pPr>
        <w:ind w:left="2880" w:hanging="360"/>
      </w:pPr>
    </w:lvl>
    <w:lvl w:ilvl="4" w:tplc="C67639E6" w:tentative="1">
      <w:start w:val="1"/>
      <w:numFmt w:val="lowerLetter"/>
      <w:lvlText w:val="%5."/>
      <w:lvlJc w:val="left"/>
      <w:pPr>
        <w:ind w:left="3600" w:hanging="360"/>
      </w:pPr>
    </w:lvl>
    <w:lvl w:ilvl="5" w:tplc="AA82F09C" w:tentative="1">
      <w:start w:val="1"/>
      <w:numFmt w:val="lowerRoman"/>
      <w:lvlText w:val="%6."/>
      <w:lvlJc w:val="right"/>
      <w:pPr>
        <w:ind w:left="4320" w:hanging="180"/>
      </w:pPr>
    </w:lvl>
    <w:lvl w:ilvl="6" w:tplc="3EE0AB76" w:tentative="1">
      <w:start w:val="1"/>
      <w:numFmt w:val="decimal"/>
      <w:lvlText w:val="%7."/>
      <w:lvlJc w:val="left"/>
      <w:pPr>
        <w:ind w:left="5040" w:hanging="360"/>
      </w:pPr>
    </w:lvl>
    <w:lvl w:ilvl="7" w:tplc="659EC9A0" w:tentative="1">
      <w:start w:val="1"/>
      <w:numFmt w:val="lowerLetter"/>
      <w:lvlText w:val="%8."/>
      <w:lvlJc w:val="left"/>
      <w:pPr>
        <w:ind w:left="5760" w:hanging="360"/>
      </w:pPr>
    </w:lvl>
    <w:lvl w:ilvl="8" w:tplc="74B01392" w:tentative="1">
      <w:start w:val="1"/>
      <w:numFmt w:val="lowerRoman"/>
      <w:lvlText w:val="%9."/>
      <w:lvlJc w:val="right"/>
      <w:pPr>
        <w:ind w:left="6480" w:hanging="180"/>
      </w:pPr>
    </w:lvl>
  </w:abstractNum>
  <w:abstractNum w:abstractNumId="20" w15:restartNumberingAfterBreak="0">
    <w:nsid w:val="401C3524"/>
    <w:multiLevelType w:val="hybridMultilevel"/>
    <w:tmpl w:val="A336CBB4"/>
    <w:lvl w:ilvl="0" w:tplc="2C2259D4">
      <w:start w:val="1"/>
      <w:numFmt w:val="bullet"/>
      <w:lvlText w:val=""/>
      <w:lvlJc w:val="left"/>
      <w:pPr>
        <w:ind w:left="360" w:hanging="360"/>
      </w:pPr>
      <w:rPr>
        <w:rFonts w:ascii="Symbol" w:hAnsi="Symbol" w:hint="default"/>
      </w:rPr>
    </w:lvl>
    <w:lvl w:ilvl="1" w:tplc="6F2C668C" w:tentative="1">
      <w:start w:val="1"/>
      <w:numFmt w:val="bullet"/>
      <w:lvlText w:val="o"/>
      <w:lvlJc w:val="left"/>
      <w:pPr>
        <w:ind w:left="1080" w:hanging="360"/>
      </w:pPr>
      <w:rPr>
        <w:rFonts w:ascii="Courier New" w:hAnsi="Courier New" w:cs="Courier New" w:hint="default"/>
      </w:rPr>
    </w:lvl>
    <w:lvl w:ilvl="2" w:tplc="6C849AFE" w:tentative="1">
      <w:start w:val="1"/>
      <w:numFmt w:val="bullet"/>
      <w:lvlText w:val=""/>
      <w:lvlJc w:val="left"/>
      <w:pPr>
        <w:ind w:left="1800" w:hanging="360"/>
      </w:pPr>
      <w:rPr>
        <w:rFonts w:ascii="Wingdings" w:hAnsi="Wingdings" w:hint="default"/>
      </w:rPr>
    </w:lvl>
    <w:lvl w:ilvl="3" w:tplc="9A72B11A" w:tentative="1">
      <w:start w:val="1"/>
      <w:numFmt w:val="bullet"/>
      <w:lvlText w:val=""/>
      <w:lvlJc w:val="left"/>
      <w:pPr>
        <w:ind w:left="2520" w:hanging="360"/>
      </w:pPr>
      <w:rPr>
        <w:rFonts w:ascii="Symbol" w:hAnsi="Symbol" w:hint="default"/>
      </w:rPr>
    </w:lvl>
    <w:lvl w:ilvl="4" w:tplc="D932D44A" w:tentative="1">
      <w:start w:val="1"/>
      <w:numFmt w:val="bullet"/>
      <w:lvlText w:val="o"/>
      <w:lvlJc w:val="left"/>
      <w:pPr>
        <w:ind w:left="3240" w:hanging="360"/>
      </w:pPr>
      <w:rPr>
        <w:rFonts w:ascii="Courier New" w:hAnsi="Courier New" w:cs="Courier New" w:hint="default"/>
      </w:rPr>
    </w:lvl>
    <w:lvl w:ilvl="5" w:tplc="BE321448" w:tentative="1">
      <w:start w:val="1"/>
      <w:numFmt w:val="bullet"/>
      <w:lvlText w:val=""/>
      <w:lvlJc w:val="left"/>
      <w:pPr>
        <w:ind w:left="3960" w:hanging="360"/>
      </w:pPr>
      <w:rPr>
        <w:rFonts w:ascii="Wingdings" w:hAnsi="Wingdings" w:hint="default"/>
      </w:rPr>
    </w:lvl>
    <w:lvl w:ilvl="6" w:tplc="4FB893E0" w:tentative="1">
      <w:start w:val="1"/>
      <w:numFmt w:val="bullet"/>
      <w:lvlText w:val=""/>
      <w:lvlJc w:val="left"/>
      <w:pPr>
        <w:ind w:left="4680" w:hanging="360"/>
      </w:pPr>
      <w:rPr>
        <w:rFonts w:ascii="Symbol" w:hAnsi="Symbol" w:hint="default"/>
      </w:rPr>
    </w:lvl>
    <w:lvl w:ilvl="7" w:tplc="7E364AFE" w:tentative="1">
      <w:start w:val="1"/>
      <w:numFmt w:val="bullet"/>
      <w:lvlText w:val="o"/>
      <w:lvlJc w:val="left"/>
      <w:pPr>
        <w:ind w:left="5400" w:hanging="360"/>
      </w:pPr>
      <w:rPr>
        <w:rFonts w:ascii="Courier New" w:hAnsi="Courier New" w:cs="Courier New" w:hint="default"/>
      </w:rPr>
    </w:lvl>
    <w:lvl w:ilvl="8" w:tplc="57442966" w:tentative="1">
      <w:start w:val="1"/>
      <w:numFmt w:val="bullet"/>
      <w:lvlText w:val=""/>
      <w:lvlJc w:val="left"/>
      <w:pPr>
        <w:ind w:left="6120" w:hanging="360"/>
      </w:pPr>
      <w:rPr>
        <w:rFonts w:ascii="Wingdings" w:hAnsi="Wingdings" w:hint="default"/>
      </w:rPr>
    </w:lvl>
  </w:abstractNum>
  <w:abstractNum w:abstractNumId="21" w15:restartNumberingAfterBreak="0">
    <w:nsid w:val="438744BF"/>
    <w:multiLevelType w:val="hybridMultilevel"/>
    <w:tmpl w:val="4888E040"/>
    <w:lvl w:ilvl="0" w:tplc="F2E61E60">
      <w:start w:val="1"/>
      <w:numFmt w:val="lowerLetter"/>
      <w:lvlText w:val="%1)"/>
      <w:lvlJc w:val="left"/>
      <w:pPr>
        <w:ind w:left="720" w:hanging="360"/>
      </w:pPr>
      <w:rPr>
        <w:rFonts w:hint="default"/>
      </w:rPr>
    </w:lvl>
    <w:lvl w:ilvl="1" w:tplc="BAD882DE" w:tentative="1">
      <w:start w:val="1"/>
      <w:numFmt w:val="lowerLetter"/>
      <w:lvlText w:val="%2."/>
      <w:lvlJc w:val="left"/>
      <w:pPr>
        <w:ind w:left="1440" w:hanging="360"/>
      </w:pPr>
    </w:lvl>
    <w:lvl w:ilvl="2" w:tplc="ED1612E8" w:tentative="1">
      <w:start w:val="1"/>
      <w:numFmt w:val="lowerRoman"/>
      <w:lvlText w:val="%3."/>
      <w:lvlJc w:val="right"/>
      <w:pPr>
        <w:ind w:left="2160" w:hanging="180"/>
      </w:pPr>
    </w:lvl>
    <w:lvl w:ilvl="3" w:tplc="D2464062" w:tentative="1">
      <w:start w:val="1"/>
      <w:numFmt w:val="decimal"/>
      <w:lvlText w:val="%4."/>
      <w:lvlJc w:val="left"/>
      <w:pPr>
        <w:ind w:left="2880" w:hanging="360"/>
      </w:pPr>
    </w:lvl>
    <w:lvl w:ilvl="4" w:tplc="6D7A79B6" w:tentative="1">
      <w:start w:val="1"/>
      <w:numFmt w:val="lowerLetter"/>
      <w:lvlText w:val="%5."/>
      <w:lvlJc w:val="left"/>
      <w:pPr>
        <w:ind w:left="3600" w:hanging="360"/>
      </w:pPr>
    </w:lvl>
    <w:lvl w:ilvl="5" w:tplc="DF208C62" w:tentative="1">
      <w:start w:val="1"/>
      <w:numFmt w:val="lowerRoman"/>
      <w:lvlText w:val="%6."/>
      <w:lvlJc w:val="right"/>
      <w:pPr>
        <w:ind w:left="4320" w:hanging="180"/>
      </w:pPr>
    </w:lvl>
    <w:lvl w:ilvl="6" w:tplc="FBEE6F24" w:tentative="1">
      <w:start w:val="1"/>
      <w:numFmt w:val="decimal"/>
      <w:lvlText w:val="%7."/>
      <w:lvlJc w:val="left"/>
      <w:pPr>
        <w:ind w:left="5040" w:hanging="360"/>
      </w:pPr>
    </w:lvl>
    <w:lvl w:ilvl="7" w:tplc="1DB86C34" w:tentative="1">
      <w:start w:val="1"/>
      <w:numFmt w:val="lowerLetter"/>
      <w:lvlText w:val="%8."/>
      <w:lvlJc w:val="left"/>
      <w:pPr>
        <w:ind w:left="5760" w:hanging="360"/>
      </w:pPr>
    </w:lvl>
    <w:lvl w:ilvl="8" w:tplc="7D7A44C8" w:tentative="1">
      <w:start w:val="1"/>
      <w:numFmt w:val="lowerRoman"/>
      <w:lvlText w:val="%9."/>
      <w:lvlJc w:val="right"/>
      <w:pPr>
        <w:ind w:left="6480" w:hanging="180"/>
      </w:pPr>
    </w:lvl>
  </w:abstractNum>
  <w:abstractNum w:abstractNumId="22" w15:restartNumberingAfterBreak="0">
    <w:nsid w:val="4CC745BB"/>
    <w:multiLevelType w:val="hybridMultilevel"/>
    <w:tmpl w:val="C25A6FB8"/>
    <w:lvl w:ilvl="0" w:tplc="B184C91E">
      <w:start w:val="1"/>
      <w:numFmt w:val="bullet"/>
      <w:lvlText w:val=""/>
      <w:lvlJc w:val="left"/>
      <w:pPr>
        <w:ind w:left="360" w:hanging="360"/>
      </w:pPr>
      <w:rPr>
        <w:rFonts w:ascii="Symbol" w:hAnsi="Symbol" w:hint="default"/>
      </w:rPr>
    </w:lvl>
    <w:lvl w:ilvl="1" w:tplc="3C8C37B4" w:tentative="1">
      <w:start w:val="1"/>
      <w:numFmt w:val="bullet"/>
      <w:lvlText w:val="o"/>
      <w:lvlJc w:val="left"/>
      <w:pPr>
        <w:ind w:left="1080" w:hanging="360"/>
      </w:pPr>
      <w:rPr>
        <w:rFonts w:ascii="Courier New" w:hAnsi="Courier New" w:cs="Courier New" w:hint="default"/>
      </w:rPr>
    </w:lvl>
    <w:lvl w:ilvl="2" w:tplc="40544ECE" w:tentative="1">
      <w:start w:val="1"/>
      <w:numFmt w:val="bullet"/>
      <w:lvlText w:val=""/>
      <w:lvlJc w:val="left"/>
      <w:pPr>
        <w:ind w:left="1800" w:hanging="360"/>
      </w:pPr>
      <w:rPr>
        <w:rFonts w:ascii="Wingdings" w:hAnsi="Wingdings" w:hint="default"/>
      </w:rPr>
    </w:lvl>
    <w:lvl w:ilvl="3" w:tplc="BEB49CC2" w:tentative="1">
      <w:start w:val="1"/>
      <w:numFmt w:val="bullet"/>
      <w:lvlText w:val=""/>
      <w:lvlJc w:val="left"/>
      <w:pPr>
        <w:ind w:left="2520" w:hanging="360"/>
      </w:pPr>
      <w:rPr>
        <w:rFonts w:ascii="Symbol" w:hAnsi="Symbol" w:hint="default"/>
      </w:rPr>
    </w:lvl>
    <w:lvl w:ilvl="4" w:tplc="4498DFDC" w:tentative="1">
      <w:start w:val="1"/>
      <w:numFmt w:val="bullet"/>
      <w:lvlText w:val="o"/>
      <w:lvlJc w:val="left"/>
      <w:pPr>
        <w:ind w:left="3240" w:hanging="360"/>
      </w:pPr>
      <w:rPr>
        <w:rFonts w:ascii="Courier New" w:hAnsi="Courier New" w:cs="Courier New" w:hint="default"/>
      </w:rPr>
    </w:lvl>
    <w:lvl w:ilvl="5" w:tplc="A7B08918" w:tentative="1">
      <w:start w:val="1"/>
      <w:numFmt w:val="bullet"/>
      <w:lvlText w:val=""/>
      <w:lvlJc w:val="left"/>
      <w:pPr>
        <w:ind w:left="3960" w:hanging="360"/>
      </w:pPr>
      <w:rPr>
        <w:rFonts w:ascii="Wingdings" w:hAnsi="Wingdings" w:hint="default"/>
      </w:rPr>
    </w:lvl>
    <w:lvl w:ilvl="6" w:tplc="F1B8ADD6" w:tentative="1">
      <w:start w:val="1"/>
      <w:numFmt w:val="bullet"/>
      <w:lvlText w:val=""/>
      <w:lvlJc w:val="left"/>
      <w:pPr>
        <w:ind w:left="4680" w:hanging="360"/>
      </w:pPr>
      <w:rPr>
        <w:rFonts w:ascii="Symbol" w:hAnsi="Symbol" w:hint="default"/>
      </w:rPr>
    </w:lvl>
    <w:lvl w:ilvl="7" w:tplc="6F5204CA" w:tentative="1">
      <w:start w:val="1"/>
      <w:numFmt w:val="bullet"/>
      <w:lvlText w:val="o"/>
      <w:lvlJc w:val="left"/>
      <w:pPr>
        <w:ind w:left="5400" w:hanging="360"/>
      </w:pPr>
      <w:rPr>
        <w:rFonts w:ascii="Courier New" w:hAnsi="Courier New" w:cs="Courier New" w:hint="default"/>
      </w:rPr>
    </w:lvl>
    <w:lvl w:ilvl="8" w:tplc="1ED8C68A" w:tentative="1">
      <w:start w:val="1"/>
      <w:numFmt w:val="bullet"/>
      <w:lvlText w:val=""/>
      <w:lvlJc w:val="left"/>
      <w:pPr>
        <w:ind w:left="6120" w:hanging="360"/>
      </w:pPr>
      <w:rPr>
        <w:rFonts w:ascii="Wingdings" w:hAnsi="Wingdings" w:hint="default"/>
      </w:rPr>
    </w:lvl>
  </w:abstractNum>
  <w:abstractNum w:abstractNumId="23" w15:restartNumberingAfterBreak="0">
    <w:nsid w:val="4DAE49A0"/>
    <w:multiLevelType w:val="hybridMultilevel"/>
    <w:tmpl w:val="8CD656FA"/>
    <w:lvl w:ilvl="0" w:tplc="F1BEC78C">
      <w:start w:val="1"/>
      <w:numFmt w:val="lowerLetter"/>
      <w:lvlText w:val="%1)"/>
      <w:lvlJc w:val="left"/>
      <w:pPr>
        <w:ind w:left="720" w:hanging="360"/>
      </w:pPr>
      <w:rPr>
        <w:rFonts w:hint="default"/>
      </w:rPr>
    </w:lvl>
    <w:lvl w:ilvl="1" w:tplc="02CE1926" w:tentative="1">
      <w:start w:val="1"/>
      <w:numFmt w:val="lowerLetter"/>
      <w:lvlText w:val="%2."/>
      <w:lvlJc w:val="left"/>
      <w:pPr>
        <w:ind w:left="1440" w:hanging="360"/>
      </w:pPr>
    </w:lvl>
    <w:lvl w:ilvl="2" w:tplc="112E722E" w:tentative="1">
      <w:start w:val="1"/>
      <w:numFmt w:val="lowerRoman"/>
      <w:lvlText w:val="%3."/>
      <w:lvlJc w:val="right"/>
      <w:pPr>
        <w:ind w:left="2160" w:hanging="180"/>
      </w:pPr>
    </w:lvl>
    <w:lvl w:ilvl="3" w:tplc="AAECBEF6" w:tentative="1">
      <w:start w:val="1"/>
      <w:numFmt w:val="decimal"/>
      <w:lvlText w:val="%4."/>
      <w:lvlJc w:val="left"/>
      <w:pPr>
        <w:ind w:left="2880" w:hanging="360"/>
      </w:pPr>
    </w:lvl>
    <w:lvl w:ilvl="4" w:tplc="854AC9A8" w:tentative="1">
      <w:start w:val="1"/>
      <w:numFmt w:val="lowerLetter"/>
      <w:lvlText w:val="%5."/>
      <w:lvlJc w:val="left"/>
      <w:pPr>
        <w:ind w:left="3600" w:hanging="360"/>
      </w:pPr>
    </w:lvl>
    <w:lvl w:ilvl="5" w:tplc="E82A3FCC" w:tentative="1">
      <w:start w:val="1"/>
      <w:numFmt w:val="lowerRoman"/>
      <w:lvlText w:val="%6."/>
      <w:lvlJc w:val="right"/>
      <w:pPr>
        <w:ind w:left="4320" w:hanging="180"/>
      </w:pPr>
    </w:lvl>
    <w:lvl w:ilvl="6" w:tplc="D842FC5C" w:tentative="1">
      <w:start w:val="1"/>
      <w:numFmt w:val="decimal"/>
      <w:lvlText w:val="%7."/>
      <w:lvlJc w:val="left"/>
      <w:pPr>
        <w:ind w:left="5040" w:hanging="360"/>
      </w:pPr>
    </w:lvl>
    <w:lvl w:ilvl="7" w:tplc="E26E5974" w:tentative="1">
      <w:start w:val="1"/>
      <w:numFmt w:val="lowerLetter"/>
      <w:lvlText w:val="%8."/>
      <w:lvlJc w:val="left"/>
      <w:pPr>
        <w:ind w:left="5760" w:hanging="360"/>
      </w:pPr>
    </w:lvl>
    <w:lvl w:ilvl="8" w:tplc="36EEC302" w:tentative="1">
      <w:start w:val="1"/>
      <w:numFmt w:val="lowerRoman"/>
      <w:lvlText w:val="%9."/>
      <w:lvlJc w:val="right"/>
      <w:pPr>
        <w:ind w:left="6480" w:hanging="180"/>
      </w:pPr>
    </w:lvl>
  </w:abstractNum>
  <w:abstractNum w:abstractNumId="24" w15:restartNumberingAfterBreak="0">
    <w:nsid w:val="581902ED"/>
    <w:multiLevelType w:val="hybridMultilevel"/>
    <w:tmpl w:val="B9FEC9C4"/>
    <w:lvl w:ilvl="0" w:tplc="3A005BBA">
      <w:numFmt w:val="bullet"/>
      <w:lvlText w:val="-"/>
      <w:lvlJc w:val="left"/>
      <w:pPr>
        <w:ind w:left="720" w:hanging="360"/>
      </w:pPr>
      <w:rPr>
        <w:rFonts w:ascii="Calibri" w:eastAsia="Calibri" w:hAnsi="Calibri" w:cs="Times New Roman" w:hint="default"/>
      </w:rPr>
    </w:lvl>
    <w:lvl w:ilvl="1" w:tplc="845E8422" w:tentative="1">
      <w:start w:val="1"/>
      <w:numFmt w:val="bullet"/>
      <w:lvlText w:val="o"/>
      <w:lvlJc w:val="left"/>
      <w:pPr>
        <w:ind w:left="1440" w:hanging="360"/>
      </w:pPr>
      <w:rPr>
        <w:rFonts w:ascii="Courier New" w:hAnsi="Courier New" w:cs="Courier New" w:hint="default"/>
      </w:rPr>
    </w:lvl>
    <w:lvl w:ilvl="2" w:tplc="71F2E69C" w:tentative="1">
      <w:start w:val="1"/>
      <w:numFmt w:val="bullet"/>
      <w:lvlText w:val=""/>
      <w:lvlJc w:val="left"/>
      <w:pPr>
        <w:ind w:left="2160" w:hanging="360"/>
      </w:pPr>
      <w:rPr>
        <w:rFonts w:ascii="Wingdings" w:hAnsi="Wingdings" w:hint="default"/>
      </w:rPr>
    </w:lvl>
    <w:lvl w:ilvl="3" w:tplc="7BFCF526" w:tentative="1">
      <w:start w:val="1"/>
      <w:numFmt w:val="bullet"/>
      <w:lvlText w:val=""/>
      <w:lvlJc w:val="left"/>
      <w:pPr>
        <w:ind w:left="2880" w:hanging="360"/>
      </w:pPr>
      <w:rPr>
        <w:rFonts w:ascii="Symbol" w:hAnsi="Symbol" w:hint="default"/>
      </w:rPr>
    </w:lvl>
    <w:lvl w:ilvl="4" w:tplc="50F89C5C" w:tentative="1">
      <w:start w:val="1"/>
      <w:numFmt w:val="bullet"/>
      <w:lvlText w:val="o"/>
      <w:lvlJc w:val="left"/>
      <w:pPr>
        <w:ind w:left="3600" w:hanging="360"/>
      </w:pPr>
      <w:rPr>
        <w:rFonts w:ascii="Courier New" w:hAnsi="Courier New" w:cs="Courier New" w:hint="default"/>
      </w:rPr>
    </w:lvl>
    <w:lvl w:ilvl="5" w:tplc="0A6641EA" w:tentative="1">
      <w:start w:val="1"/>
      <w:numFmt w:val="bullet"/>
      <w:lvlText w:val=""/>
      <w:lvlJc w:val="left"/>
      <w:pPr>
        <w:ind w:left="4320" w:hanging="360"/>
      </w:pPr>
      <w:rPr>
        <w:rFonts w:ascii="Wingdings" w:hAnsi="Wingdings" w:hint="default"/>
      </w:rPr>
    </w:lvl>
    <w:lvl w:ilvl="6" w:tplc="31E208B4" w:tentative="1">
      <w:start w:val="1"/>
      <w:numFmt w:val="bullet"/>
      <w:lvlText w:val=""/>
      <w:lvlJc w:val="left"/>
      <w:pPr>
        <w:ind w:left="5040" w:hanging="360"/>
      </w:pPr>
      <w:rPr>
        <w:rFonts w:ascii="Symbol" w:hAnsi="Symbol" w:hint="default"/>
      </w:rPr>
    </w:lvl>
    <w:lvl w:ilvl="7" w:tplc="5614C5A6" w:tentative="1">
      <w:start w:val="1"/>
      <w:numFmt w:val="bullet"/>
      <w:lvlText w:val="o"/>
      <w:lvlJc w:val="left"/>
      <w:pPr>
        <w:ind w:left="5760" w:hanging="360"/>
      </w:pPr>
      <w:rPr>
        <w:rFonts w:ascii="Courier New" w:hAnsi="Courier New" w:cs="Courier New" w:hint="default"/>
      </w:rPr>
    </w:lvl>
    <w:lvl w:ilvl="8" w:tplc="EF6456CE" w:tentative="1">
      <w:start w:val="1"/>
      <w:numFmt w:val="bullet"/>
      <w:lvlText w:val=""/>
      <w:lvlJc w:val="left"/>
      <w:pPr>
        <w:ind w:left="6480" w:hanging="360"/>
      </w:pPr>
      <w:rPr>
        <w:rFonts w:ascii="Wingdings" w:hAnsi="Wingdings" w:hint="default"/>
      </w:rPr>
    </w:lvl>
  </w:abstractNum>
  <w:abstractNum w:abstractNumId="25" w15:restartNumberingAfterBreak="0">
    <w:nsid w:val="61E9628B"/>
    <w:multiLevelType w:val="hybridMultilevel"/>
    <w:tmpl w:val="63C62FF4"/>
    <w:lvl w:ilvl="0" w:tplc="47143E70">
      <w:numFmt w:val="bullet"/>
      <w:lvlText w:val="-"/>
      <w:lvlJc w:val="left"/>
      <w:pPr>
        <w:ind w:left="720" w:hanging="360"/>
      </w:pPr>
      <w:rPr>
        <w:rFonts w:ascii="Calibri" w:eastAsiaTheme="minorHAnsi" w:hAnsi="Calibri" w:cs="Calibri" w:hint="default"/>
      </w:rPr>
    </w:lvl>
    <w:lvl w:ilvl="1" w:tplc="C5E6C42A" w:tentative="1">
      <w:start w:val="1"/>
      <w:numFmt w:val="bullet"/>
      <w:lvlText w:val="o"/>
      <w:lvlJc w:val="left"/>
      <w:pPr>
        <w:ind w:left="1440" w:hanging="360"/>
      </w:pPr>
      <w:rPr>
        <w:rFonts w:ascii="Courier New" w:hAnsi="Courier New" w:cs="Courier New" w:hint="default"/>
      </w:rPr>
    </w:lvl>
    <w:lvl w:ilvl="2" w:tplc="FB82703A" w:tentative="1">
      <w:start w:val="1"/>
      <w:numFmt w:val="bullet"/>
      <w:lvlText w:val=""/>
      <w:lvlJc w:val="left"/>
      <w:pPr>
        <w:ind w:left="2160" w:hanging="360"/>
      </w:pPr>
      <w:rPr>
        <w:rFonts w:ascii="Wingdings" w:hAnsi="Wingdings" w:hint="default"/>
      </w:rPr>
    </w:lvl>
    <w:lvl w:ilvl="3" w:tplc="F072F7F8" w:tentative="1">
      <w:start w:val="1"/>
      <w:numFmt w:val="bullet"/>
      <w:lvlText w:val=""/>
      <w:lvlJc w:val="left"/>
      <w:pPr>
        <w:ind w:left="2880" w:hanging="360"/>
      </w:pPr>
      <w:rPr>
        <w:rFonts w:ascii="Symbol" w:hAnsi="Symbol" w:hint="default"/>
      </w:rPr>
    </w:lvl>
    <w:lvl w:ilvl="4" w:tplc="AA3E88D4" w:tentative="1">
      <w:start w:val="1"/>
      <w:numFmt w:val="bullet"/>
      <w:lvlText w:val="o"/>
      <w:lvlJc w:val="left"/>
      <w:pPr>
        <w:ind w:left="3600" w:hanging="360"/>
      </w:pPr>
      <w:rPr>
        <w:rFonts w:ascii="Courier New" w:hAnsi="Courier New" w:cs="Courier New" w:hint="default"/>
      </w:rPr>
    </w:lvl>
    <w:lvl w:ilvl="5" w:tplc="8E0CD9E8" w:tentative="1">
      <w:start w:val="1"/>
      <w:numFmt w:val="bullet"/>
      <w:lvlText w:val=""/>
      <w:lvlJc w:val="left"/>
      <w:pPr>
        <w:ind w:left="4320" w:hanging="360"/>
      </w:pPr>
      <w:rPr>
        <w:rFonts w:ascii="Wingdings" w:hAnsi="Wingdings" w:hint="default"/>
      </w:rPr>
    </w:lvl>
    <w:lvl w:ilvl="6" w:tplc="3C6C444C" w:tentative="1">
      <w:start w:val="1"/>
      <w:numFmt w:val="bullet"/>
      <w:lvlText w:val=""/>
      <w:lvlJc w:val="left"/>
      <w:pPr>
        <w:ind w:left="5040" w:hanging="360"/>
      </w:pPr>
      <w:rPr>
        <w:rFonts w:ascii="Symbol" w:hAnsi="Symbol" w:hint="default"/>
      </w:rPr>
    </w:lvl>
    <w:lvl w:ilvl="7" w:tplc="8E827A4E" w:tentative="1">
      <w:start w:val="1"/>
      <w:numFmt w:val="bullet"/>
      <w:lvlText w:val="o"/>
      <w:lvlJc w:val="left"/>
      <w:pPr>
        <w:ind w:left="5760" w:hanging="360"/>
      </w:pPr>
      <w:rPr>
        <w:rFonts w:ascii="Courier New" w:hAnsi="Courier New" w:cs="Courier New" w:hint="default"/>
      </w:rPr>
    </w:lvl>
    <w:lvl w:ilvl="8" w:tplc="936AB510" w:tentative="1">
      <w:start w:val="1"/>
      <w:numFmt w:val="bullet"/>
      <w:lvlText w:val=""/>
      <w:lvlJc w:val="left"/>
      <w:pPr>
        <w:ind w:left="6480" w:hanging="360"/>
      </w:pPr>
      <w:rPr>
        <w:rFonts w:ascii="Wingdings" w:hAnsi="Wingdings" w:hint="default"/>
      </w:rPr>
    </w:lvl>
  </w:abstractNum>
  <w:abstractNum w:abstractNumId="26" w15:restartNumberingAfterBreak="0">
    <w:nsid w:val="64501EAB"/>
    <w:multiLevelType w:val="hybridMultilevel"/>
    <w:tmpl w:val="5C0211AA"/>
    <w:lvl w:ilvl="0" w:tplc="C9FEBCD0">
      <w:numFmt w:val="bullet"/>
      <w:lvlText w:val="-"/>
      <w:lvlJc w:val="left"/>
      <w:pPr>
        <w:ind w:left="720" w:hanging="360"/>
      </w:pPr>
      <w:rPr>
        <w:rFonts w:ascii="Calibri" w:eastAsiaTheme="minorHAnsi" w:hAnsi="Calibri" w:cs="Calibri" w:hint="default"/>
      </w:rPr>
    </w:lvl>
    <w:lvl w:ilvl="1" w:tplc="284420E4" w:tentative="1">
      <w:start w:val="1"/>
      <w:numFmt w:val="bullet"/>
      <w:lvlText w:val="o"/>
      <w:lvlJc w:val="left"/>
      <w:pPr>
        <w:ind w:left="1440" w:hanging="360"/>
      </w:pPr>
      <w:rPr>
        <w:rFonts w:ascii="Courier New" w:hAnsi="Courier New" w:cs="Courier New" w:hint="default"/>
      </w:rPr>
    </w:lvl>
    <w:lvl w:ilvl="2" w:tplc="1938E5F0" w:tentative="1">
      <w:start w:val="1"/>
      <w:numFmt w:val="bullet"/>
      <w:lvlText w:val=""/>
      <w:lvlJc w:val="left"/>
      <w:pPr>
        <w:ind w:left="2160" w:hanging="360"/>
      </w:pPr>
      <w:rPr>
        <w:rFonts w:ascii="Wingdings" w:hAnsi="Wingdings" w:hint="default"/>
      </w:rPr>
    </w:lvl>
    <w:lvl w:ilvl="3" w:tplc="EF7866DC" w:tentative="1">
      <w:start w:val="1"/>
      <w:numFmt w:val="bullet"/>
      <w:lvlText w:val=""/>
      <w:lvlJc w:val="left"/>
      <w:pPr>
        <w:ind w:left="2880" w:hanging="360"/>
      </w:pPr>
      <w:rPr>
        <w:rFonts w:ascii="Symbol" w:hAnsi="Symbol" w:hint="default"/>
      </w:rPr>
    </w:lvl>
    <w:lvl w:ilvl="4" w:tplc="6AB645B2" w:tentative="1">
      <w:start w:val="1"/>
      <w:numFmt w:val="bullet"/>
      <w:lvlText w:val="o"/>
      <w:lvlJc w:val="left"/>
      <w:pPr>
        <w:ind w:left="3600" w:hanging="360"/>
      </w:pPr>
      <w:rPr>
        <w:rFonts w:ascii="Courier New" w:hAnsi="Courier New" w:cs="Courier New" w:hint="default"/>
      </w:rPr>
    </w:lvl>
    <w:lvl w:ilvl="5" w:tplc="16D2C4CA" w:tentative="1">
      <w:start w:val="1"/>
      <w:numFmt w:val="bullet"/>
      <w:lvlText w:val=""/>
      <w:lvlJc w:val="left"/>
      <w:pPr>
        <w:ind w:left="4320" w:hanging="360"/>
      </w:pPr>
      <w:rPr>
        <w:rFonts w:ascii="Wingdings" w:hAnsi="Wingdings" w:hint="default"/>
      </w:rPr>
    </w:lvl>
    <w:lvl w:ilvl="6" w:tplc="1124EF1E" w:tentative="1">
      <w:start w:val="1"/>
      <w:numFmt w:val="bullet"/>
      <w:lvlText w:val=""/>
      <w:lvlJc w:val="left"/>
      <w:pPr>
        <w:ind w:left="5040" w:hanging="360"/>
      </w:pPr>
      <w:rPr>
        <w:rFonts w:ascii="Symbol" w:hAnsi="Symbol" w:hint="default"/>
      </w:rPr>
    </w:lvl>
    <w:lvl w:ilvl="7" w:tplc="EB604F8E" w:tentative="1">
      <w:start w:val="1"/>
      <w:numFmt w:val="bullet"/>
      <w:lvlText w:val="o"/>
      <w:lvlJc w:val="left"/>
      <w:pPr>
        <w:ind w:left="5760" w:hanging="360"/>
      </w:pPr>
      <w:rPr>
        <w:rFonts w:ascii="Courier New" w:hAnsi="Courier New" w:cs="Courier New" w:hint="default"/>
      </w:rPr>
    </w:lvl>
    <w:lvl w:ilvl="8" w:tplc="8F3EB330" w:tentative="1">
      <w:start w:val="1"/>
      <w:numFmt w:val="bullet"/>
      <w:lvlText w:val=""/>
      <w:lvlJc w:val="left"/>
      <w:pPr>
        <w:ind w:left="6480" w:hanging="360"/>
      </w:pPr>
      <w:rPr>
        <w:rFonts w:ascii="Wingdings" w:hAnsi="Wingdings" w:hint="default"/>
      </w:rPr>
    </w:lvl>
  </w:abstractNum>
  <w:abstractNum w:abstractNumId="27" w15:restartNumberingAfterBreak="0">
    <w:nsid w:val="6976167D"/>
    <w:multiLevelType w:val="hybridMultilevel"/>
    <w:tmpl w:val="885E0F5A"/>
    <w:lvl w:ilvl="0" w:tplc="8BD0104C">
      <w:numFmt w:val="bullet"/>
      <w:lvlText w:val="-"/>
      <w:lvlJc w:val="left"/>
      <w:pPr>
        <w:ind w:left="1428" w:hanging="360"/>
      </w:pPr>
      <w:rPr>
        <w:rFonts w:ascii="Calibri" w:eastAsia="Calibri" w:hAnsi="Calibri" w:cs="Calibri" w:hint="default"/>
      </w:rPr>
    </w:lvl>
    <w:lvl w:ilvl="1" w:tplc="BB067F84" w:tentative="1">
      <w:start w:val="1"/>
      <w:numFmt w:val="bullet"/>
      <w:lvlText w:val="o"/>
      <w:lvlJc w:val="left"/>
      <w:pPr>
        <w:ind w:left="2148" w:hanging="360"/>
      </w:pPr>
      <w:rPr>
        <w:rFonts w:ascii="Courier New" w:hAnsi="Courier New" w:cs="Courier New" w:hint="default"/>
      </w:rPr>
    </w:lvl>
    <w:lvl w:ilvl="2" w:tplc="7494E7CC" w:tentative="1">
      <w:start w:val="1"/>
      <w:numFmt w:val="bullet"/>
      <w:lvlText w:val=""/>
      <w:lvlJc w:val="left"/>
      <w:pPr>
        <w:ind w:left="2868" w:hanging="360"/>
      </w:pPr>
      <w:rPr>
        <w:rFonts w:ascii="Wingdings" w:hAnsi="Wingdings" w:hint="default"/>
      </w:rPr>
    </w:lvl>
    <w:lvl w:ilvl="3" w:tplc="40486BD2" w:tentative="1">
      <w:start w:val="1"/>
      <w:numFmt w:val="bullet"/>
      <w:lvlText w:val=""/>
      <w:lvlJc w:val="left"/>
      <w:pPr>
        <w:ind w:left="3588" w:hanging="360"/>
      </w:pPr>
      <w:rPr>
        <w:rFonts w:ascii="Symbol" w:hAnsi="Symbol" w:hint="default"/>
      </w:rPr>
    </w:lvl>
    <w:lvl w:ilvl="4" w:tplc="E0ACE9B2" w:tentative="1">
      <w:start w:val="1"/>
      <w:numFmt w:val="bullet"/>
      <w:lvlText w:val="o"/>
      <w:lvlJc w:val="left"/>
      <w:pPr>
        <w:ind w:left="4308" w:hanging="360"/>
      </w:pPr>
      <w:rPr>
        <w:rFonts w:ascii="Courier New" w:hAnsi="Courier New" w:cs="Courier New" w:hint="default"/>
      </w:rPr>
    </w:lvl>
    <w:lvl w:ilvl="5" w:tplc="E41484CE" w:tentative="1">
      <w:start w:val="1"/>
      <w:numFmt w:val="bullet"/>
      <w:lvlText w:val=""/>
      <w:lvlJc w:val="left"/>
      <w:pPr>
        <w:ind w:left="5028" w:hanging="360"/>
      </w:pPr>
      <w:rPr>
        <w:rFonts w:ascii="Wingdings" w:hAnsi="Wingdings" w:hint="default"/>
      </w:rPr>
    </w:lvl>
    <w:lvl w:ilvl="6" w:tplc="53C8B214" w:tentative="1">
      <w:start w:val="1"/>
      <w:numFmt w:val="bullet"/>
      <w:lvlText w:val=""/>
      <w:lvlJc w:val="left"/>
      <w:pPr>
        <w:ind w:left="5748" w:hanging="360"/>
      </w:pPr>
      <w:rPr>
        <w:rFonts w:ascii="Symbol" w:hAnsi="Symbol" w:hint="default"/>
      </w:rPr>
    </w:lvl>
    <w:lvl w:ilvl="7" w:tplc="2C262ACA" w:tentative="1">
      <w:start w:val="1"/>
      <w:numFmt w:val="bullet"/>
      <w:lvlText w:val="o"/>
      <w:lvlJc w:val="left"/>
      <w:pPr>
        <w:ind w:left="6468" w:hanging="360"/>
      </w:pPr>
      <w:rPr>
        <w:rFonts w:ascii="Courier New" w:hAnsi="Courier New" w:cs="Courier New" w:hint="default"/>
      </w:rPr>
    </w:lvl>
    <w:lvl w:ilvl="8" w:tplc="CBC6FDEA" w:tentative="1">
      <w:start w:val="1"/>
      <w:numFmt w:val="bullet"/>
      <w:lvlText w:val=""/>
      <w:lvlJc w:val="left"/>
      <w:pPr>
        <w:ind w:left="7188" w:hanging="360"/>
      </w:pPr>
      <w:rPr>
        <w:rFonts w:ascii="Wingdings" w:hAnsi="Wingdings" w:hint="default"/>
      </w:rPr>
    </w:lvl>
  </w:abstractNum>
  <w:abstractNum w:abstractNumId="28" w15:restartNumberingAfterBreak="0">
    <w:nsid w:val="6C170AE3"/>
    <w:multiLevelType w:val="hybridMultilevel"/>
    <w:tmpl w:val="623C2150"/>
    <w:lvl w:ilvl="0" w:tplc="F8AA33F0">
      <w:start w:val="8"/>
      <w:numFmt w:val="bullet"/>
      <w:lvlText w:val="-"/>
      <w:lvlJc w:val="left"/>
      <w:pPr>
        <w:ind w:left="720" w:hanging="360"/>
      </w:pPr>
      <w:rPr>
        <w:rFonts w:ascii="Calibri" w:eastAsiaTheme="minorHAnsi" w:hAnsi="Calibri" w:cstheme="minorBidi" w:hint="default"/>
      </w:rPr>
    </w:lvl>
    <w:lvl w:ilvl="1" w:tplc="E9D4F5A2" w:tentative="1">
      <w:start w:val="1"/>
      <w:numFmt w:val="bullet"/>
      <w:lvlText w:val="o"/>
      <w:lvlJc w:val="left"/>
      <w:pPr>
        <w:ind w:left="1440" w:hanging="360"/>
      </w:pPr>
      <w:rPr>
        <w:rFonts w:ascii="Courier New" w:hAnsi="Courier New" w:cs="Courier New" w:hint="default"/>
      </w:rPr>
    </w:lvl>
    <w:lvl w:ilvl="2" w:tplc="ECAAB8D0" w:tentative="1">
      <w:start w:val="1"/>
      <w:numFmt w:val="bullet"/>
      <w:lvlText w:val=""/>
      <w:lvlJc w:val="left"/>
      <w:pPr>
        <w:ind w:left="2160" w:hanging="360"/>
      </w:pPr>
      <w:rPr>
        <w:rFonts w:ascii="Wingdings" w:hAnsi="Wingdings" w:hint="default"/>
      </w:rPr>
    </w:lvl>
    <w:lvl w:ilvl="3" w:tplc="9D9284C6" w:tentative="1">
      <w:start w:val="1"/>
      <w:numFmt w:val="bullet"/>
      <w:lvlText w:val=""/>
      <w:lvlJc w:val="left"/>
      <w:pPr>
        <w:ind w:left="2880" w:hanging="360"/>
      </w:pPr>
      <w:rPr>
        <w:rFonts w:ascii="Symbol" w:hAnsi="Symbol" w:hint="default"/>
      </w:rPr>
    </w:lvl>
    <w:lvl w:ilvl="4" w:tplc="15025F50" w:tentative="1">
      <w:start w:val="1"/>
      <w:numFmt w:val="bullet"/>
      <w:lvlText w:val="o"/>
      <w:lvlJc w:val="left"/>
      <w:pPr>
        <w:ind w:left="3600" w:hanging="360"/>
      </w:pPr>
      <w:rPr>
        <w:rFonts w:ascii="Courier New" w:hAnsi="Courier New" w:cs="Courier New" w:hint="default"/>
      </w:rPr>
    </w:lvl>
    <w:lvl w:ilvl="5" w:tplc="181664CC" w:tentative="1">
      <w:start w:val="1"/>
      <w:numFmt w:val="bullet"/>
      <w:lvlText w:val=""/>
      <w:lvlJc w:val="left"/>
      <w:pPr>
        <w:ind w:left="4320" w:hanging="360"/>
      </w:pPr>
      <w:rPr>
        <w:rFonts w:ascii="Wingdings" w:hAnsi="Wingdings" w:hint="default"/>
      </w:rPr>
    </w:lvl>
    <w:lvl w:ilvl="6" w:tplc="6AFCD5D0" w:tentative="1">
      <w:start w:val="1"/>
      <w:numFmt w:val="bullet"/>
      <w:lvlText w:val=""/>
      <w:lvlJc w:val="left"/>
      <w:pPr>
        <w:ind w:left="5040" w:hanging="360"/>
      </w:pPr>
      <w:rPr>
        <w:rFonts w:ascii="Symbol" w:hAnsi="Symbol" w:hint="default"/>
      </w:rPr>
    </w:lvl>
    <w:lvl w:ilvl="7" w:tplc="18E0994A" w:tentative="1">
      <w:start w:val="1"/>
      <w:numFmt w:val="bullet"/>
      <w:lvlText w:val="o"/>
      <w:lvlJc w:val="left"/>
      <w:pPr>
        <w:ind w:left="5760" w:hanging="360"/>
      </w:pPr>
      <w:rPr>
        <w:rFonts w:ascii="Courier New" w:hAnsi="Courier New" w:cs="Courier New" w:hint="default"/>
      </w:rPr>
    </w:lvl>
    <w:lvl w:ilvl="8" w:tplc="3C0E6016" w:tentative="1">
      <w:start w:val="1"/>
      <w:numFmt w:val="bullet"/>
      <w:lvlText w:val=""/>
      <w:lvlJc w:val="left"/>
      <w:pPr>
        <w:ind w:left="6480" w:hanging="360"/>
      </w:pPr>
      <w:rPr>
        <w:rFonts w:ascii="Wingdings" w:hAnsi="Wingdings" w:hint="default"/>
      </w:rPr>
    </w:lvl>
  </w:abstractNum>
  <w:abstractNum w:abstractNumId="29" w15:restartNumberingAfterBreak="0">
    <w:nsid w:val="6F0267A6"/>
    <w:multiLevelType w:val="hybridMultilevel"/>
    <w:tmpl w:val="CB5061E2"/>
    <w:lvl w:ilvl="0" w:tplc="2A2E719E">
      <w:numFmt w:val="bullet"/>
      <w:lvlText w:val="-"/>
      <w:lvlJc w:val="left"/>
      <w:pPr>
        <w:ind w:left="720" w:hanging="360"/>
      </w:pPr>
      <w:rPr>
        <w:rFonts w:ascii="Helv" w:eastAsiaTheme="minorHAnsi" w:hAnsi="Helv" w:cs="Helv" w:hint="default"/>
      </w:rPr>
    </w:lvl>
    <w:lvl w:ilvl="1" w:tplc="25F0F188" w:tentative="1">
      <w:start w:val="1"/>
      <w:numFmt w:val="bullet"/>
      <w:lvlText w:val="o"/>
      <w:lvlJc w:val="left"/>
      <w:pPr>
        <w:ind w:left="1440" w:hanging="360"/>
      </w:pPr>
      <w:rPr>
        <w:rFonts w:ascii="Courier New" w:hAnsi="Courier New" w:cs="Courier New" w:hint="default"/>
      </w:rPr>
    </w:lvl>
    <w:lvl w:ilvl="2" w:tplc="9BF80AE6" w:tentative="1">
      <w:start w:val="1"/>
      <w:numFmt w:val="bullet"/>
      <w:lvlText w:val=""/>
      <w:lvlJc w:val="left"/>
      <w:pPr>
        <w:ind w:left="2160" w:hanging="360"/>
      </w:pPr>
      <w:rPr>
        <w:rFonts w:ascii="Wingdings" w:hAnsi="Wingdings" w:hint="default"/>
      </w:rPr>
    </w:lvl>
    <w:lvl w:ilvl="3" w:tplc="87B2439E" w:tentative="1">
      <w:start w:val="1"/>
      <w:numFmt w:val="bullet"/>
      <w:lvlText w:val=""/>
      <w:lvlJc w:val="left"/>
      <w:pPr>
        <w:ind w:left="2880" w:hanging="360"/>
      </w:pPr>
      <w:rPr>
        <w:rFonts w:ascii="Symbol" w:hAnsi="Symbol" w:hint="default"/>
      </w:rPr>
    </w:lvl>
    <w:lvl w:ilvl="4" w:tplc="99CA4A88" w:tentative="1">
      <w:start w:val="1"/>
      <w:numFmt w:val="bullet"/>
      <w:lvlText w:val="o"/>
      <w:lvlJc w:val="left"/>
      <w:pPr>
        <w:ind w:left="3600" w:hanging="360"/>
      </w:pPr>
      <w:rPr>
        <w:rFonts w:ascii="Courier New" w:hAnsi="Courier New" w:cs="Courier New" w:hint="default"/>
      </w:rPr>
    </w:lvl>
    <w:lvl w:ilvl="5" w:tplc="D6E0EE5C" w:tentative="1">
      <w:start w:val="1"/>
      <w:numFmt w:val="bullet"/>
      <w:lvlText w:val=""/>
      <w:lvlJc w:val="left"/>
      <w:pPr>
        <w:ind w:left="4320" w:hanging="360"/>
      </w:pPr>
      <w:rPr>
        <w:rFonts w:ascii="Wingdings" w:hAnsi="Wingdings" w:hint="default"/>
      </w:rPr>
    </w:lvl>
    <w:lvl w:ilvl="6" w:tplc="E93C3A8E" w:tentative="1">
      <w:start w:val="1"/>
      <w:numFmt w:val="bullet"/>
      <w:lvlText w:val=""/>
      <w:lvlJc w:val="left"/>
      <w:pPr>
        <w:ind w:left="5040" w:hanging="360"/>
      </w:pPr>
      <w:rPr>
        <w:rFonts w:ascii="Symbol" w:hAnsi="Symbol" w:hint="default"/>
      </w:rPr>
    </w:lvl>
    <w:lvl w:ilvl="7" w:tplc="D888984A" w:tentative="1">
      <w:start w:val="1"/>
      <w:numFmt w:val="bullet"/>
      <w:lvlText w:val="o"/>
      <w:lvlJc w:val="left"/>
      <w:pPr>
        <w:ind w:left="5760" w:hanging="360"/>
      </w:pPr>
      <w:rPr>
        <w:rFonts w:ascii="Courier New" w:hAnsi="Courier New" w:cs="Courier New" w:hint="default"/>
      </w:rPr>
    </w:lvl>
    <w:lvl w:ilvl="8" w:tplc="B3703CC8" w:tentative="1">
      <w:start w:val="1"/>
      <w:numFmt w:val="bullet"/>
      <w:lvlText w:val=""/>
      <w:lvlJc w:val="left"/>
      <w:pPr>
        <w:ind w:left="6480" w:hanging="360"/>
      </w:pPr>
      <w:rPr>
        <w:rFonts w:ascii="Wingdings" w:hAnsi="Wingdings" w:hint="default"/>
      </w:rPr>
    </w:lvl>
  </w:abstractNum>
  <w:abstractNum w:abstractNumId="30" w15:restartNumberingAfterBreak="0">
    <w:nsid w:val="74DA1285"/>
    <w:multiLevelType w:val="hybridMultilevel"/>
    <w:tmpl w:val="4CB41800"/>
    <w:lvl w:ilvl="0" w:tplc="0C0A5382">
      <w:start w:val="1"/>
      <w:numFmt w:val="bullet"/>
      <w:lvlText w:val=""/>
      <w:lvlJc w:val="left"/>
      <w:pPr>
        <w:ind w:left="720" w:hanging="360"/>
      </w:pPr>
      <w:rPr>
        <w:rFonts w:ascii="Symbol" w:hAnsi="Symbol" w:hint="default"/>
      </w:rPr>
    </w:lvl>
    <w:lvl w:ilvl="1" w:tplc="111A7CCC" w:tentative="1">
      <w:start w:val="1"/>
      <w:numFmt w:val="bullet"/>
      <w:lvlText w:val="o"/>
      <w:lvlJc w:val="left"/>
      <w:pPr>
        <w:ind w:left="1440" w:hanging="360"/>
      </w:pPr>
      <w:rPr>
        <w:rFonts w:ascii="Courier New" w:hAnsi="Courier New" w:cs="Courier New" w:hint="default"/>
      </w:rPr>
    </w:lvl>
    <w:lvl w:ilvl="2" w:tplc="0E18ECCC" w:tentative="1">
      <w:start w:val="1"/>
      <w:numFmt w:val="bullet"/>
      <w:lvlText w:val=""/>
      <w:lvlJc w:val="left"/>
      <w:pPr>
        <w:ind w:left="2160" w:hanging="360"/>
      </w:pPr>
      <w:rPr>
        <w:rFonts w:ascii="Wingdings" w:hAnsi="Wingdings" w:hint="default"/>
      </w:rPr>
    </w:lvl>
    <w:lvl w:ilvl="3" w:tplc="F04E5E8C" w:tentative="1">
      <w:start w:val="1"/>
      <w:numFmt w:val="bullet"/>
      <w:lvlText w:val=""/>
      <w:lvlJc w:val="left"/>
      <w:pPr>
        <w:ind w:left="2880" w:hanging="360"/>
      </w:pPr>
      <w:rPr>
        <w:rFonts w:ascii="Symbol" w:hAnsi="Symbol" w:hint="default"/>
      </w:rPr>
    </w:lvl>
    <w:lvl w:ilvl="4" w:tplc="901E4952" w:tentative="1">
      <w:start w:val="1"/>
      <w:numFmt w:val="bullet"/>
      <w:lvlText w:val="o"/>
      <w:lvlJc w:val="left"/>
      <w:pPr>
        <w:ind w:left="3600" w:hanging="360"/>
      </w:pPr>
      <w:rPr>
        <w:rFonts w:ascii="Courier New" w:hAnsi="Courier New" w:cs="Courier New" w:hint="default"/>
      </w:rPr>
    </w:lvl>
    <w:lvl w:ilvl="5" w:tplc="3A240A12" w:tentative="1">
      <w:start w:val="1"/>
      <w:numFmt w:val="bullet"/>
      <w:lvlText w:val=""/>
      <w:lvlJc w:val="left"/>
      <w:pPr>
        <w:ind w:left="4320" w:hanging="360"/>
      </w:pPr>
      <w:rPr>
        <w:rFonts w:ascii="Wingdings" w:hAnsi="Wingdings" w:hint="default"/>
      </w:rPr>
    </w:lvl>
    <w:lvl w:ilvl="6" w:tplc="CED8D39A" w:tentative="1">
      <w:start w:val="1"/>
      <w:numFmt w:val="bullet"/>
      <w:lvlText w:val=""/>
      <w:lvlJc w:val="left"/>
      <w:pPr>
        <w:ind w:left="5040" w:hanging="360"/>
      </w:pPr>
      <w:rPr>
        <w:rFonts w:ascii="Symbol" w:hAnsi="Symbol" w:hint="default"/>
      </w:rPr>
    </w:lvl>
    <w:lvl w:ilvl="7" w:tplc="7BF8755A" w:tentative="1">
      <w:start w:val="1"/>
      <w:numFmt w:val="bullet"/>
      <w:lvlText w:val="o"/>
      <w:lvlJc w:val="left"/>
      <w:pPr>
        <w:ind w:left="5760" w:hanging="360"/>
      </w:pPr>
      <w:rPr>
        <w:rFonts w:ascii="Courier New" w:hAnsi="Courier New" w:cs="Courier New" w:hint="default"/>
      </w:rPr>
    </w:lvl>
    <w:lvl w:ilvl="8" w:tplc="7A12776A" w:tentative="1">
      <w:start w:val="1"/>
      <w:numFmt w:val="bullet"/>
      <w:lvlText w:val=""/>
      <w:lvlJc w:val="left"/>
      <w:pPr>
        <w:ind w:left="6480" w:hanging="360"/>
      </w:pPr>
      <w:rPr>
        <w:rFonts w:ascii="Wingdings" w:hAnsi="Wingdings" w:hint="default"/>
      </w:rPr>
    </w:lvl>
  </w:abstractNum>
  <w:abstractNum w:abstractNumId="31" w15:restartNumberingAfterBreak="0">
    <w:nsid w:val="75004D78"/>
    <w:multiLevelType w:val="hybridMultilevel"/>
    <w:tmpl w:val="845C4212"/>
    <w:lvl w:ilvl="0" w:tplc="9154D70C">
      <w:start w:val="1"/>
      <w:numFmt w:val="bullet"/>
      <w:lvlText w:val=""/>
      <w:lvlJc w:val="left"/>
      <w:pPr>
        <w:ind w:left="720" w:hanging="360"/>
      </w:pPr>
      <w:rPr>
        <w:rFonts w:ascii="Wingdings" w:hAnsi="Wingdings" w:hint="default"/>
      </w:rPr>
    </w:lvl>
    <w:lvl w:ilvl="1" w:tplc="6F347820" w:tentative="1">
      <w:start w:val="1"/>
      <w:numFmt w:val="bullet"/>
      <w:lvlText w:val="o"/>
      <w:lvlJc w:val="left"/>
      <w:pPr>
        <w:ind w:left="1440" w:hanging="360"/>
      </w:pPr>
      <w:rPr>
        <w:rFonts w:ascii="Courier New" w:hAnsi="Courier New" w:cs="Courier New" w:hint="default"/>
      </w:rPr>
    </w:lvl>
    <w:lvl w:ilvl="2" w:tplc="D04A35C0" w:tentative="1">
      <w:start w:val="1"/>
      <w:numFmt w:val="bullet"/>
      <w:lvlText w:val=""/>
      <w:lvlJc w:val="left"/>
      <w:pPr>
        <w:ind w:left="2160" w:hanging="360"/>
      </w:pPr>
      <w:rPr>
        <w:rFonts w:ascii="Wingdings" w:hAnsi="Wingdings" w:hint="default"/>
      </w:rPr>
    </w:lvl>
    <w:lvl w:ilvl="3" w:tplc="5AC0CEF2" w:tentative="1">
      <w:start w:val="1"/>
      <w:numFmt w:val="bullet"/>
      <w:lvlText w:val=""/>
      <w:lvlJc w:val="left"/>
      <w:pPr>
        <w:ind w:left="2880" w:hanging="360"/>
      </w:pPr>
      <w:rPr>
        <w:rFonts w:ascii="Symbol" w:hAnsi="Symbol" w:hint="default"/>
      </w:rPr>
    </w:lvl>
    <w:lvl w:ilvl="4" w:tplc="B84A6DF0" w:tentative="1">
      <w:start w:val="1"/>
      <w:numFmt w:val="bullet"/>
      <w:lvlText w:val="o"/>
      <w:lvlJc w:val="left"/>
      <w:pPr>
        <w:ind w:left="3600" w:hanging="360"/>
      </w:pPr>
      <w:rPr>
        <w:rFonts w:ascii="Courier New" w:hAnsi="Courier New" w:cs="Courier New" w:hint="default"/>
      </w:rPr>
    </w:lvl>
    <w:lvl w:ilvl="5" w:tplc="FED613D4" w:tentative="1">
      <w:start w:val="1"/>
      <w:numFmt w:val="bullet"/>
      <w:lvlText w:val=""/>
      <w:lvlJc w:val="left"/>
      <w:pPr>
        <w:ind w:left="4320" w:hanging="360"/>
      </w:pPr>
      <w:rPr>
        <w:rFonts w:ascii="Wingdings" w:hAnsi="Wingdings" w:hint="default"/>
      </w:rPr>
    </w:lvl>
    <w:lvl w:ilvl="6" w:tplc="F2F69056" w:tentative="1">
      <w:start w:val="1"/>
      <w:numFmt w:val="bullet"/>
      <w:lvlText w:val=""/>
      <w:lvlJc w:val="left"/>
      <w:pPr>
        <w:ind w:left="5040" w:hanging="360"/>
      </w:pPr>
      <w:rPr>
        <w:rFonts w:ascii="Symbol" w:hAnsi="Symbol" w:hint="default"/>
      </w:rPr>
    </w:lvl>
    <w:lvl w:ilvl="7" w:tplc="BAE45FB6" w:tentative="1">
      <w:start w:val="1"/>
      <w:numFmt w:val="bullet"/>
      <w:lvlText w:val="o"/>
      <w:lvlJc w:val="left"/>
      <w:pPr>
        <w:ind w:left="5760" w:hanging="360"/>
      </w:pPr>
      <w:rPr>
        <w:rFonts w:ascii="Courier New" w:hAnsi="Courier New" w:cs="Courier New" w:hint="default"/>
      </w:rPr>
    </w:lvl>
    <w:lvl w:ilvl="8" w:tplc="36F6E916" w:tentative="1">
      <w:start w:val="1"/>
      <w:numFmt w:val="bullet"/>
      <w:lvlText w:val=""/>
      <w:lvlJc w:val="left"/>
      <w:pPr>
        <w:ind w:left="6480" w:hanging="360"/>
      </w:pPr>
      <w:rPr>
        <w:rFonts w:ascii="Wingdings" w:hAnsi="Wingdings" w:hint="default"/>
      </w:rPr>
    </w:lvl>
  </w:abstractNum>
  <w:abstractNum w:abstractNumId="32" w15:restartNumberingAfterBreak="0">
    <w:nsid w:val="7B6C2338"/>
    <w:multiLevelType w:val="hybridMultilevel"/>
    <w:tmpl w:val="F5E4AECC"/>
    <w:lvl w:ilvl="0" w:tplc="1D42D80C">
      <w:start w:val="1"/>
      <w:numFmt w:val="decimal"/>
      <w:lvlText w:val="%1."/>
      <w:lvlJc w:val="left"/>
      <w:pPr>
        <w:ind w:left="360" w:hanging="360"/>
      </w:pPr>
      <w:rPr>
        <w:rFonts w:hint="default"/>
      </w:rPr>
    </w:lvl>
    <w:lvl w:ilvl="1" w:tplc="E2EE4864" w:tentative="1">
      <w:start w:val="1"/>
      <w:numFmt w:val="lowerLetter"/>
      <w:lvlText w:val="%2."/>
      <w:lvlJc w:val="left"/>
      <w:pPr>
        <w:ind w:left="1080" w:hanging="360"/>
      </w:pPr>
    </w:lvl>
    <w:lvl w:ilvl="2" w:tplc="7F1E1EC4" w:tentative="1">
      <w:start w:val="1"/>
      <w:numFmt w:val="lowerRoman"/>
      <w:lvlText w:val="%3."/>
      <w:lvlJc w:val="right"/>
      <w:pPr>
        <w:ind w:left="1800" w:hanging="180"/>
      </w:pPr>
    </w:lvl>
    <w:lvl w:ilvl="3" w:tplc="B49AF1CE" w:tentative="1">
      <w:start w:val="1"/>
      <w:numFmt w:val="decimal"/>
      <w:lvlText w:val="%4."/>
      <w:lvlJc w:val="left"/>
      <w:pPr>
        <w:ind w:left="2520" w:hanging="360"/>
      </w:pPr>
    </w:lvl>
    <w:lvl w:ilvl="4" w:tplc="0C7C7670" w:tentative="1">
      <w:start w:val="1"/>
      <w:numFmt w:val="lowerLetter"/>
      <w:lvlText w:val="%5."/>
      <w:lvlJc w:val="left"/>
      <w:pPr>
        <w:ind w:left="3240" w:hanging="360"/>
      </w:pPr>
    </w:lvl>
    <w:lvl w:ilvl="5" w:tplc="3942EE3C" w:tentative="1">
      <w:start w:val="1"/>
      <w:numFmt w:val="lowerRoman"/>
      <w:lvlText w:val="%6."/>
      <w:lvlJc w:val="right"/>
      <w:pPr>
        <w:ind w:left="3960" w:hanging="180"/>
      </w:pPr>
    </w:lvl>
    <w:lvl w:ilvl="6" w:tplc="28F8FA38" w:tentative="1">
      <w:start w:val="1"/>
      <w:numFmt w:val="decimal"/>
      <w:lvlText w:val="%7."/>
      <w:lvlJc w:val="left"/>
      <w:pPr>
        <w:ind w:left="4680" w:hanging="360"/>
      </w:pPr>
    </w:lvl>
    <w:lvl w:ilvl="7" w:tplc="CDC21252" w:tentative="1">
      <w:start w:val="1"/>
      <w:numFmt w:val="lowerLetter"/>
      <w:lvlText w:val="%8."/>
      <w:lvlJc w:val="left"/>
      <w:pPr>
        <w:ind w:left="5400" w:hanging="360"/>
      </w:pPr>
    </w:lvl>
    <w:lvl w:ilvl="8" w:tplc="50CE669A" w:tentative="1">
      <w:start w:val="1"/>
      <w:numFmt w:val="lowerRoman"/>
      <w:lvlText w:val="%9."/>
      <w:lvlJc w:val="right"/>
      <w:pPr>
        <w:ind w:left="6120" w:hanging="180"/>
      </w:pPr>
    </w:lvl>
  </w:abstractNum>
  <w:num w:numId="1">
    <w:abstractNumId w:val="8"/>
  </w:num>
  <w:num w:numId="2">
    <w:abstractNumId w:val="2"/>
  </w:num>
  <w:num w:numId="3">
    <w:abstractNumId w:val="3"/>
  </w:num>
  <w:num w:numId="4">
    <w:abstractNumId w:val="24"/>
  </w:num>
  <w:num w:numId="5">
    <w:abstractNumId w:val="18"/>
  </w:num>
  <w:num w:numId="6">
    <w:abstractNumId w:val="6"/>
  </w:num>
  <w:num w:numId="7">
    <w:abstractNumId w:val="32"/>
  </w:num>
  <w:num w:numId="8">
    <w:abstractNumId w:val="20"/>
  </w:num>
  <w:num w:numId="9">
    <w:abstractNumId w:val="5"/>
  </w:num>
  <w:num w:numId="10">
    <w:abstractNumId w:val="17"/>
  </w:num>
  <w:num w:numId="11">
    <w:abstractNumId w:val="27"/>
  </w:num>
  <w:num w:numId="12">
    <w:abstractNumId w:val="15"/>
  </w:num>
  <w:num w:numId="13">
    <w:abstractNumId w:val="30"/>
  </w:num>
  <w:num w:numId="14">
    <w:abstractNumId w:val="9"/>
  </w:num>
  <w:num w:numId="15">
    <w:abstractNumId w:val="0"/>
  </w:num>
  <w:num w:numId="16">
    <w:abstractNumId w:val="23"/>
  </w:num>
  <w:num w:numId="17">
    <w:abstractNumId w:val="26"/>
  </w:num>
  <w:num w:numId="18">
    <w:abstractNumId w:val="21"/>
  </w:num>
  <w:num w:numId="19">
    <w:abstractNumId w:val="10"/>
  </w:num>
  <w:num w:numId="20">
    <w:abstractNumId w:val="31"/>
  </w:num>
  <w:num w:numId="21">
    <w:abstractNumId w:val="11"/>
  </w:num>
  <w:num w:numId="22">
    <w:abstractNumId w:val="14"/>
  </w:num>
  <w:num w:numId="23">
    <w:abstractNumId w:val="4"/>
  </w:num>
  <w:num w:numId="24">
    <w:abstractNumId w:val="25"/>
  </w:num>
  <w:num w:numId="25">
    <w:abstractNumId w:val="16"/>
  </w:num>
  <w:num w:numId="26">
    <w:abstractNumId w:val="12"/>
  </w:num>
  <w:num w:numId="27">
    <w:abstractNumId w:val="7"/>
  </w:num>
  <w:num w:numId="28">
    <w:abstractNumId w:val="1"/>
  </w:num>
  <w:num w:numId="29">
    <w:abstractNumId w:val="19"/>
  </w:num>
  <w:num w:numId="30">
    <w:abstractNumId w:val="22"/>
  </w:num>
  <w:num w:numId="31">
    <w:abstractNumId w:val="28"/>
  </w:num>
  <w:num w:numId="32">
    <w:abstractNumId w:val="29"/>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FF9"/>
    <w:rsid w:val="00000CB2"/>
    <w:rsid w:val="00003CC1"/>
    <w:rsid w:val="0000544F"/>
    <w:rsid w:val="00013F62"/>
    <w:rsid w:val="00016FD7"/>
    <w:rsid w:val="000211BC"/>
    <w:rsid w:val="00021A83"/>
    <w:rsid w:val="000309B2"/>
    <w:rsid w:val="000323AA"/>
    <w:rsid w:val="00033C9F"/>
    <w:rsid w:val="00034463"/>
    <w:rsid w:val="000344F9"/>
    <w:rsid w:val="000362EB"/>
    <w:rsid w:val="0003673F"/>
    <w:rsid w:val="000410AE"/>
    <w:rsid w:val="00042E1E"/>
    <w:rsid w:val="0004397C"/>
    <w:rsid w:val="00043D06"/>
    <w:rsid w:val="00043FE5"/>
    <w:rsid w:val="00044FB7"/>
    <w:rsid w:val="0004702E"/>
    <w:rsid w:val="00047C95"/>
    <w:rsid w:val="000529CD"/>
    <w:rsid w:val="00054E91"/>
    <w:rsid w:val="0005587B"/>
    <w:rsid w:val="000562EE"/>
    <w:rsid w:val="00057F65"/>
    <w:rsid w:val="00060900"/>
    <w:rsid w:val="00060DDA"/>
    <w:rsid w:val="0006202D"/>
    <w:rsid w:val="00065EB7"/>
    <w:rsid w:val="00067066"/>
    <w:rsid w:val="00070AF5"/>
    <w:rsid w:val="00071C6A"/>
    <w:rsid w:val="00075111"/>
    <w:rsid w:val="0008097F"/>
    <w:rsid w:val="00081DFC"/>
    <w:rsid w:val="00081F4B"/>
    <w:rsid w:val="0008318F"/>
    <w:rsid w:val="000862B9"/>
    <w:rsid w:val="00087462"/>
    <w:rsid w:val="00091860"/>
    <w:rsid w:val="0009316D"/>
    <w:rsid w:val="00093A46"/>
    <w:rsid w:val="0009472E"/>
    <w:rsid w:val="00095887"/>
    <w:rsid w:val="000A0AD8"/>
    <w:rsid w:val="000A183D"/>
    <w:rsid w:val="000A6A13"/>
    <w:rsid w:val="000B0D6D"/>
    <w:rsid w:val="000B2793"/>
    <w:rsid w:val="000B45A6"/>
    <w:rsid w:val="000C205C"/>
    <w:rsid w:val="000C20E8"/>
    <w:rsid w:val="000C2205"/>
    <w:rsid w:val="000C5B42"/>
    <w:rsid w:val="000D13A0"/>
    <w:rsid w:val="000D25F4"/>
    <w:rsid w:val="000D73EA"/>
    <w:rsid w:val="000D7CA3"/>
    <w:rsid w:val="000E226E"/>
    <w:rsid w:val="000E504E"/>
    <w:rsid w:val="000E6A31"/>
    <w:rsid w:val="000E7159"/>
    <w:rsid w:val="000E7EED"/>
    <w:rsid w:val="000F2B7B"/>
    <w:rsid w:val="000F6762"/>
    <w:rsid w:val="00100EDF"/>
    <w:rsid w:val="0010369D"/>
    <w:rsid w:val="0010448A"/>
    <w:rsid w:val="001044D7"/>
    <w:rsid w:val="001056C7"/>
    <w:rsid w:val="001057BF"/>
    <w:rsid w:val="0010652C"/>
    <w:rsid w:val="001071BF"/>
    <w:rsid w:val="00112512"/>
    <w:rsid w:val="00113363"/>
    <w:rsid w:val="001141FD"/>
    <w:rsid w:val="001146CD"/>
    <w:rsid w:val="00115763"/>
    <w:rsid w:val="00115A69"/>
    <w:rsid w:val="001162D6"/>
    <w:rsid w:val="00122CD8"/>
    <w:rsid w:val="001241AF"/>
    <w:rsid w:val="001250A5"/>
    <w:rsid w:val="0013164F"/>
    <w:rsid w:val="00131663"/>
    <w:rsid w:val="001342EB"/>
    <w:rsid w:val="0013659E"/>
    <w:rsid w:val="00137DAD"/>
    <w:rsid w:val="00143DBE"/>
    <w:rsid w:val="00147945"/>
    <w:rsid w:val="00150A2D"/>
    <w:rsid w:val="00152B2C"/>
    <w:rsid w:val="001530DD"/>
    <w:rsid w:val="00153294"/>
    <w:rsid w:val="00154418"/>
    <w:rsid w:val="00154463"/>
    <w:rsid w:val="00155539"/>
    <w:rsid w:val="00155D6F"/>
    <w:rsid w:val="00156281"/>
    <w:rsid w:val="001574CD"/>
    <w:rsid w:val="00161FB3"/>
    <w:rsid w:val="00162570"/>
    <w:rsid w:val="0016427D"/>
    <w:rsid w:val="00165DF8"/>
    <w:rsid w:val="00166A0C"/>
    <w:rsid w:val="00167583"/>
    <w:rsid w:val="001712ED"/>
    <w:rsid w:val="00177292"/>
    <w:rsid w:val="00181B2C"/>
    <w:rsid w:val="00182468"/>
    <w:rsid w:val="0018589F"/>
    <w:rsid w:val="00185CAE"/>
    <w:rsid w:val="00186C8F"/>
    <w:rsid w:val="0019164A"/>
    <w:rsid w:val="0019171C"/>
    <w:rsid w:val="00193AC8"/>
    <w:rsid w:val="00193DB1"/>
    <w:rsid w:val="00194343"/>
    <w:rsid w:val="00194B2D"/>
    <w:rsid w:val="00197BA3"/>
    <w:rsid w:val="00197D62"/>
    <w:rsid w:val="00197DEE"/>
    <w:rsid w:val="00197EA5"/>
    <w:rsid w:val="001A0A8E"/>
    <w:rsid w:val="001A1BB4"/>
    <w:rsid w:val="001A34DE"/>
    <w:rsid w:val="001A4B91"/>
    <w:rsid w:val="001A72BF"/>
    <w:rsid w:val="001B00A3"/>
    <w:rsid w:val="001B201C"/>
    <w:rsid w:val="001B4D8D"/>
    <w:rsid w:val="001B5C77"/>
    <w:rsid w:val="001B7944"/>
    <w:rsid w:val="001C15DD"/>
    <w:rsid w:val="001C4E39"/>
    <w:rsid w:val="001C5CA9"/>
    <w:rsid w:val="001C6AD7"/>
    <w:rsid w:val="001C7185"/>
    <w:rsid w:val="001D1A48"/>
    <w:rsid w:val="001D260B"/>
    <w:rsid w:val="001D2692"/>
    <w:rsid w:val="001D29AE"/>
    <w:rsid w:val="001D37D4"/>
    <w:rsid w:val="001D7A5C"/>
    <w:rsid w:val="001E31F8"/>
    <w:rsid w:val="001E4FC6"/>
    <w:rsid w:val="001E5C09"/>
    <w:rsid w:val="001E6414"/>
    <w:rsid w:val="001E67F8"/>
    <w:rsid w:val="001E74CC"/>
    <w:rsid w:val="001F0751"/>
    <w:rsid w:val="001F4833"/>
    <w:rsid w:val="001F56D2"/>
    <w:rsid w:val="0020223A"/>
    <w:rsid w:val="00203935"/>
    <w:rsid w:val="00204FFC"/>
    <w:rsid w:val="002109DF"/>
    <w:rsid w:val="00214E66"/>
    <w:rsid w:val="00220444"/>
    <w:rsid w:val="00221DED"/>
    <w:rsid w:val="00226DE9"/>
    <w:rsid w:val="00230217"/>
    <w:rsid w:val="00231A24"/>
    <w:rsid w:val="00231DDD"/>
    <w:rsid w:val="00233116"/>
    <w:rsid w:val="002346B0"/>
    <w:rsid w:val="00235B99"/>
    <w:rsid w:val="00241E2C"/>
    <w:rsid w:val="002468ED"/>
    <w:rsid w:val="00255726"/>
    <w:rsid w:val="00255A94"/>
    <w:rsid w:val="002562A8"/>
    <w:rsid w:val="00257EB8"/>
    <w:rsid w:val="00257FDB"/>
    <w:rsid w:val="002604EF"/>
    <w:rsid w:val="002611F0"/>
    <w:rsid w:val="00261CE5"/>
    <w:rsid w:val="00262C92"/>
    <w:rsid w:val="002632FB"/>
    <w:rsid w:val="00270CE5"/>
    <w:rsid w:val="00270CF8"/>
    <w:rsid w:val="00272529"/>
    <w:rsid w:val="0027357A"/>
    <w:rsid w:val="00274441"/>
    <w:rsid w:val="002745E8"/>
    <w:rsid w:val="00275721"/>
    <w:rsid w:val="00275939"/>
    <w:rsid w:val="00275BBD"/>
    <w:rsid w:val="00277849"/>
    <w:rsid w:val="00283033"/>
    <w:rsid w:val="00284B16"/>
    <w:rsid w:val="002876A9"/>
    <w:rsid w:val="00290F40"/>
    <w:rsid w:val="00292AED"/>
    <w:rsid w:val="00292C52"/>
    <w:rsid w:val="00294B2B"/>
    <w:rsid w:val="002A0992"/>
    <w:rsid w:val="002A10DD"/>
    <w:rsid w:val="002A4869"/>
    <w:rsid w:val="002A4BA7"/>
    <w:rsid w:val="002A51AC"/>
    <w:rsid w:val="002A673E"/>
    <w:rsid w:val="002A7F59"/>
    <w:rsid w:val="002B1A1A"/>
    <w:rsid w:val="002B250C"/>
    <w:rsid w:val="002B2916"/>
    <w:rsid w:val="002B3FAE"/>
    <w:rsid w:val="002B46E1"/>
    <w:rsid w:val="002B49CD"/>
    <w:rsid w:val="002B52DB"/>
    <w:rsid w:val="002B7360"/>
    <w:rsid w:val="002C03D8"/>
    <w:rsid w:val="002C1A60"/>
    <w:rsid w:val="002C3693"/>
    <w:rsid w:val="002C3B6C"/>
    <w:rsid w:val="002D14BD"/>
    <w:rsid w:val="002D4358"/>
    <w:rsid w:val="002E040A"/>
    <w:rsid w:val="002E0E4B"/>
    <w:rsid w:val="002E47FD"/>
    <w:rsid w:val="002E5C54"/>
    <w:rsid w:val="002E6D51"/>
    <w:rsid w:val="002E71BD"/>
    <w:rsid w:val="002F0CE7"/>
    <w:rsid w:val="002F4311"/>
    <w:rsid w:val="002F44E5"/>
    <w:rsid w:val="002F5B84"/>
    <w:rsid w:val="002F61BD"/>
    <w:rsid w:val="003005D9"/>
    <w:rsid w:val="00300B05"/>
    <w:rsid w:val="00302E73"/>
    <w:rsid w:val="0030378F"/>
    <w:rsid w:val="00305058"/>
    <w:rsid w:val="003056FB"/>
    <w:rsid w:val="00305B56"/>
    <w:rsid w:val="00306213"/>
    <w:rsid w:val="00312AF7"/>
    <w:rsid w:val="00312F8F"/>
    <w:rsid w:val="00314773"/>
    <w:rsid w:val="00314A94"/>
    <w:rsid w:val="00315C7C"/>
    <w:rsid w:val="00315FD7"/>
    <w:rsid w:val="00316B67"/>
    <w:rsid w:val="00317E1B"/>
    <w:rsid w:val="003204FC"/>
    <w:rsid w:val="003232FA"/>
    <w:rsid w:val="00324286"/>
    <w:rsid w:val="0032639E"/>
    <w:rsid w:val="00326C25"/>
    <w:rsid w:val="00326E96"/>
    <w:rsid w:val="00332D84"/>
    <w:rsid w:val="00336530"/>
    <w:rsid w:val="003375A2"/>
    <w:rsid w:val="00344B53"/>
    <w:rsid w:val="003543A1"/>
    <w:rsid w:val="0035633E"/>
    <w:rsid w:val="00356EFA"/>
    <w:rsid w:val="00357717"/>
    <w:rsid w:val="00360017"/>
    <w:rsid w:val="00361C9F"/>
    <w:rsid w:val="00362E9B"/>
    <w:rsid w:val="00363A07"/>
    <w:rsid w:val="00363D33"/>
    <w:rsid w:val="003647E1"/>
    <w:rsid w:val="003679CD"/>
    <w:rsid w:val="003725A7"/>
    <w:rsid w:val="00374887"/>
    <w:rsid w:val="00380805"/>
    <w:rsid w:val="00387285"/>
    <w:rsid w:val="00390F8E"/>
    <w:rsid w:val="00392C30"/>
    <w:rsid w:val="00392C95"/>
    <w:rsid w:val="003932CE"/>
    <w:rsid w:val="003943DB"/>
    <w:rsid w:val="00394E8A"/>
    <w:rsid w:val="003A0E6F"/>
    <w:rsid w:val="003A17DA"/>
    <w:rsid w:val="003A1C62"/>
    <w:rsid w:val="003A37DA"/>
    <w:rsid w:val="003B0559"/>
    <w:rsid w:val="003B1AD1"/>
    <w:rsid w:val="003B37AA"/>
    <w:rsid w:val="003B3F84"/>
    <w:rsid w:val="003B4422"/>
    <w:rsid w:val="003B4914"/>
    <w:rsid w:val="003B674A"/>
    <w:rsid w:val="003C1E2A"/>
    <w:rsid w:val="003C1FE1"/>
    <w:rsid w:val="003C3FEF"/>
    <w:rsid w:val="003C597D"/>
    <w:rsid w:val="003C737C"/>
    <w:rsid w:val="003D146A"/>
    <w:rsid w:val="003D19B8"/>
    <w:rsid w:val="003D1B9C"/>
    <w:rsid w:val="003E6913"/>
    <w:rsid w:val="003E6CE5"/>
    <w:rsid w:val="003E7C61"/>
    <w:rsid w:val="003F11C5"/>
    <w:rsid w:val="003F1456"/>
    <w:rsid w:val="003F1468"/>
    <w:rsid w:val="003F4242"/>
    <w:rsid w:val="003F47D1"/>
    <w:rsid w:val="00402B2B"/>
    <w:rsid w:val="00403B0B"/>
    <w:rsid w:val="00403F62"/>
    <w:rsid w:val="00405BA0"/>
    <w:rsid w:val="00405DAA"/>
    <w:rsid w:val="004074CE"/>
    <w:rsid w:val="004107AF"/>
    <w:rsid w:val="00413883"/>
    <w:rsid w:val="00414A63"/>
    <w:rsid w:val="00415FFB"/>
    <w:rsid w:val="00417007"/>
    <w:rsid w:val="00417BF8"/>
    <w:rsid w:val="00421A76"/>
    <w:rsid w:val="00422B4F"/>
    <w:rsid w:val="0042425B"/>
    <w:rsid w:val="00431F4C"/>
    <w:rsid w:val="004326E3"/>
    <w:rsid w:val="00432F60"/>
    <w:rsid w:val="00433360"/>
    <w:rsid w:val="00434328"/>
    <w:rsid w:val="00434968"/>
    <w:rsid w:val="00434CEC"/>
    <w:rsid w:val="00437AD3"/>
    <w:rsid w:val="00441694"/>
    <w:rsid w:val="00442843"/>
    <w:rsid w:val="00444CDF"/>
    <w:rsid w:val="00444FF3"/>
    <w:rsid w:val="004451AD"/>
    <w:rsid w:val="00450DA9"/>
    <w:rsid w:val="00452591"/>
    <w:rsid w:val="00453344"/>
    <w:rsid w:val="00454400"/>
    <w:rsid w:val="0045779E"/>
    <w:rsid w:val="0046017A"/>
    <w:rsid w:val="00461809"/>
    <w:rsid w:val="00463552"/>
    <w:rsid w:val="00463615"/>
    <w:rsid w:val="00464B37"/>
    <w:rsid w:val="00465430"/>
    <w:rsid w:val="00467152"/>
    <w:rsid w:val="004673EE"/>
    <w:rsid w:val="00471AA1"/>
    <w:rsid w:val="00473DF3"/>
    <w:rsid w:val="0047590A"/>
    <w:rsid w:val="0047644A"/>
    <w:rsid w:val="00482C6B"/>
    <w:rsid w:val="00483C85"/>
    <w:rsid w:val="00490C67"/>
    <w:rsid w:val="0049204B"/>
    <w:rsid w:val="004942FD"/>
    <w:rsid w:val="004A1EA0"/>
    <w:rsid w:val="004A6E9E"/>
    <w:rsid w:val="004B27BC"/>
    <w:rsid w:val="004B3DA4"/>
    <w:rsid w:val="004B4C9C"/>
    <w:rsid w:val="004B70CB"/>
    <w:rsid w:val="004C02E7"/>
    <w:rsid w:val="004C5AB3"/>
    <w:rsid w:val="004C5D6C"/>
    <w:rsid w:val="004C6985"/>
    <w:rsid w:val="004C75E2"/>
    <w:rsid w:val="004D1CBF"/>
    <w:rsid w:val="004D2732"/>
    <w:rsid w:val="004D5B4F"/>
    <w:rsid w:val="004D60E3"/>
    <w:rsid w:val="004E364C"/>
    <w:rsid w:val="004E53C8"/>
    <w:rsid w:val="004E5717"/>
    <w:rsid w:val="004E6C57"/>
    <w:rsid w:val="004F09F4"/>
    <w:rsid w:val="004F1BED"/>
    <w:rsid w:val="004F28DA"/>
    <w:rsid w:val="004F2DD4"/>
    <w:rsid w:val="0050052E"/>
    <w:rsid w:val="00502076"/>
    <w:rsid w:val="00503403"/>
    <w:rsid w:val="00505BE0"/>
    <w:rsid w:val="00507E3A"/>
    <w:rsid w:val="0051180F"/>
    <w:rsid w:val="00512C4F"/>
    <w:rsid w:val="00512FC4"/>
    <w:rsid w:val="005139B5"/>
    <w:rsid w:val="00514F43"/>
    <w:rsid w:val="00515DB3"/>
    <w:rsid w:val="00516211"/>
    <w:rsid w:val="005176D4"/>
    <w:rsid w:val="005201B8"/>
    <w:rsid w:val="00520C95"/>
    <w:rsid w:val="00521971"/>
    <w:rsid w:val="00521E65"/>
    <w:rsid w:val="00522BA4"/>
    <w:rsid w:val="00523AFC"/>
    <w:rsid w:val="00525612"/>
    <w:rsid w:val="0052610B"/>
    <w:rsid w:val="00527BF7"/>
    <w:rsid w:val="00531F95"/>
    <w:rsid w:val="005321FF"/>
    <w:rsid w:val="00534910"/>
    <w:rsid w:val="00535D62"/>
    <w:rsid w:val="00540AE3"/>
    <w:rsid w:val="0054365E"/>
    <w:rsid w:val="00543F70"/>
    <w:rsid w:val="0054402C"/>
    <w:rsid w:val="00544D7B"/>
    <w:rsid w:val="0055378C"/>
    <w:rsid w:val="00553BE4"/>
    <w:rsid w:val="00554BA6"/>
    <w:rsid w:val="00560DAD"/>
    <w:rsid w:val="00560EBB"/>
    <w:rsid w:val="00561356"/>
    <w:rsid w:val="005629C2"/>
    <w:rsid w:val="00563F64"/>
    <w:rsid w:val="0056464D"/>
    <w:rsid w:val="00565641"/>
    <w:rsid w:val="00570E02"/>
    <w:rsid w:val="00570F16"/>
    <w:rsid w:val="00570F99"/>
    <w:rsid w:val="0057270F"/>
    <w:rsid w:val="005756BF"/>
    <w:rsid w:val="0058089E"/>
    <w:rsid w:val="0058370C"/>
    <w:rsid w:val="00583B54"/>
    <w:rsid w:val="00584F02"/>
    <w:rsid w:val="00585849"/>
    <w:rsid w:val="00585E95"/>
    <w:rsid w:val="00586610"/>
    <w:rsid w:val="00590201"/>
    <w:rsid w:val="00590677"/>
    <w:rsid w:val="005953D1"/>
    <w:rsid w:val="00596BD0"/>
    <w:rsid w:val="00597FB9"/>
    <w:rsid w:val="005A428A"/>
    <w:rsid w:val="005B1114"/>
    <w:rsid w:val="005B25DD"/>
    <w:rsid w:val="005B295C"/>
    <w:rsid w:val="005B382D"/>
    <w:rsid w:val="005B4D23"/>
    <w:rsid w:val="005B6414"/>
    <w:rsid w:val="005B6B2F"/>
    <w:rsid w:val="005B7B57"/>
    <w:rsid w:val="005C2473"/>
    <w:rsid w:val="005C3222"/>
    <w:rsid w:val="005C3C82"/>
    <w:rsid w:val="005C4322"/>
    <w:rsid w:val="005C4B6C"/>
    <w:rsid w:val="005C4F35"/>
    <w:rsid w:val="005C5591"/>
    <w:rsid w:val="005C6A90"/>
    <w:rsid w:val="005D0C1E"/>
    <w:rsid w:val="005D32F6"/>
    <w:rsid w:val="005D358E"/>
    <w:rsid w:val="005D52C9"/>
    <w:rsid w:val="005D6D25"/>
    <w:rsid w:val="005D78A7"/>
    <w:rsid w:val="005E0C88"/>
    <w:rsid w:val="005E5C1A"/>
    <w:rsid w:val="005E640A"/>
    <w:rsid w:val="005E7861"/>
    <w:rsid w:val="005F06DB"/>
    <w:rsid w:val="005F0FD5"/>
    <w:rsid w:val="005F130B"/>
    <w:rsid w:val="005F15BB"/>
    <w:rsid w:val="005F257D"/>
    <w:rsid w:val="005F4B85"/>
    <w:rsid w:val="005F6B29"/>
    <w:rsid w:val="005F6E30"/>
    <w:rsid w:val="006001DF"/>
    <w:rsid w:val="00600453"/>
    <w:rsid w:val="00601988"/>
    <w:rsid w:val="00605AA0"/>
    <w:rsid w:val="0061143E"/>
    <w:rsid w:val="0061153D"/>
    <w:rsid w:val="00612DD3"/>
    <w:rsid w:val="00613493"/>
    <w:rsid w:val="00613AC0"/>
    <w:rsid w:val="00613BD8"/>
    <w:rsid w:val="006147A0"/>
    <w:rsid w:val="00614DE9"/>
    <w:rsid w:val="0061559A"/>
    <w:rsid w:val="0061764A"/>
    <w:rsid w:val="006204C3"/>
    <w:rsid w:val="00621FE3"/>
    <w:rsid w:val="0062367A"/>
    <w:rsid w:val="006279B1"/>
    <w:rsid w:val="00630E27"/>
    <w:rsid w:val="006310DA"/>
    <w:rsid w:val="00631DA2"/>
    <w:rsid w:val="006335BF"/>
    <w:rsid w:val="00634753"/>
    <w:rsid w:val="0063479B"/>
    <w:rsid w:val="00635A39"/>
    <w:rsid w:val="006372B8"/>
    <w:rsid w:val="00640DCD"/>
    <w:rsid w:val="00641B72"/>
    <w:rsid w:val="00641E5E"/>
    <w:rsid w:val="0064375A"/>
    <w:rsid w:val="006456C3"/>
    <w:rsid w:val="006473AE"/>
    <w:rsid w:val="00652C52"/>
    <w:rsid w:val="006568B8"/>
    <w:rsid w:val="00657C7E"/>
    <w:rsid w:val="00660822"/>
    <w:rsid w:val="00660FD2"/>
    <w:rsid w:val="00661325"/>
    <w:rsid w:val="00661510"/>
    <w:rsid w:val="00663A7C"/>
    <w:rsid w:val="00664379"/>
    <w:rsid w:val="00666908"/>
    <w:rsid w:val="0066718C"/>
    <w:rsid w:val="00670414"/>
    <w:rsid w:val="006707DB"/>
    <w:rsid w:val="00673445"/>
    <w:rsid w:val="006759FB"/>
    <w:rsid w:val="0067744D"/>
    <w:rsid w:val="00684EFD"/>
    <w:rsid w:val="00685178"/>
    <w:rsid w:val="00686467"/>
    <w:rsid w:val="006877F5"/>
    <w:rsid w:val="00690CB6"/>
    <w:rsid w:val="0069341D"/>
    <w:rsid w:val="00693D40"/>
    <w:rsid w:val="00693DC0"/>
    <w:rsid w:val="0069584F"/>
    <w:rsid w:val="00696E23"/>
    <w:rsid w:val="006A1364"/>
    <w:rsid w:val="006A3D29"/>
    <w:rsid w:val="006A4613"/>
    <w:rsid w:val="006A5197"/>
    <w:rsid w:val="006A775A"/>
    <w:rsid w:val="006B76ED"/>
    <w:rsid w:val="006C3649"/>
    <w:rsid w:val="006C5618"/>
    <w:rsid w:val="006C7560"/>
    <w:rsid w:val="006C79C7"/>
    <w:rsid w:val="006D02CF"/>
    <w:rsid w:val="006D055B"/>
    <w:rsid w:val="006D1EB5"/>
    <w:rsid w:val="006D489B"/>
    <w:rsid w:val="006D48BB"/>
    <w:rsid w:val="006E05CE"/>
    <w:rsid w:val="006E17A2"/>
    <w:rsid w:val="006E241D"/>
    <w:rsid w:val="006E2E19"/>
    <w:rsid w:val="006E3D8F"/>
    <w:rsid w:val="006E4126"/>
    <w:rsid w:val="006E4830"/>
    <w:rsid w:val="006E600C"/>
    <w:rsid w:val="006F17BF"/>
    <w:rsid w:val="006F31AD"/>
    <w:rsid w:val="006F4D0B"/>
    <w:rsid w:val="006F624E"/>
    <w:rsid w:val="00701420"/>
    <w:rsid w:val="00702A66"/>
    <w:rsid w:val="007063A6"/>
    <w:rsid w:val="00706F39"/>
    <w:rsid w:val="00712E46"/>
    <w:rsid w:val="007208E5"/>
    <w:rsid w:val="00721393"/>
    <w:rsid w:val="00721624"/>
    <w:rsid w:val="00721A7A"/>
    <w:rsid w:val="00722931"/>
    <w:rsid w:val="00730CFC"/>
    <w:rsid w:val="007313CA"/>
    <w:rsid w:val="0073220E"/>
    <w:rsid w:val="00733E7D"/>
    <w:rsid w:val="007348CE"/>
    <w:rsid w:val="00740295"/>
    <w:rsid w:val="0074090E"/>
    <w:rsid w:val="007435FF"/>
    <w:rsid w:val="007478DF"/>
    <w:rsid w:val="00752040"/>
    <w:rsid w:val="00755DD8"/>
    <w:rsid w:val="0075628D"/>
    <w:rsid w:val="007607A5"/>
    <w:rsid w:val="00763A52"/>
    <w:rsid w:val="007664B4"/>
    <w:rsid w:val="00766C35"/>
    <w:rsid w:val="00766F26"/>
    <w:rsid w:val="007675D2"/>
    <w:rsid w:val="00767872"/>
    <w:rsid w:val="00770375"/>
    <w:rsid w:val="00771309"/>
    <w:rsid w:val="00773D4A"/>
    <w:rsid w:val="00775460"/>
    <w:rsid w:val="00777E51"/>
    <w:rsid w:val="00780609"/>
    <w:rsid w:val="0078351C"/>
    <w:rsid w:val="00786C72"/>
    <w:rsid w:val="007871F6"/>
    <w:rsid w:val="00790C5D"/>
    <w:rsid w:val="007910D7"/>
    <w:rsid w:val="0079165B"/>
    <w:rsid w:val="00792279"/>
    <w:rsid w:val="0079253A"/>
    <w:rsid w:val="00794F8D"/>
    <w:rsid w:val="007977A2"/>
    <w:rsid w:val="00797B85"/>
    <w:rsid w:val="007A35C9"/>
    <w:rsid w:val="007A3E83"/>
    <w:rsid w:val="007A545A"/>
    <w:rsid w:val="007A6032"/>
    <w:rsid w:val="007B07CA"/>
    <w:rsid w:val="007B1FB4"/>
    <w:rsid w:val="007B66B5"/>
    <w:rsid w:val="007C0A77"/>
    <w:rsid w:val="007C255B"/>
    <w:rsid w:val="007C3A33"/>
    <w:rsid w:val="007C451C"/>
    <w:rsid w:val="007D54EE"/>
    <w:rsid w:val="007D5C8E"/>
    <w:rsid w:val="007E01C6"/>
    <w:rsid w:val="007E27A9"/>
    <w:rsid w:val="007E3F06"/>
    <w:rsid w:val="007E4D12"/>
    <w:rsid w:val="007E53F9"/>
    <w:rsid w:val="007E6081"/>
    <w:rsid w:val="007E6F5D"/>
    <w:rsid w:val="007F089C"/>
    <w:rsid w:val="008002FF"/>
    <w:rsid w:val="00801E45"/>
    <w:rsid w:val="00804A7B"/>
    <w:rsid w:val="0080657E"/>
    <w:rsid w:val="00807671"/>
    <w:rsid w:val="00810718"/>
    <w:rsid w:val="00811AED"/>
    <w:rsid w:val="008122D3"/>
    <w:rsid w:val="00814672"/>
    <w:rsid w:val="008155BD"/>
    <w:rsid w:val="00816089"/>
    <w:rsid w:val="00816AA9"/>
    <w:rsid w:val="00817594"/>
    <w:rsid w:val="00817C9D"/>
    <w:rsid w:val="00820759"/>
    <w:rsid w:val="008211C4"/>
    <w:rsid w:val="00821C6C"/>
    <w:rsid w:val="00821FCB"/>
    <w:rsid w:val="008238DC"/>
    <w:rsid w:val="00824772"/>
    <w:rsid w:val="00824B1F"/>
    <w:rsid w:val="00824FDE"/>
    <w:rsid w:val="008252BE"/>
    <w:rsid w:val="00826BEF"/>
    <w:rsid w:val="00831B1E"/>
    <w:rsid w:val="00831DD9"/>
    <w:rsid w:val="00833616"/>
    <w:rsid w:val="008353CB"/>
    <w:rsid w:val="00835E4F"/>
    <w:rsid w:val="008370EF"/>
    <w:rsid w:val="00840905"/>
    <w:rsid w:val="0084122A"/>
    <w:rsid w:val="00841406"/>
    <w:rsid w:val="00842BA9"/>
    <w:rsid w:val="00843CAE"/>
    <w:rsid w:val="0084660D"/>
    <w:rsid w:val="0084668D"/>
    <w:rsid w:val="00846E45"/>
    <w:rsid w:val="00852BA8"/>
    <w:rsid w:val="00856A85"/>
    <w:rsid w:val="00857F96"/>
    <w:rsid w:val="00861218"/>
    <w:rsid w:val="00863EB9"/>
    <w:rsid w:val="0086479F"/>
    <w:rsid w:val="00864A63"/>
    <w:rsid w:val="008651E0"/>
    <w:rsid w:val="008666A1"/>
    <w:rsid w:val="00866B3F"/>
    <w:rsid w:val="00866D8F"/>
    <w:rsid w:val="008706EF"/>
    <w:rsid w:val="00871BC3"/>
    <w:rsid w:val="00872602"/>
    <w:rsid w:val="008726C8"/>
    <w:rsid w:val="00872B83"/>
    <w:rsid w:val="00874027"/>
    <w:rsid w:val="0087477C"/>
    <w:rsid w:val="00874C8B"/>
    <w:rsid w:val="00874E0F"/>
    <w:rsid w:val="00876AE0"/>
    <w:rsid w:val="00880DA7"/>
    <w:rsid w:val="008825EA"/>
    <w:rsid w:val="00882E79"/>
    <w:rsid w:val="00883E08"/>
    <w:rsid w:val="00895A3D"/>
    <w:rsid w:val="00896671"/>
    <w:rsid w:val="008A4D4D"/>
    <w:rsid w:val="008B0C5B"/>
    <w:rsid w:val="008B1B7F"/>
    <w:rsid w:val="008B2FEC"/>
    <w:rsid w:val="008B39DA"/>
    <w:rsid w:val="008B42D7"/>
    <w:rsid w:val="008B699E"/>
    <w:rsid w:val="008C02ED"/>
    <w:rsid w:val="008C0497"/>
    <w:rsid w:val="008C1953"/>
    <w:rsid w:val="008C1A7E"/>
    <w:rsid w:val="008C2C0C"/>
    <w:rsid w:val="008C3141"/>
    <w:rsid w:val="008C381D"/>
    <w:rsid w:val="008C4A68"/>
    <w:rsid w:val="008C5C0C"/>
    <w:rsid w:val="008C651D"/>
    <w:rsid w:val="008C7175"/>
    <w:rsid w:val="008D10C5"/>
    <w:rsid w:val="008D41F4"/>
    <w:rsid w:val="008D4756"/>
    <w:rsid w:val="008D4B36"/>
    <w:rsid w:val="008D53F5"/>
    <w:rsid w:val="008E2590"/>
    <w:rsid w:val="008E3054"/>
    <w:rsid w:val="008E42FF"/>
    <w:rsid w:val="008E6667"/>
    <w:rsid w:val="008E6EE6"/>
    <w:rsid w:val="008F14C6"/>
    <w:rsid w:val="008F703A"/>
    <w:rsid w:val="008F7DDE"/>
    <w:rsid w:val="00900383"/>
    <w:rsid w:val="00901714"/>
    <w:rsid w:val="009017B3"/>
    <w:rsid w:val="00902417"/>
    <w:rsid w:val="0090332E"/>
    <w:rsid w:val="00905E97"/>
    <w:rsid w:val="00905F3F"/>
    <w:rsid w:val="009145CA"/>
    <w:rsid w:val="00915693"/>
    <w:rsid w:val="00920B3D"/>
    <w:rsid w:val="009213A6"/>
    <w:rsid w:val="00921A14"/>
    <w:rsid w:val="00922E16"/>
    <w:rsid w:val="00926F84"/>
    <w:rsid w:val="00930594"/>
    <w:rsid w:val="009314FF"/>
    <w:rsid w:val="00933918"/>
    <w:rsid w:val="00935CEB"/>
    <w:rsid w:val="009401C6"/>
    <w:rsid w:val="00941B8B"/>
    <w:rsid w:val="00941D23"/>
    <w:rsid w:val="00941E8F"/>
    <w:rsid w:val="0094490F"/>
    <w:rsid w:val="00944AA3"/>
    <w:rsid w:val="00945ABC"/>
    <w:rsid w:val="00946F53"/>
    <w:rsid w:val="00950AF7"/>
    <w:rsid w:val="00951BBB"/>
    <w:rsid w:val="00951C8B"/>
    <w:rsid w:val="00953C3B"/>
    <w:rsid w:val="00953E51"/>
    <w:rsid w:val="00954EC4"/>
    <w:rsid w:val="0095651B"/>
    <w:rsid w:val="00963243"/>
    <w:rsid w:val="00963426"/>
    <w:rsid w:val="00963528"/>
    <w:rsid w:val="00963CA1"/>
    <w:rsid w:val="0096512A"/>
    <w:rsid w:val="00967E16"/>
    <w:rsid w:val="00970422"/>
    <w:rsid w:val="00970661"/>
    <w:rsid w:val="00971029"/>
    <w:rsid w:val="00971940"/>
    <w:rsid w:val="00972784"/>
    <w:rsid w:val="009740FB"/>
    <w:rsid w:val="00975BB3"/>
    <w:rsid w:val="00976636"/>
    <w:rsid w:val="00976E1E"/>
    <w:rsid w:val="00977228"/>
    <w:rsid w:val="00981FA6"/>
    <w:rsid w:val="0098268F"/>
    <w:rsid w:val="00982841"/>
    <w:rsid w:val="009835CF"/>
    <w:rsid w:val="0098360C"/>
    <w:rsid w:val="0098468A"/>
    <w:rsid w:val="00984843"/>
    <w:rsid w:val="00986457"/>
    <w:rsid w:val="009879A9"/>
    <w:rsid w:val="009901BF"/>
    <w:rsid w:val="00990EF1"/>
    <w:rsid w:val="00991F7C"/>
    <w:rsid w:val="00994757"/>
    <w:rsid w:val="009974B8"/>
    <w:rsid w:val="00997579"/>
    <w:rsid w:val="009A1AB0"/>
    <w:rsid w:val="009A1DEC"/>
    <w:rsid w:val="009A24F6"/>
    <w:rsid w:val="009A339A"/>
    <w:rsid w:val="009A45AE"/>
    <w:rsid w:val="009A54BF"/>
    <w:rsid w:val="009A55DF"/>
    <w:rsid w:val="009A59AD"/>
    <w:rsid w:val="009A5DF8"/>
    <w:rsid w:val="009A7936"/>
    <w:rsid w:val="009B00F1"/>
    <w:rsid w:val="009B012A"/>
    <w:rsid w:val="009B0D8D"/>
    <w:rsid w:val="009B24FA"/>
    <w:rsid w:val="009B3FF3"/>
    <w:rsid w:val="009B45AC"/>
    <w:rsid w:val="009B6218"/>
    <w:rsid w:val="009B7FFA"/>
    <w:rsid w:val="009C01B0"/>
    <w:rsid w:val="009C0E11"/>
    <w:rsid w:val="009C30CF"/>
    <w:rsid w:val="009C34ED"/>
    <w:rsid w:val="009C7946"/>
    <w:rsid w:val="009C7A73"/>
    <w:rsid w:val="009C7EFF"/>
    <w:rsid w:val="009D0F05"/>
    <w:rsid w:val="009D12BB"/>
    <w:rsid w:val="009D1F4C"/>
    <w:rsid w:val="009D2F29"/>
    <w:rsid w:val="009D35AB"/>
    <w:rsid w:val="009D35AE"/>
    <w:rsid w:val="009D37A0"/>
    <w:rsid w:val="009D798F"/>
    <w:rsid w:val="009E07D1"/>
    <w:rsid w:val="009E0FBD"/>
    <w:rsid w:val="009E29AB"/>
    <w:rsid w:val="009E5259"/>
    <w:rsid w:val="009E6B14"/>
    <w:rsid w:val="009F042A"/>
    <w:rsid w:val="009F0E3A"/>
    <w:rsid w:val="009F2879"/>
    <w:rsid w:val="00A02B36"/>
    <w:rsid w:val="00A070D6"/>
    <w:rsid w:val="00A10E49"/>
    <w:rsid w:val="00A10E80"/>
    <w:rsid w:val="00A12EC9"/>
    <w:rsid w:val="00A13249"/>
    <w:rsid w:val="00A1632C"/>
    <w:rsid w:val="00A16B2D"/>
    <w:rsid w:val="00A20617"/>
    <w:rsid w:val="00A22A1B"/>
    <w:rsid w:val="00A26143"/>
    <w:rsid w:val="00A279C7"/>
    <w:rsid w:val="00A27B47"/>
    <w:rsid w:val="00A30A0E"/>
    <w:rsid w:val="00A4055B"/>
    <w:rsid w:val="00A4113D"/>
    <w:rsid w:val="00A431DC"/>
    <w:rsid w:val="00A45466"/>
    <w:rsid w:val="00A45A9E"/>
    <w:rsid w:val="00A50D97"/>
    <w:rsid w:val="00A514B2"/>
    <w:rsid w:val="00A52344"/>
    <w:rsid w:val="00A547D6"/>
    <w:rsid w:val="00A60131"/>
    <w:rsid w:val="00A6087B"/>
    <w:rsid w:val="00A61731"/>
    <w:rsid w:val="00A65444"/>
    <w:rsid w:val="00A66F03"/>
    <w:rsid w:val="00A70C40"/>
    <w:rsid w:val="00A738BA"/>
    <w:rsid w:val="00A76FF9"/>
    <w:rsid w:val="00A77873"/>
    <w:rsid w:val="00A842BE"/>
    <w:rsid w:val="00A906B1"/>
    <w:rsid w:val="00A91930"/>
    <w:rsid w:val="00A919BD"/>
    <w:rsid w:val="00A93AFC"/>
    <w:rsid w:val="00A93FD2"/>
    <w:rsid w:val="00A94C36"/>
    <w:rsid w:val="00A94ED8"/>
    <w:rsid w:val="00AA0E59"/>
    <w:rsid w:val="00AA3F7C"/>
    <w:rsid w:val="00AA50DF"/>
    <w:rsid w:val="00AA69DB"/>
    <w:rsid w:val="00AB0DBB"/>
    <w:rsid w:val="00AB10F3"/>
    <w:rsid w:val="00AB155F"/>
    <w:rsid w:val="00AB4395"/>
    <w:rsid w:val="00AB5E0F"/>
    <w:rsid w:val="00AB7E7F"/>
    <w:rsid w:val="00AC1E10"/>
    <w:rsid w:val="00AC2473"/>
    <w:rsid w:val="00AC31F5"/>
    <w:rsid w:val="00AC459D"/>
    <w:rsid w:val="00AC7202"/>
    <w:rsid w:val="00AD3EF6"/>
    <w:rsid w:val="00AD3FF1"/>
    <w:rsid w:val="00AD4164"/>
    <w:rsid w:val="00AD509F"/>
    <w:rsid w:val="00AD515C"/>
    <w:rsid w:val="00AD6DC7"/>
    <w:rsid w:val="00AD7353"/>
    <w:rsid w:val="00AE1F5D"/>
    <w:rsid w:val="00AE2E8B"/>
    <w:rsid w:val="00AE324C"/>
    <w:rsid w:val="00AE4583"/>
    <w:rsid w:val="00AE5EC1"/>
    <w:rsid w:val="00AF0622"/>
    <w:rsid w:val="00AF1532"/>
    <w:rsid w:val="00AF4C07"/>
    <w:rsid w:val="00AF6FFD"/>
    <w:rsid w:val="00B00FED"/>
    <w:rsid w:val="00B012DF"/>
    <w:rsid w:val="00B03A3A"/>
    <w:rsid w:val="00B03E31"/>
    <w:rsid w:val="00B059C1"/>
    <w:rsid w:val="00B10A4A"/>
    <w:rsid w:val="00B10EE1"/>
    <w:rsid w:val="00B11988"/>
    <w:rsid w:val="00B129FA"/>
    <w:rsid w:val="00B13617"/>
    <w:rsid w:val="00B161B0"/>
    <w:rsid w:val="00B16DF8"/>
    <w:rsid w:val="00B1790A"/>
    <w:rsid w:val="00B17EC3"/>
    <w:rsid w:val="00B20DFF"/>
    <w:rsid w:val="00B229F8"/>
    <w:rsid w:val="00B23A42"/>
    <w:rsid w:val="00B24D5D"/>
    <w:rsid w:val="00B26041"/>
    <w:rsid w:val="00B27C8F"/>
    <w:rsid w:val="00B37D18"/>
    <w:rsid w:val="00B4047E"/>
    <w:rsid w:val="00B40E2B"/>
    <w:rsid w:val="00B41C35"/>
    <w:rsid w:val="00B50145"/>
    <w:rsid w:val="00B551A7"/>
    <w:rsid w:val="00B554F8"/>
    <w:rsid w:val="00B57AAF"/>
    <w:rsid w:val="00B6010D"/>
    <w:rsid w:val="00B62702"/>
    <w:rsid w:val="00B63685"/>
    <w:rsid w:val="00B641ED"/>
    <w:rsid w:val="00B643DB"/>
    <w:rsid w:val="00B703E8"/>
    <w:rsid w:val="00B704EC"/>
    <w:rsid w:val="00B70BD0"/>
    <w:rsid w:val="00B7133D"/>
    <w:rsid w:val="00B72629"/>
    <w:rsid w:val="00B727E3"/>
    <w:rsid w:val="00B7461C"/>
    <w:rsid w:val="00B74D84"/>
    <w:rsid w:val="00B806BF"/>
    <w:rsid w:val="00B80A2F"/>
    <w:rsid w:val="00B81613"/>
    <w:rsid w:val="00B8319A"/>
    <w:rsid w:val="00B83EF8"/>
    <w:rsid w:val="00B86F0C"/>
    <w:rsid w:val="00B87224"/>
    <w:rsid w:val="00B903D1"/>
    <w:rsid w:val="00B910BB"/>
    <w:rsid w:val="00B929B4"/>
    <w:rsid w:val="00B96116"/>
    <w:rsid w:val="00B968D7"/>
    <w:rsid w:val="00BA0413"/>
    <w:rsid w:val="00BA28C1"/>
    <w:rsid w:val="00BA6DF8"/>
    <w:rsid w:val="00BA756D"/>
    <w:rsid w:val="00BA7798"/>
    <w:rsid w:val="00BB01D6"/>
    <w:rsid w:val="00BB0574"/>
    <w:rsid w:val="00BB2C14"/>
    <w:rsid w:val="00BB2E98"/>
    <w:rsid w:val="00BB2F9F"/>
    <w:rsid w:val="00BB51A2"/>
    <w:rsid w:val="00BB5B71"/>
    <w:rsid w:val="00BB5C20"/>
    <w:rsid w:val="00BB5DFD"/>
    <w:rsid w:val="00BC2166"/>
    <w:rsid w:val="00BC24DA"/>
    <w:rsid w:val="00BC2756"/>
    <w:rsid w:val="00BC2C86"/>
    <w:rsid w:val="00BC3533"/>
    <w:rsid w:val="00BC4D89"/>
    <w:rsid w:val="00BC5620"/>
    <w:rsid w:val="00BC6A31"/>
    <w:rsid w:val="00BD03B2"/>
    <w:rsid w:val="00BD1A37"/>
    <w:rsid w:val="00BD1C59"/>
    <w:rsid w:val="00BD27E2"/>
    <w:rsid w:val="00BD2941"/>
    <w:rsid w:val="00BD4370"/>
    <w:rsid w:val="00BD56EC"/>
    <w:rsid w:val="00BD70F5"/>
    <w:rsid w:val="00BE0377"/>
    <w:rsid w:val="00BE0984"/>
    <w:rsid w:val="00BE3B6D"/>
    <w:rsid w:val="00BE4EEC"/>
    <w:rsid w:val="00BE617F"/>
    <w:rsid w:val="00BE7C86"/>
    <w:rsid w:val="00BF13C2"/>
    <w:rsid w:val="00BF3E01"/>
    <w:rsid w:val="00BF6C1E"/>
    <w:rsid w:val="00BF6E1B"/>
    <w:rsid w:val="00BF7F8B"/>
    <w:rsid w:val="00C04B24"/>
    <w:rsid w:val="00C04E00"/>
    <w:rsid w:val="00C053F1"/>
    <w:rsid w:val="00C05EF9"/>
    <w:rsid w:val="00C064E6"/>
    <w:rsid w:val="00C12DF0"/>
    <w:rsid w:val="00C144C1"/>
    <w:rsid w:val="00C14F0B"/>
    <w:rsid w:val="00C20583"/>
    <w:rsid w:val="00C22629"/>
    <w:rsid w:val="00C22D97"/>
    <w:rsid w:val="00C23661"/>
    <w:rsid w:val="00C26EE2"/>
    <w:rsid w:val="00C30437"/>
    <w:rsid w:val="00C317DD"/>
    <w:rsid w:val="00C32202"/>
    <w:rsid w:val="00C3260A"/>
    <w:rsid w:val="00C40AB1"/>
    <w:rsid w:val="00C41915"/>
    <w:rsid w:val="00C46986"/>
    <w:rsid w:val="00C47831"/>
    <w:rsid w:val="00C55CE1"/>
    <w:rsid w:val="00C60F72"/>
    <w:rsid w:val="00C64A1C"/>
    <w:rsid w:val="00C65166"/>
    <w:rsid w:val="00C65E2D"/>
    <w:rsid w:val="00C66A53"/>
    <w:rsid w:val="00C71DB6"/>
    <w:rsid w:val="00C725BE"/>
    <w:rsid w:val="00C72B2A"/>
    <w:rsid w:val="00C73271"/>
    <w:rsid w:val="00C73769"/>
    <w:rsid w:val="00C740C3"/>
    <w:rsid w:val="00C742ED"/>
    <w:rsid w:val="00C75065"/>
    <w:rsid w:val="00C76662"/>
    <w:rsid w:val="00C767CA"/>
    <w:rsid w:val="00C768D7"/>
    <w:rsid w:val="00C76A4D"/>
    <w:rsid w:val="00C76A87"/>
    <w:rsid w:val="00C77356"/>
    <w:rsid w:val="00C7795D"/>
    <w:rsid w:val="00C817FD"/>
    <w:rsid w:val="00C8689E"/>
    <w:rsid w:val="00C86DFF"/>
    <w:rsid w:val="00C87AD6"/>
    <w:rsid w:val="00C939F9"/>
    <w:rsid w:val="00C96607"/>
    <w:rsid w:val="00CA37D0"/>
    <w:rsid w:val="00CB0D6A"/>
    <w:rsid w:val="00CB1386"/>
    <w:rsid w:val="00CB450B"/>
    <w:rsid w:val="00CB7231"/>
    <w:rsid w:val="00CC28C7"/>
    <w:rsid w:val="00CC3019"/>
    <w:rsid w:val="00CC3FA9"/>
    <w:rsid w:val="00CC4E7A"/>
    <w:rsid w:val="00CC7455"/>
    <w:rsid w:val="00CC760F"/>
    <w:rsid w:val="00CD114B"/>
    <w:rsid w:val="00CD1DF1"/>
    <w:rsid w:val="00CD27D6"/>
    <w:rsid w:val="00CD40FF"/>
    <w:rsid w:val="00CD701E"/>
    <w:rsid w:val="00CD7EC5"/>
    <w:rsid w:val="00CE06A9"/>
    <w:rsid w:val="00CE43DE"/>
    <w:rsid w:val="00CE4F8F"/>
    <w:rsid w:val="00CE6683"/>
    <w:rsid w:val="00CE6D8B"/>
    <w:rsid w:val="00CE6E2D"/>
    <w:rsid w:val="00CE6EA9"/>
    <w:rsid w:val="00CF1AD4"/>
    <w:rsid w:val="00CF2E41"/>
    <w:rsid w:val="00CF3C20"/>
    <w:rsid w:val="00CF4DEE"/>
    <w:rsid w:val="00CF6531"/>
    <w:rsid w:val="00D00D88"/>
    <w:rsid w:val="00D05EAE"/>
    <w:rsid w:val="00D06017"/>
    <w:rsid w:val="00D06E74"/>
    <w:rsid w:val="00D072B7"/>
    <w:rsid w:val="00D1061C"/>
    <w:rsid w:val="00D11554"/>
    <w:rsid w:val="00D1181F"/>
    <w:rsid w:val="00D13D1B"/>
    <w:rsid w:val="00D14DBF"/>
    <w:rsid w:val="00D1666C"/>
    <w:rsid w:val="00D16F8C"/>
    <w:rsid w:val="00D175EF"/>
    <w:rsid w:val="00D2357F"/>
    <w:rsid w:val="00D23F52"/>
    <w:rsid w:val="00D24053"/>
    <w:rsid w:val="00D25AA6"/>
    <w:rsid w:val="00D27C9F"/>
    <w:rsid w:val="00D333D7"/>
    <w:rsid w:val="00D33A0F"/>
    <w:rsid w:val="00D344F0"/>
    <w:rsid w:val="00D3473B"/>
    <w:rsid w:val="00D36225"/>
    <w:rsid w:val="00D362FB"/>
    <w:rsid w:val="00D37E2A"/>
    <w:rsid w:val="00D40529"/>
    <w:rsid w:val="00D40B1F"/>
    <w:rsid w:val="00D42248"/>
    <w:rsid w:val="00D42E2F"/>
    <w:rsid w:val="00D4364D"/>
    <w:rsid w:val="00D43D85"/>
    <w:rsid w:val="00D43FF0"/>
    <w:rsid w:val="00D46DBB"/>
    <w:rsid w:val="00D46DDC"/>
    <w:rsid w:val="00D47893"/>
    <w:rsid w:val="00D524AB"/>
    <w:rsid w:val="00D55033"/>
    <w:rsid w:val="00D5527B"/>
    <w:rsid w:val="00D60DBE"/>
    <w:rsid w:val="00D61099"/>
    <w:rsid w:val="00D61F76"/>
    <w:rsid w:val="00D62367"/>
    <w:rsid w:val="00D62CC8"/>
    <w:rsid w:val="00D636AF"/>
    <w:rsid w:val="00D63897"/>
    <w:rsid w:val="00D67E10"/>
    <w:rsid w:val="00D71A4F"/>
    <w:rsid w:val="00D72D59"/>
    <w:rsid w:val="00D75BBC"/>
    <w:rsid w:val="00D804F1"/>
    <w:rsid w:val="00D80897"/>
    <w:rsid w:val="00D85898"/>
    <w:rsid w:val="00D8609F"/>
    <w:rsid w:val="00D86443"/>
    <w:rsid w:val="00D87910"/>
    <w:rsid w:val="00D90B13"/>
    <w:rsid w:val="00D92D4F"/>
    <w:rsid w:val="00D94188"/>
    <w:rsid w:val="00DA13AB"/>
    <w:rsid w:val="00DA4369"/>
    <w:rsid w:val="00DA7141"/>
    <w:rsid w:val="00DB039B"/>
    <w:rsid w:val="00DB1131"/>
    <w:rsid w:val="00DB4971"/>
    <w:rsid w:val="00DC1A61"/>
    <w:rsid w:val="00DC24BF"/>
    <w:rsid w:val="00DC3A34"/>
    <w:rsid w:val="00DC43F7"/>
    <w:rsid w:val="00DC4D3F"/>
    <w:rsid w:val="00DC4F4F"/>
    <w:rsid w:val="00DD4EC9"/>
    <w:rsid w:val="00DD575F"/>
    <w:rsid w:val="00DD5915"/>
    <w:rsid w:val="00DE183B"/>
    <w:rsid w:val="00DE27C5"/>
    <w:rsid w:val="00DE2FA3"/>
    <w:rsid w:val="00DE3954"/>
    <w:rsid w:val="00DE4611"/>
    <w:rsid w:val="00DE481E"/>
    <w:rsid w:val="00DE4D5A"/>
    <w:rsid w:val="00DE4F2E"/>
    <w:rsid w:val="00DE57AB"/>
    <w:rsid w:val="00DE62EA"/>
    <w:rsid w:val="00DE7F92"/>
    <w:rsid w:val="00DF0229"/>
    <w:rsid w:val="00DF3C3F"/>
    <w:rsid w:val="00DF586E"/>
    <w:rsid w:val="00DF59FF"/>
    <w:rsid w:val="00DF6780"/>
    <w:rsid w:val="00E01A2C"/>
    <w:rsid w:val="00E02CC0"/>
    <w:rsid w:val="00E03A11"/>
    <w:rsid w:val="00E05829"/>
    <w:rsid w:val="00E075D4"/>
    <w:rsid w:val="00E07C23"/>
    <w:rsid w:val="00E07DEA"/>
    <w:rsid w:val="00E10549"/>
    <w:rsid w:val="00E122BC"/>
    <w:rsid w:val="00E23CF3"/>
    <w:rsid w:val="00E26663"/>
    <w:rsid w:val="00E32F3D"/>
    <w:rsid w:val="00E34400"/>
    <w:rsid w:val="00E36AFF"/>
    <w:rsid w:val="00E373E7"/>
    <w:rsid w:val="00E37DF4"/>
    <w:rsid w:val="00E409E5"/>
    <w:rsid w:val="00E40BB4"/>
    <w:rsid w:val="00E465E7"/>
    <w:rsid w:val="00E475D2"/>
    <w:rsid w:val="00E527F6"/>
    <w:rsid w:val="00E53FBA"/>
    <w:rsid w:val="00E54DDA"/>
    <w:rsid w:val="00E567BF"/>
    <w:rsid w:val="00E57A28"/>
    <w:rsid w:val="00E64795"/>
    <w:rsid w:val="00E71347"/>
    <w:rsid w:val="00E71D01"/>
    <w:rsid w:val="00E74409"/>
    <w:rsid w:val="00E75C1C"/>
    <w:rsid w:val="00E76D8C"/>
    <w:rsid w:val="00E7743A"/>
    <w:rsid w:val="00E815DC"/>
    <w:rsid w:val="00E83754"/>
    <w:rsid w:val="00E861FE"/>
    <w:rsid w:val="00E914E2"/>
    <w:rsid w:val="00E9277D"/>
    <w:rsid w:val="00E93C4A"/>
    <w:rsid w:val="00E9444A"/>
    <w:rsid w:val="00E95492"/>
    <w:rsid w:val="00E96988"/>
    <w:rsid w:val="00EA2F34"/>
    <w:rsid w:val="00EA4248"/>
    <w:rsid w:val="00EA5942"/>
    <w:rsid w:val="00EB1879"/>
    <w:rsid w:val="00EB1E51"/>
    <w:rsid w:val="00EB3D86"/>
    <w:rsid w:val="00EB4290"/>
    <w:rsid w:val="00EB7263"/>
    <w:rsid w:val="00EC2AF7"/>
    <w:rsid w:val="00EC5863"/>
    <w:rsid w:val="00EC733C"/>
    <w:rsid w:val="00EC7654"/>
    <w:rsid w:val="00ED34D4"/>
    <w:rsid w:val="00ED5314"/>
    <w:rsid w:val="00ED775E"/>
    <w:rsid w:val="00ED7CA5"/>
    <w:rsid w:val="00EE2070"/>
    <w:rsid w:val="00EE3C9C"/>
    <w:rsid w:val="00EE7BF1"/>
    <w:rsid w:val="00EF0CC7"/>
    <w:rsid w:val="00EF27ED"/>
    <w:rsid w:val="00EF3435"/>
    <w:rsid w:val="00EF4F7D"/>
    <w:rsid w:val="00EF71BA"/>
    <w:rsid w:val="00F0563C"/>
    <w:rsid w:val="00F06DEE"/>
    <w:rsid w:val="00F1112E"/>
    <w:rsid w:val="00F14F24"/>
    <w:rsid w:val="00F15277"/>
    <w:rsid w:val="00F17ECC"/>
    <w:rsid w:val="00F21B23"/>
    <w:rsid w:val="00F21BC1"/>
    <w:rsid w:val="00F272BB"/>
    <w:rsid w:val="00F30AB8"/>
    <w:rsid w:val="00F33C5C"/>
    <w:rsid w:val="00F3400B"/>
    <w:rsid w:val="00F34414"/>
    <w:rsid w:val="00F34E9A"/>
    <w:rsid w:val="00F3799A"/>
    <w:rsid w:val="00F37B09"/>
    <w:rsid w:val="00F4515A"/>
    <w:rsid w:val="00F4528C"/>
    <w:rsid w:val="00F452B7"/>
    <w:rsid w:val="00F47B9B"/>
    <w:rsid w:val="00F54C40"/>
    <w:rsid w:val="00F54C7E"/>
    <w:rsid w:val="00F56C41"/>
    <w:rsid w:val="00F579A3"/>
    <w:rsid w:val="00F60EE7"/>
    <w:rsid w:val="00F610AF"/>
    <w:rsid w:val="00F61FD5"/>
    <w:rsid w:val="00F62B36"/>
    <w:rsid w:val="00F64E11"/>
    <w:rsid w:val="00F64E31"/>
    <w:rsid w:val="00F6529B"/>
    <w:rsid w:val="00F6710C"/>
    <w:rsid w:val="00F70D8F"/>
    <w:rsid w:val="00F71F82"/>
    <w:rsid w:val="00F76DB1"/>
    <w:rsid w:val="00F8060B"/>
    <w:rsid w:val="00F83203"/>
    <w:rsid w:val="00F84DF3"/>
    <w:rsid w:val="00F84E23"/>
    <w:rsid w:val="00F85997"/>
    <w:rsid w:val="00F86FB5"/>
    <w:rsid w:val="00F903EC"/>
    <w:rsid w:val="00F937FE"/>
    <w:rsid w:val="00F941C7"/>
    <w:rsid w:val="00F951B6"/>
    <w:rsid w:val="00F96C61"/>
    <w:rsid w:val="00FA066A"/>
    <w:rsid w:val="00FA3786"/>
    <w:rsid w:val="00FA37B2"/>
    <w:rsid w:val="00FA488E"/>
    <w:rsid w:val="00FA4EF5"/>
    <w:rsid w:val="00FA5AB2"/>
    <w:rsid w:val="00FA7B5A"/>
    <w:rsid w:val="00FB08BD"/>
    <w:rsid w:val="00FB1370"/>
    <w:rsid w:val="00FB1624"/>
    <w:rsid w:val="00FB2271"/>
    <w:rsid w:val="00FB2D6D"/>
    <w:rsid w:val="00FB44D3"/>
    <w:rsid w:val="00FD0482"/>
    <w:rsid w:val="00FD134E"/>
    <w:rsid w:val="00FD3A84"/>
    <w:rsid w:val="00FD735F"/>
    <w:rsid w:val="00FE009F"/>
    <w:rsid w:val="00FE0FE8"/>
    <w:rsid w:val="00FE315B"/>
    <w:rsid w:val="00FE4582"/>
    <w:rsid w:val="00FE5AFE"/>
    <w:rsid w:val="00FE641F"/>
    <w:rsid w:val="00FF08A7"/>
    <w:rsid w:val="00FF0B12"/>
    <w:rsid w:val="00FF2033"/>
    <w:rsid w:val="00FF6666"/>
    <w:rsid w:val="00FF6B2B"/>
    <w:rsid w:val="00FF6DCF"/>
    <w:rsid w:val="22FD5F8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7F31E"/>
  <w15:chartTrackingRefBased/>
  <w15:docId w15:val="{92D15A87-7C39-4E6F-BA51-47A996907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0369D"/>
  </w:style>
  <w:style w:type="paragraph" w:styleId="Naslov1">
    <w:name w:val="heading 1"/>
    <w:basedOn w:val="Navaden"/>
    <w:next w:val="Navaden"/>
    <w:link w:val="Naslov1Znak"/>
    <w:uiPriority w:val="9"/>
    <w:qFormat/>
    <w:rsid w:val="00A27B47"/>
    <w:pPr>
      <w:keepNext/>
      <w:keepLines/>
      <w:spacing w:before="240" w:after="0"/>
      <w:outlineLvl w:val="0"/>
    </w:pPr>
    <w:rPr>
      <w:rFonts w:ascii="Times New Roman" w:eastAsiaTheme="majorEastAsia" w:hAnsi="Times New Roman" w:cstheme="majorBidi"/>
      <w:b/>
      <w:color w:val="2E74B5" w:themeColor="accent1" w:themeShade="BF"/>
      <w:sz w:val="28"/>
      <w:szCs w:val="32"/>
    </w:rPr>
  </w:style>
  <w:style w:type="paragraph" w:styleId="Naslov2">
    <w:name w:val="heading 2"/>
    <w:basedOn w:val="Navaden"/>
    <w:next w:val="Navaden"/>
    <w:link w:val="Naslov2Znak"/>
    <w:uiPriority w:val="9"/>
    <w:unhideWhenUsed/>
    <w:qFormat/>
    <w:rsid w:val="00A27B47"/>
    <w:pPr>
      <w:keepNext/>
      <w:keepLines/>
      <w:spacing w:before="40" w:after="0"/>
      <w:outlineLvl w:val="1"/>
    </w:pPr>
    <w:rPr>
      <w:rFonts w:ascii="Times New Roman" w:eastAsiaTheme="majorEastAsia" w:hAnsi="Times New Roman" w:cstheme="majorBidi"/>
      <w:color w:val="2E74B5" w:themeColor="accent1" w:themeShade="BF"/>
      <w:sz w:val="28"/>
      <w:szCs w:val="26"/>
    </w:rPr>
  </w:style>
  <w:style w:type="paragraph" w:styleId="Naslov3">
    <w:name w:val="heading 3"/>
    <w:basedOn w:val="Navaden"/>
    <w:next w:val="Navaden"/>
    <w:link w:val="Naslov3Znak"/>
    <w:uiPriority w:val="9"/>
    <w:unhideWhenUsed/>
    <w:qFormat/>
    <w:rsid w:val="00B17EC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avaden"/>
    <w:next w:val="Navaden"/>
    <w:link w:val="Naslov4Znak"/>
    <w:uiPriority w:val="9"/>
    <w:unhideWhenUsed/>
    <w:qFormat/>
    <w:rsid w:val="002D435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msonormal0">
    <w:name w:val="msonormal"/>
    <w:basedOn w:val="Navaden"/>
    <w:rsid w:val="00A76FF9"/>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j-doc-ti">
    <w:name w:val="oj-doc-ti"/>
    <w:basedOn w:val="Navaden"/>
    <w:rsid w:val="00A76FF9"/>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oj-sp-normal">
    <w:name w:val="oj-sp-normal"/>
    <w:basedOn w:val="Privzetapisavaodstavka"/>
    <w:rsid w:val="00A76FF9"/>
  </w:style>
  <w:style w:type="character" w:styleId="Hiperpovezava">
    <w:name w:val="Hyperlink"/>
    <w:basedOn w:val="Privzetapisavaodstavka"/>
    <w:uiPriority w:val="99"/>
    <w:unhideWhenUsed/>
    <w:rsid w:val="00A76FF9"/>
    <w:rPr>
      <w:color w:val="0000FF"/>
      <w:u w:val="single"/>
    </w:rPr>
  </w:style>
  <w:style w:type="character" w:styleId="SledenaHiperpovezava">
    <w:name w:val="FollowedHyperlink"/>
    <w:basedOn w:val="Privzetapisavaodstavka"/>
    <w:uiPriority w:val="99"/>
    <w:semiHidden/>
    <w:unhideWhenUsed/>
    <w:rsid w:val="00A76FF9"/>
    <w:rPr>
      <w:color w:val="800080"/>
      <w:u w:val="single"/>
    </w:rPr>
  </w:style>
  <w:style w:type="character" w:customStyle="1" w:styleId="oj-super">
    <w:name w:val="oj-super"/>
    <w:basedOn w:val="Privzetapisavaodstavka"/>
    <w:rsid w:val="00A76FF9"/>
  </w:style>
  <w:style w:type="paragraph" w:customStyle="1" w:styleId="oj-normal">
    <w:name w:val="oj-normal"/>
    <w:basedOn w:val="Navaden"/>
    <w:rsid w:val="00A76FF9"/>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j-tbl-txt">
    <w:name w:val="oj-tbl-txt"/>
    <w:basedOn w:val="Navaden"/>
    <w:rsid w:val="00A76FF9"/>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j-ti-grseq-1">
    <w:name w:val="oj-ti-grseq-1"/>
    <w:basedOn w:val="Navaden"/>
    <w:rsid w:val="00A76FF9"/>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j-ti-tbl">
    <w:name w:val="oj-ti-tbl"/>
    <w:basedOn w:val="Navaden"/>
    <w:rsid w:val="00A76FF9"/>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j-tbl-hdr">
    <w:name w:val="oj-tbl-hdr"/>
    <w:basedOn w:val="Navaden"/>
    <w:rsid w:val="00A76FF9"/>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j-tbl-num">
    <w:name w:val="oj-tbl-num"/>
    <w:basedOn w:val="Navaden"/>
    <w:rsid w:val="00A76FF9"/>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Navadensplet">
    <w:name w:val="Normal (Web)"/>
    <w:basedOn w:val="Navaden"/>
    <w:uiPriority w:val="99"/>
    <w:semiHidden/>
    <w:unhideWhenUsed/>
    <w:rsid w:val="00A76FF9"/>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j-note">
    <w:name w:val="oj-note"/>
    <w:basedOn w:val="Navaden"/>
    <w:rsid w:val="00A76FF9"/>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Sprotnaopomba-besedilo">
    <w:name w:val="footnote text"/>
    <w:aliases w:val="Char Char,Footnote Text Char Char Char Char Char Char,Footnote Text Char Char1,Footnote Text Char Char1 Char Char,Footnote Text Char Char2 Char,Footnote Text Char1 Char,Footnote Text Char1 Char Char Char Char,Schriftart: 9 pt,o"/>
    <w:basedOn w:val="Navaden"/>
    <w:link w:val="Sprotnaopomba-besediloZnak"/>
    <w:uiPriority w:val="99"/>
    <w:unhideWhenUsed/>
    <w:qFormat/>
    <w:rsid w:val="00CC28C7"/>
    <w:pPr>
      <w:spacing w:after="0" w:line="240" w:lineRule="auto"/>
    </w:pPr>
    <w:rPr>
      <w:sz w:val="20"/>
      <w:szCs w:val="20"/>
    </w:rPr>
  </w:style>
  <w:style w:type="character" w:customStyle="1" w:styleId="Sprotnaopomba-besediloZnak">
    <w:name w:val="Sprotna opomba - besedilo Znak"/>
    <w:aliases w:val="Char Char Znak,Footnote Text Char Char Char Char Char Char Znak,Footnote Text Char Char1 Znak,Footnote Text Char Char1 Char Char Znak,Footnote Text Char Char2 Char Znak,Footnote Text Char1 Char Znak,Schriftart: 9 pt Znak"/>
    <w:basedOn w:val="Privzetapisavaodstavka"/>
    <w:link w:val="Sprotnaopomba-besedilo"/>
    <w:uiPriority w:val="99"/>
    <w:qFormat/>
    <w:rsid w:val="00CC28C7"/>
    <w:rPr>
      <w:sz w:val="20"/>
      <w:szCs w:val="20"/>
    </w:rPr>
  </w:style>
  <w:style w:type="character" w:styleId="Sprotnaopomba-sklic">
    <w:name w:val="footnote reference"/>
    <w:aliases w:val="-E Fußnotenzeichen,EN Footnote Reference,Exposant 3 Point,FR,Footnote Reference_LVL6,Footnote Reference_LVL61,Footnote Reference_LVL62,Footnote reference number,Footnote symbol,Fussnota,SUPERS,Times 10 Point,fr,note TESI,number"/>
    <w:basedOn w:val="Privzetapisavaodstavka"/>
    <w:link w:val="FootnotesymbolCarZchn"/>
    <w:uiPriority w:val="99"/>
    <w:unhideWhenUsed/>
    <w:qFormat/>
    <w:rsid w:val="00CC28C7"/>
    <w:rPr>
      <w:vertAlign w:val="superscript"/>
    </w:rPr>
  </w:style>
  <w:style w:type="character" w:customStyle="1" w:styleId="Naslov1Znak">
    <w:name w:val="Naslov 1 Znak"/>
    <w:basedOn w:val="Privzetapisavaodstavka"/>
    <w:link w:val="Naslov1"/>
    <w:uiPriority w:val="9"/>
    <w:rsid w:val="00A27B47"/>
    <w:rPr>
      <w:rFonts w:ascii="Times New Roman" w:eastAsiaTheme="majorEastAsia" w:hAnsi="Times New Roman" w:cstheme="majorBidi"/>
      <w:b/>
      <w:color w:val="2E74B5" w:themeColor="accent1" w:themeShade="BF"/>
      <w:sz w:val="28"/>
      <w:szCs w:val="32"/>
    </w:rPr>
  </w:style>
  <w:style w:type="character" w:customStyle="1" w:styleId="Naslov4Znak">
    <w:name w:val="Naslov 4 Znak"/>
    <w:basedOn w:val="Privzetapisavaodstavka"/>
    <w:link w:val="Naslov4"/>
    <w:uiPriority w:val="9"/>
    <w:rsid w:val="002D4358"/>
    <w:rPr>
      <w:rFonts w:asciiTheme="majorHAnsi" w:eastAsiaTheme="majorEastAsia" w:hAnsiTheme="majorHAnsi" w:cstheme="majorBidi"/>
      <w:i/>
      <w:iCs/>
      <w:color w:val="2E74B5" w:themeColor="accent1" w:themeShade="BF"/>
    </w:rPr>
  </w:style>
  <w:style w:type="paragraph" w:styleId="Glava">
    <w:name w:val="header"/>
    <w:basedOn w:val="Navaden"/>
    <w:link w:val="GlavaZnak"/>
    <w:uiPriority w:val="99"/>
    <w:unhideWhenUsed/>
    <w:rsid w:val="00DD575F"/>
    <w:pPr>
      <w:tabs>
        <w:tab w:val="center" w:pos="4536"/>
        <w:tab w:val="right" w:pos="9072"/>
      </w:tabs>
      <w:spacing w:after="0" w:line="240" w:lineRule="auto"/>
    </w:pPr>
  </w:style>
  <w:style w:type="character" w:customStyle="1" w:styleId="GlavaZnak">
    <w:name w:val="Glava Znak"/>
    <w:basedOn w:val="Privzetapisavaodstavka"/>
    <w:link w:val="Glava"/>
    <w:uiPriority w:val="99"/>
    <w:rsid w:val="00DD575F"/>
  </w:style>
  <w:style w:type="paragraph" w:styleId="Noga">
    <w:name w:val="footer"/>
    <w:basedOn w:val="Navaden"/>
    <w:link w:val="NogaZnak"/>
    <w:uiPriority w:val="99"/>
    <w:unhideWhenUsed/>
    <w:rsid w:val="00DD575F"/>
    <w:pPr>
      <w:tabs>
        <w:tab w:val="center" w:pos="4536"/>
        <w:tab w:val="right" w:pos="9072"/>
      </w:tabs>
      <w:spacing w:after="0" w:line="240" w:lineRule="auto"/>
    </w:pPr>
  </w:style>
  <w:style w:type="character" w:customStyle="1" w:styleId="NogaZnak">
    <w:name w:val="Noga Znak"/>
    <w:basedOn w:val="Privzetapisavaodstavka"/>
    <w:link w:val="Noga"/>
    <w:uiPriority w:val="99"/>
    <w:rsid w:val="00DD575F"/>
  </w:style>
  <w:style w:type="character" w:styleId="Pripombasklic">
    <w:name w:val="annotation reference"/>
    <w:basedOn w:val="Privzetapisavaodstavka"/>
    <w:uiPriority w:val="99"/>
    <w:semiHidden/>
    <w:unhideWhenUsed/>
    <w:rsid w:val="009E6B14"/>
    <w:rPr>
      <w:sz w:val="16"/>
      <w:szCs w:val="16"/>
    </w:rPr>
  </w:style>
  <w:style w:type="paragraph" w:styleId="Pripombabesedilo">
    <w:name w:val="annotation text"/>
    <w:basedOn w:val="Navaden"/>
    <w:link w:val="PripombabesediloZnak"/>
    <w:uiPriority w:val="99"/>
    <w:unhideWhenUsed/>
    <w:rsid w:val="009E6B14"/>
    <w:pPr>
      <w:spacing w:line="240" w:lineRule="auto"/>
    </w:pPr>
    <w:rPr>
      <w:sz w:val="20"/>
      <w:szCs w:val="20"/>
    </w:rPr>
  </w:style>
  <w:style w:type="character" w:customStyle="1" w:styleId="PripombabesediloZnak">
    <w:name w:val="Pripomba – besedilo Znak"/>
    <w:basedOn w:val="Privzetapisavaodstavka"/>
    <w:link w:val="Pripombabesedilo"/>
    <w:uiPriority w:val="99"/>
    <w:rsid w:val="009E6B14"/>
    <w:rPr>
      <w:sz w:val="20"/>
      <w:szCs w:val="20"/>
    </w:rPr>
  </w:style>
  <w:style w:type="paragraph" w:styleId="Zadevapripombe">
    <w:name w:val="annotation subject"/>
    <w:basedOn w:val="Pripombabesedilo"/>
    <w:next w:val="Pripombabesedilo"/>
    <w:link w:val="ZadevapripombeZnak"/>
    <w:uiPriority w:val="99"/>
    <w:semiHidden/>
    <w:unhideWhenUsed/>
    <w:rsid w:val="009E6B14"/>
    <w:rPr>
      <w:b/>
      <w:bCs/>
    </w:rPr>
  </w:style>
  <w:style w:type="character" w:customStyle="1" w:styleId="ZadevapripombeZnak">
    <w:name w:val="Zadeva pripombe Znak"/>
    <w:basedOn w:val="PripombabesediloZnak"/>
    <w:link w:val="Zadevapripombe"/>
    <w:uiPriority w:val="99"/>
    <w:semiHidden/>
    <w:rsid w:val="009E6B14"/>
    <w:rPr>
      <w:b/>
      <w:bCs/>
      <w:sz w:val="20"/>
      <w:szCs w:val="20"/>
    </w:rPr>
  </w:style>
  <w:style w:type="paragraph" w:styleId="Besedilooblaka">
    <w:name w:val="Balloon Text"/>
    <w:basedOn w:val="Navaden"/>
    <w:link w:val="BesedilooblakaZnak"/>
    <w:uiPriority w:val="99"/>
    <w:semiHidden/>
    <w:unhideWhenUsed/>
    <w:rsid w:val="009E6B14"/>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E6B14"/>
    <w:rPr>
      <w:rFonts w:ascii="Segoe UI" w:hAnsi="Segoe UI" w:cs="Segoe UI"/>
      <w:sz w:val="18"/>
      <w:szCs w:val="18"/>
    </w:rPr>
  </w:style>
  <w:style w:type="paragraph" w:styleId="Odstavekseznama">
    <w:name w:val="List Paragraph"/>
    <w:aliases w:val="Bulletpoints,Elenco num ARGEA,K1,List Paragraph compact,List Paragraph2,Normal bullet 2,Odsek zoznamu2,Odstavek seznama_IP,Označevanje,Paragraphe de liste 2,Seznam_IP_1,Table of contents numbered,body,numbered list,za tekst"/>
    <w:basedOn w:val="Navaden"/>
    <w:link w:val="OdstavekseznamaZnak"/>
    <w:uiPriority w:val="34"/>
    <w:qFormat/>
    <w:rsid w:val="009E6B14"/>
    <w:pPr>
      <w:ind w:left="720"/>
      <w:contextualSpacing/>
    </w:pPr>
    <w:rPr>
      <w:lang w:val="en-GB"/>
    </w:rPr>
  </w:style>
  <w:style w:type="character" w:customStyle="1" w:styleId="OdstavekseznamaZnak">
    <w:name w:val="Odstavek seznama Znak"/>
    <w:aliases w:val="Bulletpoints Znak,Elenco num ARGEA Znak,K1 Znak,List Paragraph compact Znak,List Paragraph2 Znak,Normal bullet 2 Znak,Odsek zoznamu2 Znak,Odstavek seznama_IP Znak,Označevanje Znak,Paragraphe de liste 2 Znak,Seznam_IP_1 Znak"/>
    <w:link w:val="Odstavekseznama"/>
    <w:uiPriority w:val="34"/>
    <w:qFormat/>
    <w:locked/>
    <w:rsid w:val="009E6B14"/>
    <w:rPr>
      <w:lang w:val="en-GB"/>
    </w:rPr>
  </w:style>
  <w:style w:type="table" w:styleId="Tabelamrea">
    <w:name w:val="Table Grid"/>
    <w:basedOn w:val="Navadnatabela"/>
    <w:uiPriority w:val="39"/>
    <w:rsid w:val="00E266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basedOn w:val="Privzetapisavaodstavka"/>
    <w:link w:val="Naslov2"/>
    <w:uiPriority w:val="9"/>
    <w:rsid w:val="00A27B47"/>
    <w:rPr>
      <w:rFonts w:ascii="Times New Roman" w:eastAsiaTheme="majorEastAsia" w:hAnsi="Times New Roman" w:cstheme="majorBidi"/>
      <w:color w:val="2E74B5" w:themeColor="accent1" w:themeShade="BF"/>
      <w:sz w:val="28"/>
      <w:szCs w:val="26"/>
    </w:rPr>
  </w:style>
  <w:style w:type="paragraph" w:styleId="NaslovTOC">
    <w:name w:val="TOC Heading"/>
    <w:basedOn w:val="Naslov1"/>
    <w:next w:val="Navaden"/>
    <w:uiPriority w:val="39"/>
    <w:unhideWhenUsed/>
    <w:qFormat/>
    <w:rsid w:val="003005D9"/>
    <w:pPr>
      <w:outlineLvl w:val="9"/>
    </w:pPr>
    <w:rPr>
      <w:rFonts w:asciiTheme="majorHAnsi" w:hAnsiTheme="majorHAnsi"/>
      <w:b w:val="0"/>
      <w:sz w:val="32"/>
      <w:lang w:eastAsia="sl-SI"/>
    </w:rPr>
  </w:style>
  <w:style w:type="paragraph" w:styleId="Kazalovsebine2">
    <w:name w:val="toc 2"/>
    <w:basedOn w:val="Navaden"/>
    <w:next w:val="Navaden"/>
    <w:autoRedefine/>
    <w:uiPriority w:val="39"/>
    <w:unhideWhenUsed/>
    <w:rsid w:val="00B17EC3"/>
    <w:pPr>
      <w:tabs>
        <w:tab w:val="right" w:leader="dot" w:pos="9062"/>
      </w:tabs>
      <w:spacing w:after="100"/>
      <w:ind w:left="220"/>
    </w:pPr>
    <w:rPr>
      <w:rFonts w:eastAsiaTheme="minorEastAsia" w:cs="Times New Roman"/>
      <w:lang w:eastAsia="sl-SI"/>
    </w:rPr>
  </w:style>
  <w:style w:type="paragraph" w:styleId="Kazalovsebine1">
    <w:name w:val="toc 1"/>
    <w:basedOn w:val="Navaden"/>
    <w:next w:val="Navaden"/>
    <w:autoRedefine/>
    <w:uiPriority w:val="39"/>
    <w:unhideWhenUsed/>
    <w:rsid w:val="00B17EC3"/>
    <w:pPr>
      <w:tabs>
        <w:tab w:val="right" w:leader="dot" w:pos="9062"/>
      </w:tabs>
      <w:spacing w:after="100"/>
    </w:pPr>
    <w:rPr>
      <w:rFonts w:eastAsiaTheme="minorEastAsia" w:cs="Times New Roman"/>
      <w:lang w:eastAsia="sl-SI"/>
    </w:rPr>
  </w:style>
  <w:style w:type="paragraph" w:styleId="Kazalovsebine3">
    <w:name w:val="toc 3"/>
    <w:basedOn w:val="Navaden"/>
    <w:next w:val="Navaden"/>
    <w:autoRedefine/>
    <w:uiPriority w:val="39"/>
    <w:unhideWhenUsed/>
    <w:rsid w:val="00B17EC3"/>
    <w:pPr>
      <w:tabs>
        <w:tab w:val="right" w:leader="dot" w:pos="9062"/>
      </w:tabs>
      <w:spacing w:after="100"/>
      <w:ind w:left="440"/>
    </w:pPr>
    <w:rPr>
      <w:rFonts w:eastAsiaTheme="minorEastAsia" w:cs="Times New Roman"/>
      <w:lang w:eastAsia="sl-SI"/>
    </w:rPr>
  </w:style>
  <w:style w:type="character" w:customStyle="1" w:styleId="Hiperpovezava1">
    <w:name w:val="Hiperpovezava1"/>
    <w:basedOn w:val="Privzetapisavaodstavka"/>
    <w:uiPriority w:val="99"/>
    <w:unhideWhenUsed/>
    <w:rsid w:val="00043D06"/>
    <w:rPr>
      <w:color w:val="0563C1"/>
      <w:u w:val="single"/>
    </w:rPr>
  </w:style>
  <w:style w:type="paragraph" w:styleId="Revizija">
    <w:name w:val="Revision"/>
    <w:hidden/>
    <w:uiPriority w:val="99"/>
    <w:semiHidden/>
    <w:rsid w:val="00951BBB"/>
    <w:pPr>
      <w:spacing w:after="0" w:line="240" w:lineRule="auto"/>
    </w:pPr>
  </w:style>
  <w:style w:type="paragraph" w:styleId="HTML-oblikovano">
    <w:name w:val="HTML Preformatted"/>
    <w:basedOn w:val="Navaden"/>
    <w:link w:val="HTML-oblikovanoZnak"/>
    <w:uiPriority w:val="99"/>
    <w:semiHidden/>
    <w:unhideWhenUsed/>
    <w:rsid w:val="0084122A"/>
    <w:pPr>
      <w:spacing w:after="0" w:line="240" w:lineRule="auto"/>
    </w:pPr>
    <w:rPr>
      <w:rFonts w:ascii="Consolas" w:hAnsi="Consolas"/>
      <w:sz w:val="20"/>
      <w:szCs w:val="20"/>
    </w:rPr>
  </w:style>
  <w:style w:type="character" w:customStyle="1" w:styleId="HTML-oblikovanoZnak">
    <w:name w:val="HTML-oblikovano Znak"/>
    <w:basedOn w:val="Privzetapisavaodstavka"/>
    <w:link w:val="HTML-oblikovano"/>
    <w:uiPriority w:val="99"/>
    <w:semiHidden/>
    <w:rsid w:val="0084122A"/>
    <w:rPr>
      <w:rFonts w:ascii="Consolas" w:hAnsi="Consolas"/>
      <w:sz w:val="20"/>
      <w:szCs w:val="20"/>
    </w:rPr>
  </w:style>
  <w:style w:type="paragraph" w:customStyle="1" w:styleId="FootnotesymbolCarZchn">
    <w:name w:val="Footnote symbol Car Zchn"/>
    <w:aliases w:val="BVI fnr Car Zchn,Char Char Char Char Char Car Zchn,Exposant 3 Point Car Zchn,Footnote Car Zchn,Footnote Reference Superscript Car Zchn,SUPERS Car Zchn,Times 10 Point Car Zchn"/>
    <w:basedOn w:val="Navaden"/>
    <w:link w:val="Sprotnaopomba-sklic"/>
    <w:uiPriority w:val="99"/>
    <w:rsid w:val="00BD56EC"/>
    <w:pPr>
      <w:spacing w:before="60" w:line="240" w:lineRule="exact"/>
      <w:ind w:left="357" w:hanging="357"/>
      <w:jc w:val="both"/>
    </w:pPr>
    <w:rPr>
      <w:vertAlign w:val="superscript"/>
    </w:rPr>
  </w:style>
  <w:style w:type="paragraph" w:customStyle="1" w:styleId="datumtevilka">
    <w:name w:val="datum številka"/>
    <w:basedOn w:val="Navaden"/>
    <w:qFormat/>
    <w:rsid w:val="008D4B36"/>
    <w:pPr>
      <w:tabs>
        <w:tab w:val="left" w:pos="1701"/>
      </w:tabs>
      <w:spacing w:after="0" w:line="260" w:lineRule="exact"/>
    </w:pPr>
    <w:rPr>
      <w:rFonts w:ascii="Arial" w:eastAsia="Times New Roman" w:hAnsi="Arial" w:cs="Times New Roman"/>
      <w:sz w:val="20"/>
      <w:szCs w:val="20"/>
      <w:lang w:eastAsia="sl-SI"/>
    </w:rPr>
  </w:style>
  <w:style w:type="paragraph" w:customStyle="1" w:styleId="P68B1DB1-Navaden3">
    <w:name w:val="P68B1DB1-Navaden3"/>
    <w:basedOn w:val="Navaden"/>
    <w:rsid w:val="00C86DFF"/>
    <w:rPr>
      <w:rFonts w:ascii="Times New Roman" w:eastAsia="Times New Roman" w:hAnsi="Times New Roman" w:cs="Times New Roman"/>
      <w:sz w:val="24"/>
      <w:szCs w:val="20"/>
      <w:lang w:val="en"/>
    </w:rPr>
  </w:style>
  <w:style w:type="character" w:customStyle="1" w:styleId="Naslov3Znak">
    <w:name w:val="Naslov 3 Znak"/>
    <w:basedOn w:val="Privzetapisavaodstavka"/>
    <w:link w:val="Naslov3"/>
    <w:uiPriority w:val="9"/>
    <w:rsid w:val="00B17EC3"/>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vropskasredstva.si"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ess.gov.si/_files/12836/Porocilo_napovednik_zaposlovanja_2019_II.pdf" TargetMode="External"/><Relationship Id="rId13" Type="http://schemas.openxmlformats.org/officeDocument/2006/relationships/hyperlink" Target="https://pxweb.stat.si/SiStatData/pxweb/sl/Data/-/2700010S.px/table/tableViewLayout2/" TargetMode="External"/><Relationship Id="rId18" Type="http://schemas.openxmlformats.org/officeDocument/2006/relationships/hyperlink" Target="https://www.stat.si/StatWeb/news/Index/9877" TargetMode="External"/><Relationship Id="rId26" Type="http://schemas.openxmlformats.org/officeDocument/2006/relationships/hyperlink" Target="https://www.ess.gov.si/_files/15256/trg_dela_maj_2022.pdf" TargetMode="External"/><Relationship Id="rId3" Type="http://schemas.openxmlformats.org/officeDocument/2006/relationships/hyperlink" Target="https://ec.europa.eu/research-and-innovation/en/statistics/performance-indicators/european-innovation-scoreboard/eis" TargetMode="External"/><Relationship Id="rId21" Type="http://schemas.openxmlformats.org/officeDocument/2006/relationships/hyperlink" Target="https://pxweb.stat.si/SiStatData/pxweb/sl/Data/-/05C1015S.PX/table/tableViewLayout2/" TargetMode="External"/><Relationship Id="rId34" Type="http://schemas.openxmlformats.org/officeDocument/2006/relationships/hyperlink" Target="https://www.ess.gov.si/trg_dela/poklicni-barometer" TargetMode="External"/><Relationship Id="rId7" Type="http://schemas.openxmlformats.org/officeDocument/2006/relationships/hyperlink" Target="https://pxweb.stat.si/SiStatData/pxweb/sl/Data/-/1430911S.px" TargetMode="External"/><Relationship Id="rId12" Type="http://schemas.openxmlformats.org/officeDocument/2006/relationships/hyperlink" Target="https://www.stat.si/StatWeb/News/Index/9292" TargetMode="External"/><Relationship Id="rId17" Type="http://schemas.openxmlformats.org/officeDocument/2006/relationships/hyperlink" Target="https://pxweb.stat.si/SiStatData/pxweb/sl/Data/-/2750230S.px/" TargetMode="External"/><Relationship Id="rId25" Type="http://schemas.openxmlformats.org/officeDocument/2006/relationships/hyperlink" Target="https://www.gov.si/novice/2022-05-31-objavljamo-porocilo-kazalniki-blaginje/" TargetMode="External"/><Relationship Id="rId33" Type="http://schemas.openxmlformats.org/officeDocument/2006/relationships/hyperlink" Target="https://www.zsss.si/wp-content/uploads/2016/07/UMAR_2016_Demografske_Spremembe_C2_P.pdf" TargetMode="External"/><Relationship Id="rId2" Type="http://schemas.openxmlformats.org/officeDocument/2006/relationships/hyperlink" Target="https://pxweb.stat.si/SiStatData/pxweb/sl/Data/-/2372410S.px/table/tableViewLayout2/" TargetMode="External"/><Relationship Id="rId16" Type="http://schemas.openxmlformats.org/officeDocument/2006/relationships/hyperlink" Target="https://ec.europa.eu/eurostat/databrowser/view/cei_srm030/default/table?lang=en" TargetMode="External"/><Relationship Id="rId20" Type="http://schemas.openxmlformats.org/officeDocument/2006/relationships/hyperlink" Target="https://www.eee.europa.eu/data-and-maps/figures/trend-in-absolute-sea-level" TargetMode="External"/><Relationship Id="rId29" Type="http://schemas.openxmlformats.org/officeDocument/2006/relationships/hyperlink" Target="https://www.ess.gov.si/_files/14807/Porocilo_Napovednik_zaposlovanja_2021_jesen.pdf" TargetMode="External"/><Relationship Id="rId1" Type="http://schemas.openxmlformats.org/officeDocument/2006/relationships/hyperlink" Target="https://ec.europa.eu/environment/ecoap/indicators/index_en" TargetMode="External"/><Relationship Id="rId6" Type="http://schemas.openxmlformats.org/officeDocument/2006/relationships/hyperlink" Target="https://pxweb.stat.si/SiStatData/pxweb/sl/Data/-/1430911S.px" TargetMode="External"/><Relationship Id="rId11" Type="http://schemas.openxmlformats.org/officeDocument/2006/relationships/hyperlink" Target="https://www.stat.si/StatWeb/News/Index/9704" TargetMode="External"/><Relationship Id="rId24" Type="http://schemas.openxmlformats.org/officeDocument/2006/relationships/hyperlink" Target="https://www.ess.gov.si/_files/15231/Porocilo_Napovednik_zaposlovanja_pomlad_2022.pdf" TargetMode="External"/><Relationship Id="rId32" Type="http://schemas.openxmlformats.org/officeDocument/2006/relationships/hyperlink" Target="https://op.europa.eu/webpub/eac/education-and-training-monitor-2020/countries/slovenia_sl.html" TargetMode="External"/><Relationship Id="rId5" Type="http://schemas.openxmlformats.org/officeDocument/2006/relationships/hyperlink" Target="https://ec.europa.eu/eurostat/web/microdata/community-innovation-survey" TargetMode="External"/><Relationship Id="rId15" Type="http://schemas.openxmlformats.org/officeDocument/2006/relationships/hyperlink" Target="https://eur-lex.europa.eu/legal-content/EN/TXT/?uri=CELEX:52014DC0297" TargetMode="External"/><Relationship Id="rId23" Type="http://schemas.openxmlformats.org/officeDocument/2006/relationships/hyperlink" Target="https://pxweb.stat.si/SiStatData/pxweb/sl/Data/-/2221104S.px/table/tableViewLayout2/" TargetMode="External"/><Relationship Id="rId28" Type="http://schemas.openxmlformats.org/officeDocument/2006/relationships/hyperlink" Target="https://www.ess.gov.si/_files/14103/Analiza_Mladi_in_trg_dela_2021.pdf" TargetMode="External"/><Relationship Id="rId36" Type="http://schemas.openxmlformats.org/officeDocument/2006/relationships/hyperlink" Target="https://irssv.si/upload2/Socialni%20polozaj%20v%20Sloveniji%202018_2019_koncno%20porocilo.pdf" TargetMode="External"/><Relationship Id="rId10" Type="http://schemas.openxmlformats.org/officeDocument/2006/relationships/hyperlink" Target="file:///C:/Users/tstamcar/Downloads/DESI_2021__Slovenia__sl_2YufeG9fQdXFqDRq8mq8hlkjGY_80600.pdf" TargetMode="External"/><Relationship Id="rId19" Type="http://schemas.openxmlformats.org/officeDocument/2006/relationships/hyperlink" Target="https://www.gov.si/novice/2020-08-25-ministrstvo-za-obrambo-bo-za-podrocje-zascite-in-resevanja-poskusalo-pridobiti-evropska-sredstva/" TargetMode="External"/><Relationship Id="rId31" Type="http://schemas.openxmlformats.org/officeDocument/2006/relationships/hyperlink" Target="https://op.europa.eu/webpub/eac/education-and-training-monitor-2020/countries/slovenia_sl.html" TargetMode="External"/><Relationship Id="rId4" Type="http://schemas.openxmlformats.org/officeDocument/2006/relationships/hyperlink" Target="https://www.umar.gov.si/fileadmin/user_upload/razvoj_slovenije/2021/slovenski/POR2021_skupaj.pdf" TargetMode="External"/><Relationship Id="rId9" Type="http://schemas.openxmlformats.org/officeDocument/2006/relationships/hyperlink" Target="https://ec.europa.eu/newsroom/dae/redirection/document/80600" TargetMode="External"/><Relationship Id="rId14" Type="http://schemas.openxmlformats.org/officeDocument/2006/relationships/hyperlink" Target="https://www.gov.si/assets/ministrstva/MOP/Operativni-programi/op_odpadki_2022.pdf" TargetMode="External"/><Relationship Id="rId22" Type="http://schemas.openxmlformats.org/officeDocument/2006/relationships/hyperlink" Target="https://ec.europa.eu/futurium/en/system/files/ged/sul-nbs_finalactionplan_2018.pdf" TargetMode="External"/><Relationship Id="rId27" Type="http://schemas.openxmlformats.org/officeDocument/2006/relationships/hyperlink" Target="https://www.ess.gov.si/_files/15009/DBO_2022.pdf" TargetMode="External"/><Relationship Id="rId30" Type="http://schemas.openxmlformats.org/officeDocument/2006/relationships/hyperlink" Target="https://www.cedefop.europa.eu/files/cedefop_skills_forecast_2018_-_slovenia.pdf" TargetMode="External"/><Relationship Id="rId35" Type="http://schemas.openxmlformats.org/officeDocument/2006/relationships/hyperlink" Target="http://www.rs-rs.si/fileadmin/user_upload/Datoteke/Revizije/2019/KAM/KAM-2_RSP_RevizijskoP.pdf"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6884B19-5B10-4768-80F8-35FE97729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73</Pages>
  <Words>33122</Words>
  <Characters>188799</Characters>
  <Application>Microsoft Office Word</Application>
  <DocSecurity>0</DocSecurity>
  <Lines>1573</Lines>
  <Paragraphs>442</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221479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SVRK</dc:creator>
  <cp:lastModifiedBy>bblagus</cp:lastModifiedBy>
  <cp:revision>2</cp:revision>
  <cp:lastPrinted>2022-05-09T16:25:00Z</cp:lastPrinted>
  <dcterms:created xsi:type="dcterms:W3CDTF">2022-10-04T08:52:00Z</dcterms:created>
  <dcterms:modified xsi:type="dcterms:W3CDTF">2022-10-04T08:52:00Z</dcterms:modified>
</cp:coreProperties>
</file>