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0F" w:rsidRPr="002A52F6" w:rsidRDefault="005E310F" w:rsidP="005E310F">
      <w:pPr>
        <w:rPr>
          <w:rFonts w:ascii="Arial" w:hAnsi="Arial" w:cs="Arial"/>
          <w:b/>
          <w:sz w:val="20"/>
          <w:szCs w:val="20"/>
        </w:rPr>
      </w:pPr>
      <w:r w:rsidRPr="002A52F6">
        <w:rPr>
          <w:rFonts w:ascii="Arial" w:hAnsi="Arial" w:cs="Arial"/>
          <w:b/>
          <w:sz w:val="20"/>
          <w:szCs w:val="20"/>
        </w:rPr>
        <w:t>POSVE</w:t>
      </w:r>
      <w:r>
        <w:rPr>
          <w:rFonts w:ascii="Arial" w:hAnsi="Arial" w:cs="Arial"/>
          <w:b/>
          <w:sz w:val="20"/>
          <w:szCs w:val="20"/>
        </w:rPr>
        <w:t>TOVANJE IN USKLAJEVANJE P</w:t>
      </w:r>
      <w:r w:rsidRPr="002A52F6">
        <w:rPr>
          <w:rFonts w:ascii="Arial" w:hAnsi="Arial" w:cs="Arial"/>
          <w:b/>
          <w:sz w:val="20"/>
          <w:szCs w:val="20"/>
        </w:rPr>
        <w:t>ROGRA</w:t>
      </w:r>
      <w:r>
        <w:rPr>
          <w:rFonts w:ascii="Arial" w:hAnsi="Arial" w:cs="Arial"/>
          <w:b/>
          <w:sz w:val="20"/>
          <w:szCs w:val="20"/>
        </w:rPr>
        <w:t>MA</w:t>
      </w:r>
      <w:r w:rsidRPr="002A52F6">
        <w:rPr>
          <w:rFonts w:ascii="Arial" w:hAnsi="Arial" w:cs="Arial"/>
          <w:b/>
          <w:sz w:val="20"/>
          <w:szCs w:val="20"/>
        </w:rPr>
        <w:t xml:space="preserve"> </w:t>
      </w:r>
      <w:r>
        <w:rPr>
          <w:rFonts w:ascii="Arial" w:hAnsi="Arial" w:cs="Arial"/>
          <w:b/>
          <w:sz w:val="20"/>
          <w:szCs w:val="20"/>
        </w:rPr>
        <w:t>SNV</w:t>
      </w:r>
      <w:r w:rsidRPr="002A52F6">
        <w:rPr>
          <w:rFonts w:ascii="Arial" w:hAnsi="Arial" w:cs="Arial"/>
          <w:b/>
          <w:sz w:val="20"/>
          <w:szCs w:val="20"/>
        </w:rPr>
        <w:t xml:space="preserve"> 2021-2027</w:t>
      </w:r>
      <w:r>
        <w:rPr>
          <w:rFonts w:ascii="Arial" w:hAnsi="Arial" w:cs="Arial"/>
          <w:b/>
          <w:sz w:val="20"/>
          <w:szCs w:val="20"/>
        </w:rPr>
        <w:t xml:space="preserve"> Z DELEŽNIKI:</w:t>
      </w:r>
      <w:r w:rsidRPr="002A52F6">
        <w:rPr>
          <w:rFonts w:ascii="Arial" w:hAnsi="Arial" w:cs="Arial"/>
          <w:b/>
          <w:sz w:val="20"/>
          <w:szCs w:val="20"/>
        </w:rPr>
        <w:t xml:space="preserve"> POBUDE, VPRAŠANJA</w:t>
      </w:r>
      <w:r w:rsidR="006F4F40">
        <w:rPr>
          <w:rFonts w:ascii="Arial" w:hAnsi="Arial" w:cs="Arial"/>
          <w:b/>
          <w:sz w:val="20"/>
          <w:szCs w:val="20"/>
        </w:rPr>
        <w:t>,</w:t>
      </w:r>
      <w:bookmarkStart w:id="0" w:name="_GoBack"/>
      <w:bookmarkEnd w:id="0"/>
      <w:r w:rsidRPr="002A52F6">
        <w:rPr>
          <w:rFonts w:ascii="Arial" w:hAnsi="Arial" w:cs="Arial"/>
          <w:b/>
          <w:sz w:val="20"/>
          <w:szCs w:val="20"/>
        </w:rPr>
        <w:t xml:space="preserve"> ODGOVORI</w:t>
      </w:r>
    </w:p>
    <w:p w:rsidR="005E310F" w:rsidRDefault="005E310F" w:rsidP="005E310F">
      <w:pPr>
        <w:rPr>
          <w:rFonts w:ascii="Arial" w:hAnsi="Arial" w:cs="Arial"/>
          <w:sz w:val="20"/>
          <w:szCs w:val="20"/>
        </w:rPr>
      </w:pPr>
    </w:p>
    <w:p w:rsidR="005E310F" w:rsidRPr="002A52F6" w:rsidRDefault="005E310F" w:rsidP="005E310F">
      <w:pPr>
        <w:rPr>
          <w:rFonts w:ascii="Arial" w:hAnsi="Arial" w:cs="Arial"/>
          <w:sz w:val="20"/>
          <w:szCs w:val="20"/>
        </w:rPr>
      </w:pPr>
    </w:p>
    <w:p w:rsidR="005E310F" w:rsidRPr="002A52F6" w:rsidRDefault="005E310F" w:rsidP="005E310F">
      <w:pPr>
        <w:rPr>
          <w:rFonts w:ascii="Arial" w:hAnsi="Arial" w:cs="Arial"/>
          <w:sz w:val="20"/>
          <w:szCs w:val="20"/>
        </w:rPr>
      </w:pPr>
      <w:r>
        <w:rPr>
          <w:rFonts w:ascii="Arial" w:hAnsi="Arial" w:cs="Arial"/>
          <w:sz w:val="20"/>
          <w:szCs w:val="20"/>
        </w:rPr>
        <w:t>MNZ je 26</w:t>
      </w:r>
      <w:r w:rsidRPr="002A52F6">
        <w:rPr>
          <w:rFonts w:ascii="Arial" w:hAnsi="Arial" w:cs="Arial"/>
          <w:sz w:val="20"/>
          <w:szCs w:val="20"/>
        </w:rPr>
        <w:t>. </w:t>
      </w:r>
      <w:r>
        <w:rPr>
          <w:rFonts w:ascii="Arial" w:hAnsi="Arial" w:cs="Arial"/>
          <w:sz w:val="20"/>
          <w:szCs w:val="20"/>
        </w:rPr>
        <w:t>4</w:t>
      </w:r>
      <w:r w:rsidRPr="002A52F6">
        <w:rPr>
          <w:rFonts w:ascii="Arial" w:hAnsi="Arial" w:cs="Arial"/>
          <w:sz w:val="20"/>
          <w:szCs w:val="20"/>
        </w:rPr>
        <w:t xml:space="preserve">. 2022 deležnikom poslalo osnutek </w:t>
      </w:r>
      <w:r>
        <w:rPr>
          <w:rFonts w:ascii="Arial" w:hAnsi="Arial" w:cs="Arial"/>
          <w:sz w:val="20"/>
          <w:szCs w:val="20"/>
        </w:rPr>
        <w:t>P</w:t>
      </w:r>
      <w:r w:rsidRPr="002A52F6">
        <w:rPr>
          <w:rFonts w:ascii="Arial" w:hAnsi="Arial" w:cs="Arial"/>
          <w:sz w:val="20"/>
          <w:szCs w:val="20"/>
        </w:rPr>
        <w:t xml:space="preserve">rograma za Sklad za </w:t>
      </w:r>
      <w:r>
        <w:rPr>
          <w:rFonts w:ascii="Arial" w:hAnsi="Arial" w:cs="Arial"/>
          <w:sz w:val="20"/>
          <w:szCs w:val="20"/>
        </w:rPr>
        <w:t>notranjo varnost</w:t>
      </w:r>
      <w:r w:rsidRPr="002A52F6">
        <w:rPr>
          <w:rFonts w:ascii="Arial" w:hAnsi="Arial" w:cs="Arial"/>
          <w:sz w:val="20"/>
          <w:szCs w:val="20"/>
        </w:rPr>
        <w:t xml:space="preserve"> (</w:t>
      </w:r>
      <w:r>
        <w:rPr>
          <w:rFonts w:ascii="Arial" w:hAnsi="Arial" w:cs="Arial"/>
          <w:sz w:val="20"/>
          <w:szCs w:val="20"/>
        </w:rPr>
        <w:t>SNV</w:t>
      </w:r>
      <w:r w:rsidRPr="002A52F6">
        <w:rPr>
          <w:rFonts w:ascii="Arial" w:hAnsi="Arial" w:cs="Arial"/>
          <w:sz w:val="20"/>
          <w:szCs w:val="20"/>
        </w:rPr>
        <w:t>) za obdobje 2021-2027</w:t>
      </w:r>
      <w:r>
        <w:rPr>
          <w:rFonts w:ascii="Arial" w:hAnsi="Arial" w:cs="Arial"/>
          <w:color w:val="000000"/>
          <w:sz w:val="20"/>
          <w:szCs w:val="20"/>
        </w:rPr>
        <w:t xml:space="preserve"> ter Metodologijo za vzpostavitev okvira smotrnosti za izvajanje instrumenta SNV,</w:t>
      </w:r>
      <w:r>
        <w:rPr>
          <w:rFonts w:ascii="Arial" w:hAnsi="Arial" w:cs="Arial"/>
          <w:sz w:val="20"/>
          <w:szCs w:val="20"/>
        </w:rPr>
        <w:t xml:space="preserve"> </w:t>
      </w:r>
      <w:r w:rsidRPr="002A52F6">
        <w:rPr>
          <w:rFonts w:ascii="Arial" w:hAnsi="Arial" w:cs="Arial"/>
          <w:sz w:val="20"/>
          <w:szCs w:val="20"/>
        </w:rPr>
        <w:t xml:space="preserve"> v</w:t>
      </w:r>
      <w:r w:rsidRPr="002A52F6">
        <w:rPr>
          <w:rFonts w:ascii="Arial" w:hAnsi="Arial" w:cs="Arial"/>
          <w:color w:val="000000"/>
          <w:sz w:val="20"/>
          <w:szCs w:val="20"/>
        </w:rPr>
        <w:t xml:space="preserve"> seznanitev</w:t>
      </w:r>
      <w:r>
        <w:rPr>
          <w:rFonts w:ascii="Arial" w:hAnsi="Arial" w:cs="Arial"/>
          <w:color w:val="000000"/>
          <w:sz w:val="20"/>
          <w:szCs w:val="20"/>
        </w:rPr>
        <w:t>, potrditev</w:t>
      </w:r>
      <w:r w:rsidRPr="002A52F6">
        <w:rPr>
          <w:rFonts w:ascii="Arial" w:hAnsi="Arial" w:cs="Arial"/>
          <w:color w:val="000000"/>
          <w:sz w:val="20"/>
          <w:szCs w:val="20"/>
        </w:rPr>
        <w:t xml:space="preserve"> in </w:t>
      </w:r>
      <w:r>
        <w:rPr>
          <w:rFonts w:ascii="Arial" w:hAnsi="Arial" w:cs="Arial"/>
          <w:color w:val="000000"/>
          <w:sz w:val="20"/>
          <w:szCs w:val="20"/>
        </w:rPr>
        <w:t>morebitne komentarje</w:t>
      </w:r>
      <w:r w:rsidRPr="002A52F6">
        <w:rPr>
          <w:rFonts w:ascii="Arial" w:hAnsi="Arial" w:cs="Arial"/>
          <w:sz w:val="20"/>
          <w:szCs w:val="20"/>
        </w:rPr>
        <w:t>.</w:t>
      </w:r>
      <w:r>
        <w:rPr>
          <w:rFonts w:ascii="Arial" w:hAnsi="Arial" w:cs="Arial"/>
          <w:sz w:val="20"/>
          <w:szCs w:val="20"/>
        </w:rPr>
        <w:t xml:space="preserve"> V tabeli so podani nekateri odgovori na vprašanja ali pobude. MNZ je od deležnikov prejelo potrditve programov.</w:t>
      </w:r>
    </w:p>
    <w:p w:rsidR="005E310F" w:rsidRPr="002A52F6" w:rsidRDefault="005E310F" w:rsidP="005E310F">
      <w:pPr>
        <w:rPr>
          <w:rFonts w:ascii="Arial" w:hAnsi="Arial" w:cs="Arial"/>
          <w:sz w:val="20"/>
          <w:szCs w:val="20"/>
        </w:rPr>
      </w:pPr>
    </w:p>
    <w:p w:rsidR="005E310F" w:rsidRPr="002A52F6" w:rsidRDefault="005E310F" w:rsidP="005E310F">
      <w:pPr>
        <w:rPr>
          <w:rFonts w:ascii="Arial" w:hAnsi="Arial" w:cs="Arial"/>
          <w:sz w:val="20"/>
          <w:szCs w:val="20"/>
        </w:rPr>
      </w:pPr>
      <w:r w:rsidRPr="002A52F6">
        <w:rPr>
          <w:rFonts w:ascii="Arial" w:hAnsi="Arial" w:cs="Arial"/>
          <w:sz w:val="20"/>
          <w:szCs w:val="20"/>
        </w:rPr>
        <w:t xml:space="preserve">MNZ je </w:t>
      </w:r>
      <w:r>
        <w:rPr>
          <w:rFonts w:ascii="Arial" w:hAnsi="Arial" w:cs="Arial"/>
          <w:sz w:val="20"/>
          <w:szCs w:val="20"/>
        </w:rPr>
        <w:t>12.</w:t>
      </w:r>
      <w:r w:rsidRPr="002A52F6">
        <w:rPr>
          <w:rFonts w:ascii="Arial" w:hAnsi="Arial" w:cs="Arial"/>
          <w:sz w:val="20"/>
          <w:szCs w:val="20"/>
        </w:rPr>
        <w:t> </w:t>
      </w:r>
      <w:r>
        <w:rPr>
          <w:rFonts w:ascii="Arial" w:hAnsi="Arial" w:cs="Arial"/>
          <w:sz w:val="20"/>
          <w:szCs w:val="20"/>
        </w:rPr>
        <w:t>5</w:t>
      </w:r>
      <w:r w:rsidRPr="002A52F6">
        <w:rPr>
          <w:rFonts w:ascii="Arial" w:hAnsi="Arial" w:cs="Arial"/>
          <w:sz w:val="20"/>
          <w:szCs w:val="20"/>
        </w:rPr>
        <w:t>. 2022 izvedlo javni posvet v obliki avdio videlo konference, na katerem je podalo odgovore na pobudo in vprašanja deležnikov.</w:t>
      </w:r>
    </w:p>
    <w:p w:rsidR="005E310F" w:rsidRPr="002A52F6" w:rsidRDefault="005E310F" w:rsidP="005E310F">
      <w:pPr>
        <w:rPr>
          <w:rFonts w:ascii="Arial" w:hAnsi="Arial" w:cs="Arial"/>
          <w:sz w:val="20"/>
          <w:szCs w:val="20"/>
        </w:rPr>
      </w:pPr>
    </w:p>
    <w:p w:rsidR="005E310F" w:rsidRPr="002A52F6" w:rsidRDefault="005E310F" w:rsidP="005E310F">
      <w:pPr>
        <w:rPr>
          <w:rFonts w:ascii="Arial" w:hAnsi="Arial" w:cs="Arial"/>
          <w:sz w:val="20"/>
          <w:szCs w:val="20"/>
        </w:rPr>
      </w:pPr>
    </w:p>
    <w:tbl>
      <w:tblPr>
        <w:tblStyle w:val="Tabelamrea"/>
        <w:tblpPr w:leftFromText="141" w:rightFromText="141" w:vertAnchor="text" w:tblpY="1"/>
        <w:tblOverlap w:val="never"/>
        <w:tblW w:w="14029" w:type="dxa"/>
        <w:tblLook w:val="04A0" w:firstRow="1" w:lastRow="0" w:firstColumn="1" w:lastColumn="0" w:noHBand="0" w:noVBand="1"/>
        <w:tblCaption w:val="Pobude/ vprašanja deležnikov in odgovori"/>
        <w:tblDescription w:val="Vezano na pripravo programa za Sklad za notranjo varnost (SNV), je MNZ usklajevalo program z deležniki. Na podlagi pobud in vprašanj so podani odgovori."/>
      </w:tblPr>
      <w:tblGrid>
        <w:gridCol w:w="557"/>
        <w:gridCol w:w="1272"/>
        <w:gridCol w:w="1407"/>
        <w:gridCol w:w="4064"/>
        <w:gridCol w:w="1227"/>
        <w:gridCol w:w="5502"/>
      </w:tblGrid>
      <w:tr w:rsidR="005E310F" w:rsidRPr="00767D7E" w:rsidTr="008568A7">
        <w:trPr>
          <w:tblHeader/>
        </w:trPr>
        <w:tc>
          <w:tcPr>
            <w:tcW w:w="557" w:type="dxa"/>
            <w:shd w:val="clear" w:color="auto" w:fill="D9E2F3" w:themeFill="accent5" w:themeFillTint="33"/>
          </w:tcPr>
          <w:p w:rsidR="005E310F" w:rsidRPr="00767D7E" w:rsidRDefault="005E310F" w:rsidP="008568A7">
            <w:pPr>
              <w:rPr>
                <w:rFonts w:ascii="Arial" w:hAnsi="Arial" w:cs="Arial"/>
                <w:b/>
                <w:sz w:val="18"/>
                <w:szCs w:val="18"/>
              </w:rPr>
            </w:pPr>
            <w:r w:rsidRPr="00767D7E">
              <w:rPr>
                <w:rFonts w:ascii="Arial" w:hAnsi="Arial" w:cs="Arial"/>
                <w:b/>
                <w:sz w:val="18"/>
                <w:szCs w:val="18"/>
              </w:rPr>
              <w:t>ŠT.</w:t>
            </w:r>
          </w:p>
        </w:tc>
        <w:tc>
          <w:tcPr>
            <w:tcW w:w="1272" w:type="dxa"/>
            <w:shd w:val="clear" w:color="auto" w:fill="D9E2F3" w:themeFill="accent5" w:themeFillTint="33"/>
          </w:tcPr>
          <w:p w:rsidR="005E310F" w:rsidRPr="00767D7E" w:rsidRDefault="005E310F" w:rsidP="008568A7">
            <w:pPr>
              <w:rPr>
                <w:rFonts w:ascii="Arial" w:hAnsi="Arial" w:cs="Arial"/>
                <w:b/>
                <w:sz w:val="18"/>
                <w:szCs w:val="18"/>
              </w:rPr>
            </w:pPr>
            <w:r w:rsidRPr="00767D7E">
              <w:rPr>
                <w:rFonts w:ascii="Arial" w:hAnsi="Arial" w:cs="Arial"/>
                <w:b/>
                <w:sz w:val="18"/>
                <w:szCs w:val="18"/>
              </w:rPr>
              <w:t>DATUM</w:t>
            </w:r>
          </w:p>
        </w:tc>
        <w:tc>
          <w:tcPr>
            <w:tcW w:w="1407" w:type="dxa"/>
            <w:shd w:val="clear" w:color="auto" w:fill="D9E2F3" w:themeFill="accent5" w:themeFillTint="33"/>
          </w:tcPr>
          <w:p w:rsidR="005E310F" w:rsidRPr="00767D7E" w:rsidRDefault="005E310F" w:rsidP="008568A7">
            <w:pPr>
              <w:rPr>
                <w:rFonts w:ascii="Arial" w:hAnsi="Arial" w:cs="Arial"/>
                <w:b/>
                <w:sz w:val="18"/>
                <w:szCs w:val="18"/>
              </w:rPr>
            </w:pPr>
            <w:r w:rsidRPr="00767D7E">
              <w:rPr>
                <w:rFonts w:ascii="Arial" w:hAnsi="Arial" w:cs="Arial"/>
                <w:b/>
                <w:sz w:val="18"/>
                <w:szCs w:val="18"/>
              </w:rPr>
              <w:t>DELEŽNIK</w:t>
            </w:r>
          </w:p>
        </w:tc>
        <w:tc>
          <w:tcPr>
            <w:tcW w:w="4064" w:type="dxa"/>
            <w:shd w:val="clear" w:color="auto" w:fill="D9E2F3" w:themeFill="accent5" w:themeFillTint="33"/>
          </w:tcPr>
          <w:p w:rsidR="005E310F" w:rsidRPr="00767D7E" w:rsidRDefault="005E310F" w:rsidP="008568A7">
            <w:pPr>
              <w:rPr>
                <w:rFonts w:ascii="Arial" w:hAnsi="Arial" w:cs="Arial"/>
                <w:b/>
                <w:sz w:val="18"/>
                <w:szCs w:val="18"/>
              </w:rPr>
            </w:pPr>
            <w:r w:rsidRPr="00767D7E">
              <w:rPr>
                <w:rFonts w:ascii="Arial" w:hAnsi="Arial" w:cs="Arial"/>
                <w:b/>
                <w:sz w:val="18"/>
                <w:szCs w:val="18"/>
              </w:rPr>
              <w:t>POBUDA/VPRAŠANJE</w:t>
            </w:r>
          </w:p>
        </w:tc>
        <w:tc>
          <w:tcPr>
            <w:tcW w:w="1227" w:type="dxa"/>
            <w:shd w:val="clear" w:color="auto" w:fill="D9E2F3" w:themeFill="accent5" w:themeFillTint="33"/>
          </w:tcPr>
          <w:p w:rsidR="005E310F" w:rsidRPr="00767D7E" w:rsidRDefault="005E310F" w:rsidP="008568A7">
            <w:pPr>
              <w:rPr>
                <w:rFonts w:ascii="Arial" w:hAnsi="Arial" w:cs="Arial"/>
                <w:b/>
                <w:sz w:val="18"/>
                <w:szCs w:val="18"/>
              </w:rPr>
            </w:pPr>
            <w:r w:rsidRPr="00767D7E">
              <w:rPr>
                <w:rFonts w:ascii="Arial" w:hAnsi="Arial" w:cs="Arial"/>
                <w:b/>
                <w:sz w:val="18"/>
                <w:szCs w:val="18"/>
              </w:rPr>
              <w:t>SPECIFIČNI CILJ</w:t>
            </w:r>
          </w:p>
        </w:tc>
        <w:tc>
          <w:tcPr>
            <w:tcW w:w="5502" w:type="dxa"/>
            <w:shd w:val="clear" w:color="auto" w:fill="D9E2F3" w:themeFill="accent5" w:themeFillTint="33"/>
          </w:tcPr>
          <w:p w:rsidR="005E310F" w:rsidRPr="00767D7E" w:rsidRDefault="005E310F" w:rsidP="008568A7">
            <w:pPr>
              <w:rPr>
                <w:rFonts w:ascii="Arial" w:hAnsi="Arial" w:cs="Arial"/>
                <w:b/>
                <w:sz w:val="18"/>
                <w:szCs w:val="18"/>
              </w:rPr>
            </w:pPr>
            <w:r w:rsidRPr="00767D7E">
              <w:rPr>
                <w:rFonts w:ascii="Arial" w:hAnsi="Arial" w:cs="Arial"/>
                <w:b/>
                <w:sz w:val="18"/>
                <w:szCs w:val="18"/>
              </w:rPr>
              <w:t>ODGOVOR</w:t>
            </w:r>
          </w:p>
        </w:tc>
      </w:tr>
      <w:tr w:rsidR="005E310F" w:rsidRPr="00767D7E" w:rsidTr="008568A7">
        <w:tc>
          <w:tcPr>
            <w:tcW w:w="557" w:type="dxa"/>
          </w:tcPr>
          <w:p w:rsidR="005E310F" w:rsidRPr="00767D7E" w:rsidRDefault="005E310F" w:rsidP="008568A7">
            <w:pPr>
              <w:rPr>
                <w:rFonts w:ascii="Arial" w:hAnsi="Arial" w:cs="Arial"/>
                <w:sz w:val="18"/>
                <w:szCs w:val="18"/>
              </w:rPr>
            </w:pPr>
            <w:r w:rsidRPr="00767D7E">
              <w:rPr>
                <w:rFonts w:ascii="Arial" w:hAnsi="Arial" w:cs="Arial"/>
                <w:sz w:val="18"/>
                <w:szCs w:val="18"/>
              </w:rPr>
              <w:t>1</w:t>
            </w:r>
          </w:p>
        </w:tc>
        <w:tc>
          <w:tcPr>
            <w:tcW w:w="1272" w:type="dxa"/>
          </w:tcPr>
          <w:p w:rsidR="005E310F" w:rsidRPr="00767D7E" w:rsidRDefault="005E310F" w:rsidP="008568A7">
            <w:pPr>
              <w:rPr>
                <w:rFonts w:ascii="Arial" w:hAnsi="Arial" w:cs="Arial"/>
                <w:sz w:val="18"/>
                <w:szCs w:val="18"/>
              </w:rPr>
            </w:pPr>
            <w:r>
              <w:rPr>
                <w:rFonts w:ascii="Arial" w:hAnsi="Arial" w:cs="Arial"/>
                <w:sz w:val="18"/>
                <w:szCs w:val="18"/>
              </w:rPr>
              <w:t>Elektronska pošta 6</w:t>
            </w:r>
            <w:r w:rsidRPr="00767D7E">
              <w:rPr>
                <w:rFonts w:ascii="Arial" w:hAnsi="Arial" w:cs="Arial"/>
                <w:sz w:val="18"/>
                <w:szCs w:val="18"/>
              </w:rPr>
              <w:t>.</w:t>
            </w:r>
            <w:r w:rsidR="00297B97">
              <w:rPr>
                <w:rFonts w:ascii="Arial" w:hAnsi="Arial" w:cs="Arial"/>
                <w:sz w:val="18"/>
                <w:szCs w:val="18"/>
              </w:rPr>
              <w:t> </w:t>
            </w:r>
            <w:r>
              <w:rPr>
                <w:rFonts w:ascii="Arial" w:hAnsi="Arial" w:cs="Arial"/>
                <w:sz w:val="18"/>
                <w:szCs w:val="18"/>
              </w:rPr>
              <w:t>5</w:t>
            </w:r>
            <w:r w:rsidRPr="00767D7E">
              <w:rPr>
                <w:rFonts w:ascii="Arial" w:hAnsi="Arial" w:cs="Arial"/>
                <w:sz w:val="18"/>
                <w:szCs w:val="18"/>
              </w:rPr>
              <w:t>.</w:t>
            </w:r>
            <w:r w:rsidR="00297B97">
              <w:rPr>
                <w:rFonts w:ascii="Arial" w:hAnsi="Arial" w:cs="Arial"/>
                <w:sz w:val="18"/>
                <w:szCs w:val="18"/>
              </w:rPr>
              <w:t> </w:t>
            </w:r>
            <w:r w:rsidRPr="00767D7E">
              <w:rPr>
                <w:rFonts w:ascii="Arial" w:hAnsi="Arial" w:cs="Arial"/>
                <w:sz w:val="18"/>
                <w:szCs w:val="18"/>
              </w:rPr>
              <w:t>2022</w:t>
            </w:r>
          </w:p>
        </w:tc>
        <w:tc>
          <w:tcPr>
            <w:tcW w:w="1407" w:type="dxa"/>
          </w:tcPr>
          <w:p w:rsidR="005E310F" w:rsidRPr="00767D7E" w:rsidRDefault="005E310F" w:rsidP="008568A7">
            <w:pPr>
              <w:rPr>
                <w:rFonts w:ascii="Arial" w:hAnsi="Arial" w:cs="Arial"/>
                <w:sz w:val="18"/>
                <w:szCs w:val="18"/>
              </w:rPr>
            </w:pPr>
            <w:r>
              <w:rPr>
                <w:rFonts w:ascii="Arial" w:hAnsi="Arial" w:cs="Arial"/>
                <w:sz w:val="18"/>
                <w:szCs w:val="18"/>
              </w:rPr>
              <w:t>Društvo Ključ</w:t>
            </w:r>
          </w:p>
        </w:tc>
        <w:tc>
          <w:tcPr>
            <w:tcW w:w="4064" w:type="dxa"/>
          </w:tcPr>
          <w:p w:rsidR="005E310F" w:rsidRPr="00767D7E" w:rsidRDefault="005E310F" w:rsidP="008568A7">
            <w:pPr>
              <w:rPr>
                <w:rFonts w:ascii="Arial" w:hAnsi="Arial" w:cs="Arial"/>
                <w:sz w:val="18"/>
                <w:szCs w:val="18"/>
              </w:rPr>
            </w:pPr>
            <w:r w:rsidRPr="00AE7C56">
              <w:rPr>
                <w:rFonts w:ascii="Arial" w:hAnsi="Arial" w:cs="Arial"/>
                <w:sz w:val="18"/>
                <w:szCs w:val="18"/>
              </w:rPr>
              <w:t xml:space="preserve">Ne vem, če je tukaj primerna točka za komentar, ampak bi vseeno že na tem mestu, ko je priprava še v teku, izpostavila pomanjkljivost, ki je bila precej problematična v prejšnjem razpisu, in to je maksimalna urna postavka, ki smo jo lahko prijavljale NVO  (12,69 €/h bruto bruto) in ki ni bila niti v znesku povprečne slovenske plače. Prosimo, da pripombo pri </w:t>
            </w:r>
            <w:r>
              <w:rPr>
                <w:rFonts w:ascii="Arial" w:hAnsi="Arial" w:cs="Arial"/>
                <w:sz w:val="18"/>
                <w:szCs w:val="18"/>
              </w:rPr>
              <w:t xml:space="preserve">nadaljnji pripravi upoštevate. </w:t>
            </w:r>
          </w:p>
        </w:tc>
        <w:tc>
          <w:tcPr>
            <w:tcW w:w="1227" w:type="dxa"/>
          </w:tcPr>
          <w:p w:rsidR="005E310F" w:rsidRPr="00767D7E" w:rsidRDefault="005E310F" w:rsidP="008568A7">
            <w:pPr>
              <w:rPr>
                <w:rFonts w:ascii="Arial" w:hAnsi="Arial" w:cs="Arial"/>
                <w:sz w:val="18"/>
                <w:szCs w:val="18"/>
              </w:rPr>
            </w:pPr>
            <w:r>
              <w:rPr>
                <w:rFonts w:ascii="Arial" w:hAnsi="Arial" w:cs="Arial"/>
                <w:sz w:val="18"/>
                <w:szCs w:val="18"/>
              </w:rPr>
              <w:t>SO3</w:t>
            </w:r>
          </w:p>
        </w:tc>
        <w:tc>
          <w:tcPr>
            <w:tcW w:w="5502" w:type="dxa"/>
          </w:tcPr>
          <w:p w:rsidR="005E310F" w:rsidRPr="001B233D" w:rsidRDefault="005E310F" w:rsidP="008568A7">
            <w:pPr>
              <w:rPr>
                <w:rFonts w:ascii="Arial" w:hAnsi="Arial" w:cs="Arial"/>
                <w:sz w:val="18"/>
                <w:szCs w:val="18"/>
              </w:rPr>
            </w:pPr>
            <w:r>
              <w:rPr>
                <w:rFonts w:ascii="Arial" w:hAnsi="Arial" w:cs="Arial"/>
                <w:sz w:val="18"/>
                <w:szCs w:val="18"/>
              </w:rPr>
              <w:t>Z</w:t>
            </w:r>
            <w:r w:rsidRPr="00AE7C56">
              <w:rPr>
                <w:rFonts w:ascii="Arial" w:hAnsi="Arial" w:cs="Arial"/>
                <w:sz w:val="18"/>
                <w:szCs w:val="18"/>
              </w:rPr>
              <w:t xml:space="preserve">ahvaljujemo se za vaš komentar. Predlog bomo vsekakor upoštevali v fazi javnih razpisov, ko bo </w:t>
            </w:r>
            <w:r>
              <w:rPr>
                <w:rFonts w:ascii="Arial" w:hAnsi="Arial" w:cs="Arial"/>
                <w:sz w:val="18"/>
                <w:szCs w:val="18"/>
              </w:rPr>
              <w:t>P</w:t>
            </w:r>
            <w:r w:rsidRPr="00AE7C56">
              <w:rPr>
                <w:rFonts w:ascii="Arial" w:hAnsi="Arial" w:cs="Arial"/>
                <w:sz w:val="18"/>
                <w:szCs w:val="18"/>
              </w:rPr>
              <w:t xml:space="preserve">rogram v izvajanju. Obveščamo vas, da omejitev višine </w:t>
            </w:r>
            <w:r>
              <w:rPr>
                <w:rFonts w:ascii="Arial" w:hAnsi="Arial" w:cs="Arial"/>
                <w:sz w:val="18"/>
                <w:szCs w:val="18"/>
              </w:rPr>
              <w:t>plače za pripravo P</w:t>
            </w:r>
            <w:r w:rsidRPr="00AE7C56">
              <w:rPr>
                <w:rFonts w:ascii="Arial" w:hAnsi="Arial" w:cs="Arial"/>
                <w:sz w:val="18"/>
                <w:szCs w:val="18"/>
              </w:rPr>
              <w:t>rograma oz. v tej fazi še ni aktualna.</w:t>
            </w:r>
          </w:p>
        </w:tc>
      </w:tr>
      <w:tr w:rsidR="005E310F" w:rsidRPr="00767D7E" w:rsidTr="008568A7">
        <w:tc>
          <w:tcPr>
            <w:tcW w:w="557" w:type="dxa"/>
          </w:tcPr>
          <w:p w:rsidR="005E310F" w:rsidRPr="00767D7E" w:rsidRDefault="005E310F" w:rsidP="008568A7">
            <w:pPr>
              <w:rPr>
                <w:rFonts w:ascii="Arial" w:hAnsi="Arial" w:cs="Arial"/>
                <w:sz w:val="18"/>
                <w:szCs w:val="18"/>
              </w:rPr>
            </w:pPr>
            <w:r w:rsidRPr="00767D7E">
              <w:rPr>
                <w:rFonts w:ascii="Arial" w:hAnsi="Arial" w:cs="Arial"/>
                <w:sz w:val="18"/>
                <w:szCs w:val="18"/>
              </w:rPr>
              <w:t>2</w:t>
            </w:r>
          </w:p>
        </w:tc>
        <w:tc>
          <w:tcPr>
            <w:tcW w:w="1272" w:type="dxa"/>
          </w:tcPr>
          <w:p w:rsidR="005E310F" w:rsidRPr="00767D7E" w:rsidRDefault="005E310F" w:rsidP="008568A7">
            <w:pPr>
              <w:rPr>
                <w:rFonts w:ascii="Arial" w:hAnsi="Arial" w:cs="Arial"/>
                <w:sz w:val="18"/>
                <w:szCs w:val="18"/>
              </w:rPr>
            </w:pPr>
            <w:r>
              <w:rPr>
                <w:rFonts w:ascii="Arial" w:hAnsi="Arial" w:cs="Arial"/>
                <w:sz w:val="18"/>
                <w:szCs w:val="18"/>
              </w:rPr>
              <w:t>Elektronska pošta 10</w:t>
            </w:r>
            <w:r w:rsidRPr="00767D7E">
              <w:rPr>
                <w:rFonts w:ascii="Arial" w:hAnsi="Arial" w:cs="Arial"/>
                <w:sz w:val="18"/>
                <w:szCs w:val="18"/>
              </w:rPr>
              <w:t>.</w:t>
            </w:r>
            <w:r w:rsidR="00297B97">
              <w:rPr>
                <w:rFonts w:ascii="Arial" w:hAnsi="Arial" w:cs="Arial"/>
                <w:sz w:val="18"/>
                <w:szCs w:val="18"/>
              </w:rPr>
              <w:t> </w:t>
            </w:r>
            <w:r>
              <w:rPr>
                <w:rFonts w:ascii="Arial" w:hAnsi="Arial" w:cs="Arial"/>
                <w:sz w:val="18"/>
                <w:szCs w:val="18"/>
              </w:rPr>
              <w:t>5</w:t>
            </w:r>
            <w:r w:rsidRPr="00767D7E">
              <w:rPr>
                <w:rFonts w:ascii="Arial" w:hAnsi="Arial" w:cs="Arial"/>
                <w:sz w:val="18"/>
                <w:szCs w:val="18"/>
              </w:rPr>
              <w:t>.</w:t>
            </w:r>
            <w:r w:rsidR="00297B97">
              <w:rPr>
                <w:rFonts w:ascii="Arial" w:hAnsi="Arial" w:cs="Arial"/>
                <w:sz w:val="18"/>
                <w:szCs w:val="18"/>
              </w:rPr>
              <w:t> </w:t>
            </w:r>
            <w:r w:rsidRPr="00767D7E">
              <w:rPr>
                <w:rFonts w:ascii="Arial" w:hAnsi="Arial" w:cs="Arial"/>
                <w:sz w:val="18"/>
                <w:szCs w:val="18"/>
              </w:rPr>
              <w:t>2022</w:t>
            </w:r>
          </w:p>
        </w:tc>
        <w:tc>
          <w:tcPr>
            <w:tcW w:w="1407" w:type="dxa"/>
          </w:tcPr>
          <w:p w:rsidR="005E310F" w:rsidRPr="00767D7E" w:rsidRDefault="005E310F" w:rsidP="008568A7">
            <w:pPr>
              <w:rPr>
                <w:rFonts w:ascii="Arial" w:hAnsi="Arial" w:cs="Arial"/>
                <w:sz w:val="18"/>
                <w:szCs w:val="18"/>
              </w:rPr>
            </w:pPr>
            <w:r>
              <w:rPr>
                <w:rFonts w:ascii="Arial" w:hAnsi="Arial" w:cs="Arial"/>
                <w:sz w:val="18"/>
                <w:szCs w:val="18"/>
              </w:rPr>
              <w:t>ZMOS – Združenje mestnih občin Slovenije</w:t>
            </w:r>
          </w:p>
        </w:tc>
        <w:tc>
          <w:tcPr>
            <w:tcW w:w="4064" w:type="dxa"/>
          </w:tcPr>
          <w:p w:rsidR="005E310F" w:rsidRPr="009B01D3" w:rsidRDefault="005E310F" w:rsidP="008568A7">
            <w:pPr>
              <w:rPr>
                <w:rFonts w:ascii="Arial" w:hAnsi="Arial" w:cs="Arial"/>
                <w:sz w:val="18"/>
                <w:szCs w:val="18"/>
              </w:rPr>
            </w:pPr>
            <w:r w:rsidRPr="009B01D3">
              <w:rPr>
                <w:rFonts w:ascii="Arial" w:hAnsi="Arial" w:cs="Arial"/>
                <w:sz w:val="18"/>
                <w:szCs w:val="18"/>
              </w:rPr>
              <w:t xml:space="preserve">V splošnem menimo, da so predvideni ukrepi dobrodošli in da pomenijo korak k modernizaciji dela, kar lahko pozitivno vpliva na odkrivanje in preiskovanje predvsem hudih oblik kaznivih dejanj. Obenem pa menimo, da je v dokumentu zapostavljena vloga lokalne ravni, saj kot del varnostnega sistema vidimo tudi delovanje </w:t>
            </w:r>
            <w:r w:rsidRPr="009B01D3">
              <w:rPr>
                <w:rFonts w:ascii="Arial" w:hAnsi="Arial" w:cs="Arial"/>
                <w:sz w:val="18"/>
                <w:szCs w:val="18"/>
              </w:rPr>
              <w:lastRenderedPageBreak/>
              <w:t>mestnih oziroma občinskih redarstev. Čeprav je policija primaren subjekt zagotavljanja varnosti, ne smemo pozabiti, da je za uspešno in celovito zagotavljanje varnosti, spopadanje s kriminaliteto, razvoj ter modernizacijo policijske dejavnosti v Sloveniji ključno sodelovanje, izmenjava informacij in partnerstvo z drugimi subjekti zagotavljanja varnosti ter nenazadnje tudi lokalnimi skupnostmi. Skladno s tem vam predlagamo, da za občinska redarstva predvidite posebne ukrepe, ki bodo prispevali h krepitvi in kakovosti njihovega delovanja ali da jih vsaj v čim večji meri vključite v izvajanje ukrepov.</w:t>
            </w:r>
          </w:p>
          <w:p w:rsidR="005E310F" w:rsidRPr="009B01D3" w:rsidRDefault="005E310F" w:rsidP="008568A7">
            <w:pPr>
              <w:rPr>
                <w:rFonts w:ascii="Arial" w:hAnsi="Arial" w:cs="Arial"/>
                <w:sz w:val="18"/>
                <w:szCs w:val="18"/>
              </w:rPr>
            </w:pPr>
          </w:p>
          <w:p w:rsidR="005E310F" w:rsidRPr="009B01D3" w:rsidRDefault="005E310F" w:rsidP="008568A7">
            <w:pPr>
              <w:rPr>
                <w:rFonts w:ascii="Arial" w:hAnsi="Arial" w:cs="Arial"/>
                <w:sz w:val="18"/>
                <w:szCs w:val="18"/>
              </w:rPr>
            </w:pPr>
            <w:r w:rsidRPr="009B01D3">
              <w:rPr>
                <w:rFonts w:ascii="Arial" w:hAnsi="Arial" w:cs="Arial"/>
                <w:sz w:val="18"/>
                <w:szCs w:val="18"/>
              </w:rPr>
              <w:t>Izražamo tudi interes za sodelovanje v bodočem Odboru za spremljanje skladov s področja</w:t>
            </w:r>
            <w:r>
              <w:rPr>
                <w:rFonts w:ascii="Arial" w:hAnsi="Arial" w:cs="Arial"/>
                <w:sz w:val="18"/>
                <w:szCs w:val="18"/>
              </w:rPr>
              <w:t xml:space="preserve"> notranje varnosti in migracij.</w:t>
            </w:r>
          </w:p>
          <w:p w:rsidR="005E310F" w:rsidRPr="00767D7E" w:rsidRDefault="005E310F" w:rsidP="008568A7">
            <w:pPr>
              <w:rPr>
                <w:rFonts w:ascii="Arial" w:hAnsi="Arial" w:cs="Arial"/>
                <w:sz w:val="18"/>
                <w:szCs w:val="18"/>
              </w:rPr>
            </w:pPr>
          </w:p>
        </w:tc>
        <w:tc>
          <w:tcPr>
            <w:tcW w:w="1227" w:type="dxa"/>
          </w:tcPr>
          <w:p w:rsidR="005E310F" w:rsidRPr="00767D7E" w:rsidRDefault="005E310F" w:rsidP="008568A7">
            <w:pPr>
              <w:rPr>
                <w:rFonts w:ascii="Arial" w:hAnsi="Arial" w:cs="Arial"/>
                <w:sz w:val="18"/>
                <w:szCs w:val="18"/>
              </w:rPr>
            </w:pPr>
            <w:r>
              <w:rPr>
                <w:rFonts w:ascii="Arial" w:hAnsi="Arial" w:cs="Arial"/>
                <w:sz w:val="18"/>
                <w:szCs w:val="18"/>
              </w:rPr>
              <w:lastRenderedPageBreak/>
              <w:t>splošno</w:t>
            </w:r>
          </w:p>
        </w:tc>
        <w:tc>
          <w:tcPr>
            <w:tcW w:w="5502" w:type="dxa"/>
          </w:tcPr>
          <w:p w:rsidR="005E310F" w:rsidRPr="005E310F" w:rsidRDefault="005E310F" w:rsidP="008568A7">
            <w:pPr>
              <w:rPr>
                <w:rFonts w:ascii="Arial" w:hAnsi="Arial" w:cs="Arial"/>
                <w:sz w:val="18"/>
                <w:szCs w:val="18"/>
              </w:rPr>
            </w:pPr>
            <w:r w:rsidRPr="005E310F">
              <w:rPr>
                <w:rFonts w:ascii="Arial" w:hAnsi="Arial" w:cs="Arial"/>
                <w:sz w:val="18"/>
                <w:szCs w:val="18"/>
              </w:rPr>
              <w:t xml:space="preserve">Uredba o vzpostavitvi Sklada za notranjo varnost določa, da so  cilji politike sklada prispevati k zagotavljanju visoke ravni varnosti v Uniji, zlasti s preprečevanjem terorizma in radikalizacije, hudih kaznivih dejanj in organiziranega kriminala ter kibernetske kriminalitete in bojem proti njim, s pomočjo žrtvam kaznivih dejanj in njihovo zaščito ter s pripravami na z varnostjo povezane incidente, tveganja in krize, zaščito pred njimi in njihovim </w:t>
            </w:r>
            <w:r w:rsidRPr="005E310F">
              <w:rPr>
                <w:rFonts w:ascii="Arial" w:hAnsi="Arial" w:cs="Arial"/>
                <w:sz w:val="18"/>
                <w:szCs w:val="18"/>
              </w:rPr>
              <w:lastRenderedPageBreak/>
              <w:t>učinkovitim obvladovanjem v okviru področja uporabe te uredbe. Glede na navedeno policija redne naloge v notranjosti države pokriva iz nacionalnih sredstev, naloge, povezane z varnostno problematiko s čezmejnim obeležjem, pa iz Sklada za notranjo varnost. Posledično tudi delovanja občinskih redarstev ne moremo financirati iz teh sredstev, saj to ne bi bilo v skladu s cilji uredbe.</w:t>
            </w:r>
          </w:p>
          <w:p w:rsidR="005E310F" w:rsidRPr="005E310F" w:rsidRDefault="005E310F" w:rsidP="008568A7">
            <w:pPr>
              <w:rPr>
                <w:rFonts w:ascii="Arial" w:hAnsi="Arial" w:cs="Arial"/>
                <w:sz w:val="18"/>
                <w:szCs w:val="18"/>
              </w:rPr>
            </w:pPr>
          </w:p>
        </w:tc>
      </w:tr>
      <w:tr w:rsidR="005E310F" w:rsidRPr="00767D7E" w:rsidTr="008568A7">
        <w:tc>
          <w:tcPr>
            <w:tcW w:w="557" w:type="dxa"/>
          </w:tcPr>
          <w:p w:rsidR="005E310F" w:rsidRPr="00767D7E" w:rsidRDefault="005E310F" w:rsidP="008568A7">
            <w:pPr>
              <w:rPr>
                <w:rFonts w:ascii="Arial" w:hAnsi="Arial" w:cs="Arial"/>
                <w:sz w:val="18"/>
                <w:szCs w:val="18"/>
              </w:rPr>
            </w:pPr>
            <w:r w:rsidRPr="00767D7E">
              <w:rPr>
                <w:rFonts w:ascii="Arial" w:hAnsi="Arial" w:cs="Arial"/>
                <w:sz w:val="18"/>
                <w:szCs w:val="18"/>
              </w:rPr>
              <w:lastRenderedPageBreak/>
              <w:t>3</w:t>
            </w:r>
          </w:p>
        </w:tc>
        <w:tc>
          <w:tcPr>
            <w:tcW w:w="1272" w:type="dxa"/>
          </w:tcPr>
          <w:p w:rsidR="005E310F" w:rsidRPr="00767D7E" w:rsidRDefault="005E310F" w:rsidP="008568A7">
            <w:pPr>
              <w:rPr>
                <w:rFonts w:ascii="Arial" w:hAnsi="Arial" w:cs="Arial"/>
                <w:sz w:val="18"/>
                <w:szCs w:val="18"/>
              </w:rPr>
            </w:pPr>
            <w:r>
              <w:rPr>
                <w:rFonts w:ascii="Arial" w:hAnsi="Arial" w:cs="Arial"/>
                <w:sz w:val="18"/>
                <w:szCs w:val="18"/>
              </w:rPr>
              <w:t>Posvet o usklajevanju Programa SNV, 12.</w:t>
            </w:r>
            <w:r w:rsidR="00297B97">
              <w:rPr>
                <w:rFonts w:ascii="Arial" w:hAnsi="Arial" w:cs="Arial"/>
                <w:sz w:val="18"/>
                <w:szCs w:val="18"/>
              </w:rPr>
              <w:t> </w:t>
            </w:r>
            <w:r>
              <w:rPr>
                <w:rFonts w:ascii="Arial" w:hAnsi="Arial" w:cs="Arial"/>
                <w:sz w:val="18"/>
                <w:szCs w:val="18"/>
              </w:rPr>
              <w:t>5.</w:t>
            </w:r>
            <w:r w:rsidR="00297B97">
              <w:rPr>
                <w:rFonts w:ascii="Arial" w:hAnsi="Arial" w:cs="Arial"/>
                <w:sz w:val="18"/>
                <w:szCs w:val="18"/>
              </w:rPr>
              <w:t> </w:t>
            </w:r>
            <w:r>
              <w:rPr>
                <w:rFonts w:ascii="Arial" w:hAnsi="Arial" w:cs="Arial"/>
                <w:sz w:val="18"/>
                <w:szCs w:val="18"/>
              </w:rPr>
              <w:t>2022</w:t>
            </w:r>
          </w:p>
        </w:tc>
        <w:tc>
          <w:tcPr>
            <w:tcW w:w="1407" w:type="dxa"/>
          </w:tcPr>
          <w:p w:rsidR="005E310F" w:rsidRPr="00767D7E" w:rsidRDefault="005E310F" w:rsidP="008568A7">
            <w:pPr>
              <w:rPr>
                <w:rFonts w:ascii="Arial" w:hAnsi="Arial" w:cs="Arial"/>
                <w:sz w:val="18"/>
                <w:szCs w:val="18"/>
              </w:rPr>
            </w:pPr>
            <w:r w:rsidRPr="00751861">
              <w:rPr>
                <w:rFonts w:ascii="Arial" w:hAnsi="Arial" w:cs="Arial"/>
                <w:sz w:val="18"/>
                <w:szCs w:val="18"/>
              </w:rPr>
              <w:t>Društvo Ključ – center za boj proti trgovanju z ljudmi</w:t>
            </w:r>
          </w:p>
        </w:tc>
        <w:tc>
          <w:tcPr>
            <w:tcW w:w="4064" w:type="dxa"/>
          </w:tcPr>
          <w:p w:rsidR="005E310F" w:rsidRPr="00E023D7" w:rsidRDefault="005E310F" w:rsidP="008568A7">
            <w:pPr>
              <w:rPr>
                <w:rFonts w:ascii="Arial" w:hAnsi="Arial" w:cs="Arial"/>
                <w:sz w:val="18"/>
                <w:szCs w:val="18"/>
              </w:rPr>
            </w:pPr>
            <w:r w:rsidRPr="00751861">
              <w:rPr>
                <w:rFonts w:ascii="Arial" w:hAnsi="Arial" w:cs="Arial"/>
                <w:sz w:val="18"/>
                <w:szCs w:val="18"/>
              </w:rPr>
              <w:t>Polona Kovač se je zahvalila za odlično pripravljen program. Veseli so, kadar se podpirajo programi, ki dopolnjujejo nujne aktivnosti ter aktivnosti, ki jih lahko izvaja civilna družba. Povedala je, da se veselijo razpisa. Postavila je vprašanje, kdaj se pričakujejo ti javni razpisi ter ali bo to še v tem koledarskem letu.</w:t>
            </w:r>
          </w:p>
        </w:tc>
        <w:tc>
          <w:tcPr>
            <w:tcW w:w="1227" w:type="dxa"/>
          </w:tcPr>
          <w:p w:rsidR="005E310F" w:rsidRPr="00767D7E" w:rsidRDefault="005E310F" w:rsidP="008568A7">
            <w:pPr>
              <w:rPr>
                <w:rFonts w:ascii="Arial" w:hAnsi="Arial" w:cs="Arial"/>
                <w:sz w:val="18"/>
                <w:szCs w:val="18"/>
              </w:rPr>
            </w:pPr>
          </w:p>
        </w:tc>
        <w:tc>
          <w:tcPr>
            <w:tcW w:w="5502" w:type="dxa"/>
          </w:tcPr>
          <w:p w:rsidR="005E310F" w:rsidRPr="001B233D" w:rsidRDefault="005E310F" w:rsidP="008568A7">
            <w:pPr>
              <w:rPr>
                <w:rFonts w:ascii="Arial" w:hAnsi="Arial" w:cs="Arial"/>
                <w:iCs/>
                <w:sz w:val="18"/>
                <w:szCs w:val="18"/>
              </w:rPr>
            </w:pPr>
            <w:r>
              <w:rPr>
                <w:rFonts w:ascii="Arial" w:hAnsi="Arial" w:cs="Arial"/>
                <w:iCs/>
                <w:sz w:val="18"/>
                <w:szCs w:val="18"/>
              </w:rPr>
              <w:t xml:space="preserve">Odgovor, podan na posvetu: </w:t>
            </w:r>
            <w:r w:rsidRPr="00751861">
              <w:rPr>
                <w:rFonts w:ascii="Arial" w:hAnsi="Arial" w:cs="Arial"/>
                <w:iCs/>
                <w:sz w:val="18"/>
                <w:szCs w:val="18"/>
              </w:rPr>
              <w:t>Program bomo najprej poslali v potrditev na Vlado, ni sicer še jasno, katera Vlada bo lahko to potrdila. Potem se pošlje program na EK in po njegovi potrditvi s strani EK, se lahko začne s postopki za črpanje sredstev. Želimo si, da bi pričeli s črpanjem sredstev še letos, ni pa možno tega točno napovedati, zaradi potrebnih postopkov za sprejem programa. Želimo izkoristiti to prehodno obdobje za pripravo na dobro izvajanje programa, saj najbolj resne naloge še sledijo, to je sama izvedba programa in ustrezno upravičeno črpanje sredstev, kar predstavlja največji izziv.</w:t>
            </w:r>
          </w:p>
        </w:tc>
      </w:tr>
    </w:tbl>
    <w:p w:rsidR="005E310F" w:rsidRDefault="005E310F" w:rsidP="005E310F">
      <w:pPr>
        <w:tabs>
          <w:tab w:val="left" w:pos="1547"/>
        </w:tabs>
      </w:pPr>
    </w:p>
    <w:p w:rsidR="00CF6D8F" w:rsidRPr="005E310F" w:rsidRDefault="00CF6D8F" w:rsidP="005E310F"/>
    <w:sectPr w:rsidR="00CF6D8F" w:rsidRPr="005E310F" w:rsidSect="00297B97">
      <w:footerReference w:type="default" r:id="rId7"/>
      <w:headerReference w:type="first" r:id="rId8"/>
      <w:footerReference w:type="first" r:id="rId9"/>
      <w:pgSz w:w="16840" w:h="11900" w:orient="landscape" w:code="9"/>
      <w:pgMar w:top="1701" w:right="1701" w:bottom="1701" w:left="1134" w:header="2243" w:footer="61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C5A" w:rsidRDefault="000F2C5A">
      <w:r>
        <w:separator/>
      </w:r>
    </w:p>
  </w:endnote>
  <w:endnote w:type="continuationSeparator" w:id="0">
    <w:p w:rsidR="000F2C5A" w:rsidRDefault="000F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828748"/>
      <w:docPartObj>
        <w:docPartGallery w:val="Page Numbers (Bottom of Page)"/>
        <w:docPartUnique/>
      </w:docPartObj>
    </w:sdtPr>
    <w:sdtEndPr/>
    <w:sdtContent>
      <w:p w:rsidR="005B3178" w:rsidRDefault="005B3178">
        <w:pPr>
          <w:pStyle w:val="Noga"/>
          <w:jc w:val="center"/>
        </w:pPr>
        <w:r>
          <w:fldChar w:fldCharType="begin"/>
        </w:r>
        <w:r>
          <w:instrText>PAGE   \* MERGEFORMAT</w:instrText>
        </w:r>
        <w:r>
          <w:fldChar w:fldCharType="separate"/>
        </w:r>
        <w:r w:rsidR="006F4F40">
          <w:rPr>
            <w:noProof/>
          </w:rPr>
          <w:t>2</w:t>
        </w:r>
        <w:r>
          <w:fldChar w:fldCharType="end"/>
        </w:r>
      </w:p>
    </w:sdtContent>
  </w:sdt>
  <w:p w:rsidR="005B3178" w:rsidRDefault="005B317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919306"/>
      <w:docPartObj>
        <w:docPartGallery w:val="Page Numbers (Bottom of Page)"/>
        <w:docPartUnique/>
      </w:docPartObj>
    </w:sdtPr>
    <w:sdtEndPr/>
    <w:sdtContent>
      <w:p w:rsidR="005B3178" w:rsidRDefault="005B3178">
        <w:pPr>
          <w:pStyle w:val="Noga"/>
          <w:jc w:val="center"/>
        </w:pPr>
        <w:r>
          <w:fldChar w:fldCharType="begin"/>
        </w:r>
        <w:r>
          <w:instrText>PAGE   \* MERGEFORMAT</w:instrText>
        </w:r>
        <w:r>
          <w:fldChar w:fldCharType="separate"/>
        </w:r>
        <w:r w:rsidR="006F4F40">
          <w:rPr>
            <w:noProof/>
          </w:rPr>
          <w:t>1</w:t>
        </w:r>
        <w:r>
          <w:fldChar w:fldCharType="end"/>
        </w:r>
      </w:p>
    </w:sdtContent>
  </w:sdt>
  <w:p w:rsidR="005B3178" w:rsidRDefault="005B31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C5A" w:rsidRDefault="000F2C5A">
      <w:r>
        <w:separator/>
      </w:r>
    </w:p>
  </w:footnote>
  <w:footnote w:type="continuationSeparator" w:id="0">
    <w:p w:rsidR="000F2C5A" w:rsidRDefault="000F2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0A6" w:rsidRPr="008F3500" w:rsidRDefault="001D59DA" w:rsidP="001D59DA">
    <w:pPr>
      <w:pStyle w:val="Glava"/>
      <w:tabs>
        <w:tab w:val="clear" w:pos="4320"/>
        <w:tab w:val="clear" w:pos="8640"/>
        <w:tab w:val="left" w:pos="5112"/>
        <w:tab w:val="center" w:pos="700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2066D00" wp14:editId="3B9067C0">
          <wp:simplePos x="0" y="0"/>
          <wp:positionH relativeFrom="page">
            <wp:posOffset>7676515</wp:posOffset>
          </wp:positionH>
          <wp:positionV relativeFrom="page">
            <wp:posOffset>514350</wp:posOffset>
          </wp:positionV>
          <wp:extent cx="1854835" cy="580390"/>
          <wp:effectExtent l="0" t="0" r="0" b="0"/>
          <wp:wrapNone/>
          <wp:docPr id="6" name="Slika 6" descr="Sekretariat + 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kretariat + logoEU SEU barvni H"/>
                  <pic:cNvPicPr>
                    <a:picLocks noChangeAspect="1" noChangeArrowheads="1"/>
                  </pic:cNvPicPr>
                </pic:nvPicPr>
                <pic:blipFill rotWithShape="1">
                  <a:blip r:embed="rId1">
                    <a:extLst>
                      <a:ext uri="{28A0092B-C50C-407E-A947-70E740481C1C}">
                        <a14:useLocalDpi xmlns:a14="http://schemas.microsoft.com/office/drawing/2010/main" val="0"/>
                      </a:ext>
                    </a:extLst>
                  </a:blip>
                  <a:srcRect l="68679" t="-8940"/>
                  <a:stretch/>
                </pic:blipFill>
                <pic:spPr bwMode="auto">
                  <a:xfrm>
                    <a:off x="0" y="0"/>
                    <a:ext cx="1854835" cy="580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8240" behindDoc="1" locked="0" layoutInCell="1" allowOverlap="1">
          <wp:simplePos x="0" y="0"/>
          <wp:positionH relativeFrom="page">
            <wp:posOffset>609600</wp:posOffset>
          </wp:positionH>
          <wp:positionV relativeFrom="page">
            <wp:posOffset>647700</wp:posOffset>
          </wp:positionV>
          <wp:extent cx="2781300" cy="532765"/>
          <wp:effectExtent l="0" t="0" r="0" b="635"/>
          <wp:wrapNone/>
          <wp:docPr id="7" name="Slika 7" descr="Sekretariat + 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kretariat + logoEU SEU barvni H"/>
                  <pic:cNvPicPr>
                    <a:picLocks noChangeAspect="1" noChangeArrowheads="1"/>
                  </pic:cNvPicPr>
                </pic:nvPicPr>
                <pic:blipFill rotWithShape="1">
                  <a:blip r:embed="rId1">
                    <a:extLst>
                      <a:ext uri="{28A0092B-C50C-407E-A947-70E740481C1C}">
                        <a14:useLocalDpi xmlns:a14="http://schemas.microsoft.com/office/drawing/2010/main" val="0"/>
                      </a:ext>
                    </a:extLst>
                  </a:blip>
                  <a:srcRect r="53034"/>
                  <a:stretch/>
                </pic:blipFill>
                <pic:spPr bwMode="auto">
                  <a:xfrm>
                    <a:off x="0" y="0"/>
                    <a:ext cx="2781300" cy="532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70A6" w:rsidRPr="008F3500">
      <w:rPr>
        <w:rFonts w:cs="Arial"/>
        <w:sz w:val="16"/>
      </w:rPr>
      <w:tab/>
    </w:r>
    <w:r>
      <w:rPr>
        <w:rFonts w:cs="Arial"/>
        <w:sz w:val="16"/>
      </w:rPr>
      <w:tab/>
    </w:r>
  </w:p>
  <w:p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2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5A"/>
    <w:rsid w:val="00005681"/>
    <w:rsid w:val="00023A88"/>
    <w:rsid w:val="00077FFE"/>
    <w:rsid w:val="000A7238"/>
    <w:rsid w:val="000E0F7D"/>
    <w:rsid w:val="000E5C4F"/>
    <w:rsid w:val="000F2C5A"/>
    <w:rsid w:val="0012174D"/>
    <w:rsid w:val="001357B2"/>
    <w:rsid w:val="0017478F"/>
    <w:rsid w:val="001D59DA"/>
    <w:rsid w:val="00202A77"/>
    <w:rsid w:val="00271CE5"/>
    <w:rsid w:val="00282020"/>
    <w:rsid w:val="00291D3E"/>
    <w:rsid w:val="00297B97"/>
    <w:rsid w:val="002A2B69"/>
    <w:rsid w:val="002A5BB6"/>
    <w:rsid w:val="002C5EFE"/>
    <w:rsid w:val="00315FAE"/>
    <w:rsid w:val="003544C4"/>
    <w:rsid w:val="003636BF"/>
    <w:rsid w:val="00371442"/>
    <w:rsid w:val="003845B4"/>
    <w:rsid w:val="00387B1A"/>
    <w:rsid w:val="003B6467"/>
    <w:rsid w:val="003C5EE5"/>
    <w:rsid w:val="003C7FC3"/>
    <w:rsid w:val="003E1C74"/>
    <w:rsid w:val="00444DFF"/>
    <w:rsid w:val="004657EE"/>
    <w:rsid w:val="004B4CDE"/>
    <w:rsid w:val="00526246"/>
    <w:rsid w:val="00536D1B"/>
    <w:rsid w:val="00567106"/>
    <w:rsid w:val="005B3178"/>
    <w:rsid w:val="005E1D3C"/>
    <w:rsid w:val="005E310F"/>
    <w:rsid w:val="00625AE6"/>
    <w:rsid w:val="00632253"/>
    <w:rsid w:val="00642714"/>
    <w:rsid w:val="006455CE"/>
    <w:rsid w:val="00655841"/>
    <w:rsid w:val="006F4F40"/>
    <w:rsid w:val="00733017"/>
    <w:rsid w:val="00756F61"/>
    <w:rsid w:val="00783310"/>
    <w:rsid w:val="007A4A6D"/>
    <w:rsid w:val="007B245E"/>
    <w:rsid w:val="007D1BCF"/>
    <w:rsid w:val="007D75CF"/>
    <w:rsid w:val="007E0440"/>
    <w:rsid w:val="007E6DC5"/>
    <w:rsid w:val="0088043C"/>
    <w:rsid w:val="00882CE4"/>
    <w:rsid w:val="00884889"/>
    <w:rsid w:val="008906C9"/>
    <w:rsid w:val="008C5738"/>
    <w:rsid w:val="008D04F0"/>
    <w:rsid w:val="008F3500"/>
    <w:rsid w:val="00924E3C"/>
    <w:rsid w:val="009612BB"/>
    <w:rsid w:val="009A0F8F"/>
    <w:rsid w:val="009C740A"/>
    <w:rsid w:val="00A125C5"/>
    <w:rsid w:val="00A2451C"/>
    <w:rsid w:val="00A31F57"/>
    <w:rsid w:val="00A65EE7"/>
    <w:rsid w:val="00A70133"/>
    <w:rsid w:val="00A770A6"/>
    <w:rsid w:val="00A813B1"/>
    <w:rsid w:val="00AB36C4"/>
    <w:rsid w:val="00AB5AEE"/>
    <w:rsid w:val="00AC32B2"/>
    <w:rsid w:val="00AF5B1A"/>
    <w:rsid w:val="00B17141"/>
    <w:rsid w:val="00B2116B"/>
    <w:rsid w:val="00B31575"/>
    <w:rsid w:val="00B8547D"/>
    <w:rsid w:val="00BA1CC4"/>
    <w:rsid w:val="00C250D5"/>
    <w:rsid w:val="00C35666"/>
    <w:rsid w:val="00C372C9"/>
    <w:rsid w:val="00C56575"/>
    <w:rsid w:val="00C81189"/>
    <w:rsid w:val="00C92898"/>
    <w:rsid w:val="00CA4340"/>
    <w:rsid w:val="00CE1874"/>
    <w:rsid w:val="00CE44F4"/>
    <w:rsid w:val="00CE5238"/>
    <w:rsid w:val="00CE68D5"/>
    <w:rsid w:val="00CE7514"/>
    <w:rsid w:val="00CF6D8F"/>
    <w:rsid w:val="00D002C9"/>
    <w:rsid w:val="00D01BF8"/>
    <w:rsid w:val="00D248DE"/>
    <w:rsid w:val="00D8542D"/>
    <w:rsid w:val="00DC163D"/>
    <w:rsid w:val="00DC3EEE"/>
    <w:rsid w:val="00DC6A71"/>
    <w:rsid w:val="00E0357D"/>
    <w:rsid w:val="00E2240A"/>
    <w:rsid w:val="00E24244"/>
    <w:rsid w:val="00E57753"/>
    <w:rsid w:val="00E81AC6"/>
    <w:rsid w:val="00E93AE8"/>
    <w:rsid w:val="00E973DE"/>
    <w:rsid w:val="00EB0E5C"/>
    <w:rsid w:val="00ED1C3E"/>
    <w:rsid w:val="00F240BB"/>
    <w:rsid w:val="00F57FED"/>
    <w:rsid w:val="00F81753"/>
    <w:rsid w:val="00F864FF"/>
    <w:rsid w:val="00FA7F7F"/>
    <w:rsid w:val="00FD7F7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428299,#529dba"/>
    </o:shapedefaults>
    <o:shapelayout v:ext="edit">
      <o:idmap v:ext="edit" data="1"/>
    </o:shapelayout>
  </w:shapeDefaults>
  <w:doNotEmbedSmartTags/>
  <w:decimalSymbol w:val=","/>
  <w:listSeparator w:val=";"/>
  <w14:docId w14:val="1F60D773"/>
  <w15:chartTrackingRefBased/>
  <w15:docId w15:val="{AA278885-ACD3-45E4-AABF-D4D126B6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2C5A"/>
    <w:pPr>
      <w:spacing w:line="260" w:lineRule="exact"/>
    </w:pPr>
    <w:rPr>
      <w:rFonts w:ascii="Calibri" w:eastAsia="Calibri" w:hAnsi="Calibr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rFonts w:ascii="Arial"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table" w:customStyle="1" w:styleId="Tabelamrea1">
    <w:name w:val="Tabela – mreža1"/>
    <w:basedOn w:val="Navadnatabela"/>
    <w:next w:val="Tabelamrea"/>
    <w:uiPriority w:val="39"/>
    <w:rsid w:val="000F2C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5B317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642</Words>
  <Characters>3660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Grgasović</dc:creator>
  <cp:keywords/>
  <cp:lastModifiedBy>Maja Krušič</cp:lastModifiedBy>
  <cp:revision>7</cp:revision>
  <cp:lastPrinted>2010-12-16T12:15:00Z</cp:lastPrinted>
  <dcterms:created xsi:type="dcterms:W3CDTF">2022-12-23T09:15:00Z</dcterms:created>
  <dcterms:modified xsi:type="dcterms:W3CDTF">2022-12-29T11:13:00Z</dcterms:modified>
</cp:coreProperties>
</file>