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24" w:rsidRPr="00F506FC" w:rsidRDefault="00555224" w:rsidP="00AF2362">
      <w:pPr>
        <w:pStyle w:val="Pagedecouverture"/>
        <w:rPr>
          <w:noProof/>
        </w:rPr>
      </w:pPr>
    </w:p>
    <w:p w:rsidR="0087657F" w:rsidRPr="00F506FC" w:rsidRDefault="001A17F5" w:rsidP="000133CF">
      <w:pPr>
        <w:pStyle w:val="Annexetitre"/>
        <w:rPr>
          <w:noProof/>
        </w:rPr>
      </w:pPr>
      <w:bookmarkStart w:id="0" w:name="_GoBack"/>
      <w:bookmarkEnd w:id="0"/>
      <w:r>
        <w:rPr>
          <w:noProof/>
        </w:rPr>
        <w:t>L</w:t>
      </w:r>
      <w:r w:rsidR="001F5240" w:rsidRPr="00F506FC">
        <w:rPr>
          <w:noProof/>
        </w:rPr>
        <w:t xml:space="preserve">etno poročilo o smotrnosti Sklada za azil, migracije in vključevanje iz </w:t>
      </w:r>
      <w:r>
        <w:rPr>
          <w:noProof/>
        </w:rPr>
        <w:t>člena 35 Uredbe (EU) 2021/1147</w:t>
      </w:r>
    </w:p>
    <w:p w:rsidR="0087657F" w:rsidRPr="00F506FC" w:rsidRDefault="0087657F" w:rsidP="0087657F">
      <w:pPr>
        <w:rPr>
          <w:noProof/>
        </w:rPr>
      </w:pPr>
    </w:p>
    <w:p w:rsidR="0087657F" w:rsidRPr="00F506FC" w:rsidRDefault="0087657F" w:rsidP="0087657F">
      <w:pPr>
        <w:pStyle w:val="ManualHeading1"/>
        <w:rPr>
          <w:noProof/>
        </w:rPr>
      </w:pPr>
      <w:r w:rsidRPr="00F506FC">
        <w:rPr>
          <w:noProof/>
        </w:rPr>
        <w:t>OPREDELITEV</w:t>
      </w:r>
    </w:p>
    <w:tbl>
      <w:tblPr>
        <w:tblStyle w:val="Tabelasvetlamrea"/>
        <w:tblW w:w="9289" w:type="dxa"/>
        <w:tblLook w:val="04A0" w:firstRow="1" w:lastRow="0" w:firstColumn="1" w:lastColumn="0" w:noHBand="0" w:noVBand="1"/>
      </w:tblPr>
      <w:tblGrid>
        <w:gridCol w:w="4644"/>
        <w:gridCol w:w="4645"/>
      </w:tblGrid>
      <w:tr w:rsidR="00D01BC5" w:rsidRPr="00F506FC" w:rsidTr="00D01BC5">
        <w:tc>
          <w:tcPr>
            <w:tcW w:w="4644" w:type="dxa"/>
          </w:tcPr>
          <w:p w:rsidR="00D01BC5" w:rsidRPr="00F506FC" w:rsidRDefault="00D01BC5" w:rsidP="00451933">
            <w:pPr>
              <w:pStyle w:val="Personnequisigne"/>
              <w:rPr>
                <w:noProof/>
              </w:rPr>
            </w:pPr>
            <w:r w:rsidRPr="00F506FC">
              <w:rPr>
                <w:noProof/>
              </w:rPr>
              <w:t>CCI</w:t>
            </w:r>
          </w:p>
        </w:tc>
        <w:tc>
          <w:tcPr>
            <w:tcW w:w="4645" w:type="dxa"/>
          </w:tcPr>
          <w:p w:rsidR="00D01BC5" w:rsidRPr="00F506FC" w:rsidRDefault="00D01BC5" w:rsidP="00451933">
            <w:pPr>
              <w:pStyle w:val="Personnequisigne"/>
              <w:rPr>
                <w:noProof/>
              </w:rPr>
            </w:pPr>
            <w:r w:rsidRPr="00F506FC">
              <w:rPr>
                <w:noProof/>
              </w:rPr>
              <w:t>2021SI65AMPR001</w:t>
            </w:r>
          </w:p>
        </w:tc>
      </w:tr>
      <w:tr w:rsidR="00D01BC5" w:rsidRPr="00F506FC" w:rsidTr="00D01BC5">
        <w:tc>
          <w:tcPr>
            <w:tcW w:w="4644" w:type="dxa"/>
          </w:tcPr>
          <w:p w:rsidR="00D01BC5" w:rsidRPr="00F506FC" w:rsidRDefault="00D01BC5" w:rsidP="00451933">
            <w:pPr>
              <w:pStyle w:val="Personnequisigne"/>
              <w:rPr>
                <w:noProof/>
              </w:rPr>
            </w:pPr>
            <w:r w:rsidRPr="00F506FC">
              <w:rPr>
                <w:noProof/>
              </w:rPr>
              <w:t>Naslov</w:t>
            </w:r>
          </w:p>
        </w:tc>
        <w:tc>
          <w:tcPr>
            <w:tcW w:w="4645" w:type="dxa"/>
          </w:tcPr>
          <w:p w:rsidR="00D01BC5" w:rsidRPr="00F506FC" w:rsidRDefault="00D01BC5" w:rsidP="00451933">
            <w:pPr>
              <w:pStyle w:val="Personnequisigne"/>
              <w:rPr>
                <w:noProof/>
              </w:rPr>
            </w:pPr>
            <w:r w:rsidRPr="00F506FC">
              <w:rPr>
                <w:noProof/>
              </w:rPr>
              <w:t>Programme Slovenia-AMIF</w:t>
            </w:r>
          </w:p>
        </w:tc>
      </w:tr>
      <w:tr w:rsidR="00D01BC5" w:rsidRPr="00F506FC" w:rsidTr="00D01BC5">
        <w:tc>
          <w:tcPr>
            <w:tcW w:w="4644" w:type="dxa"/>
          </w:tcPr>
          <w:p w:rsidR="00D01BC5" w:rsidRPr="00F506FC" w:rsidRDefault="00D01BC5" w:rsidP="00451933">
            <w:pPr>
              <w:pStyle w:val="Personnequisigne"/>
              <w:rPr>
                <w:noProof/>
              </w:rPr>
            </w:pPr>
            <w:r w:rsidRPr="00F506FC">
              <w:rPr>
                <w:noProof/>
              </w:rPr>
              <w:t>Različica</w:t>
            </w:r>
          </w:p>
        </w:tc>
        <w:tc>
          <w:tcPr>
            <w:tcW w:w="4645" w:type="dxa"/>
          </w:tcPr>
          <w:p w:rsidR="00D01BC5" w:rsidRPr="00F506FC" w:rsidRDefault="00D01BC5" w:rsidP="00451933">
            <w:pPr>
              <w:pStyle w:val="Personnequisigne"/>
              <w:rPr>
                <w:noProof/>
              </w:rPr>
            </w:pPr>
            <w:r w:rsidRPr="00F506FC">
              <w:rPr>
                <w:noProof/>
              </w:rPr>
              <w:t>1.0</w:t>
            </w:r>
          </w:p>
        </w:tc>
      </w:tr>
      <w:tr w:rsidR="00D01BC5" w:rsidRPr="00F506FC" w:rsidTr="00D01BC5">
        <w:tc>
          <w:tcPr>
            <w:tcW w:w="4644" w:type="dxa"/>
          </w:tcPr>
          <w:p w:rsidR="00D01BC5" w:rsidRPr="00F506FC" w:rsidRDefault="00D01BC5" w:rsidP="00451933">
            <w:pPr>
              <w:pStyle w:val="Personnequisigne"/>
              <w:rPr>
                <w:noProof/>
              </w:rPr>
            </w:pPr>
            <w:r w:rsidRPr="00F506FC">
              <w:rPr>
                <w:noProof/>
              </w:rPr>
              <w:t>Obračunsko leto</w:t>
            </w:r>
          </w:p>
        </w:tc>
        <w:tc>
          <w:tcPr>
            <w:tcW w:w="4645" w:type="dxa"/>
          </w:tcPr>
          <w:p w:rsidR="00D01BC5" w:rsidRPr="00F506FC" w:rsidRDefault="00D01BC5" w:rsidP="00451933">
            <w:pPr>
              <w:pStyle w:val="Personnequisigne"/>
              <w:rPr>
                <w:noProof/>
              </w:rPr>
            </w:pPr>
            <w:r w:rsidRPr="00F506FC">
              <w:rPr>
                <w:noProof/>
              </w:rPr>
              <w:t>1.1.2021-31.7.2022</w:t>
            </w:r>
          </w:p>
        </w:tc>
      </w:tr>
      <w:tr w:rsidR="00D01BC5" w:rsidRPr="00F506FC" w:rsidTr="00D01BC5">
        <w:tc>
          <w:tcPr>
            <w:tcW w:w="4644" w:type="dxa"/>
          </w:tcPr>
          <w:p w:rsidR="00D01BC5" w:rsidRPr="00F506FC" w:rsidRDefault="00D01BC5" w:rsidP="00451933">
            <w:pPr>
              <w:pStyle w:val="Personnequisigne"/>
              <w:rPr>
                <w:noProof/>
              </w:rPr>
            </w:pPr>
            <w:r w:rsidRPr="00F506FC">
              <w:rPr>
                <w:noProof/>
              </w:rPr>
              <w:t>Datum potrditve poročila s strani odbora za spremljanje</w:t>
            </w:r>
          </w:p>
        </w:tc>
        <w:tc>
          <w:tcPr>
            <w:tcW w:w="4645" w:type="dxa"/>
          </w:tcPr>
          <w:p w:rsidR="00D01BC5" w:rsidRPr="00F506FC" w:rsidRDefault="00D01BC5" w:rsidP="00451933">
            <w:pPr>
              <w:pStyle w:val="Personnequisigne"/>
              <w:rPr>
                <w:noProof/>
              </w:rPr>
            </w:pPr>
            <w:r w:rsidRPr="00F506FC">
              <w:rPr>
                <w:noProof/>
              </w:rPr>
              <w:t>28.2.2023</w:t>
            </w:r>
          </w:p>
        </w:tc>
      </w:tr>
    </w:tbl>
    <w:p w:rsidR="0087657F" w:rsidRPr="00F506FC" w:rsidRDefault="00CF7D3B" w:rsidP="00CF7D3B">
      <w:pPr>
        <w:pStyle w:val="ManualHeading1"/>
        <w:rPr>
          <w:noProof/>
        </w:rPr>
      </w:pPr>
      <w:r w:rsidRPr="00F506FC">
        <w:t>1.</w:t>
      </w:r>
      <w:r w:rsidRPr="00F506FC">
        <w:tab/>
      </w:r>
      <w:r w:rsidR="0087657F" w:rsidRPr="00F506FC">
        <w:rPr>
          <w:noProof/>
        </w:rPr>
        <w:t>Smotrnost</w:t>
      </w:r>
    </w:p>
    <w:p w:rsidR="0087657F" w:rsidRPr="00F506FC" w:rsidRDefault="00CF7D3B" w:rsidP="00CF7D3B">
      <w:pPr>
        <w:pStyle w:val="ManualHeading2"/>
        <w:rPr>
          <w:noProof/>
        </w:rPr>
      </w:pPr>
      <w:r w:rsidRPr="00F506FC">
        <w:t>1.1.</w:t>
      </w:r>
      <w:r w:rsidRPr="00F506FC">
        <w:tab/>
      </w:r>
      <w:r w:rsidR="0087657F" w:rsidRPr="00F506FC">
        <w:rPr>
          <w:noProof/>
        </w:rPr>
        <w:t>Napredek pri izvajanju – člen 35(2), točka (a), Uredbe (EU) 2021/1147</w:t>
      </w:r>
    </w:p>
    <w:p w:rsidR="0087657F" w:rsidRPr="00F506FC" w:rsidRDefault="0087657F" w:rsidP="0087657F">
      <w:pPr>
        <w:rPr>
          <w:i/>
          <w:noProof/>
          <w:sz w:val="22"/>
        </w:rPr>
      </w:pPr>
      <w:r w:rsidRPr="00F506FC">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rsidR="0087657F" w:rsidRPr="00F506FC" w:rsidRDefault="0087657F" w:rsidP="0087657F">
      <w:pPr>
        <w:rPr>
          <w:noProof/>
          <w:sz w:val="22"/>
        </w:rPr>
      </w:pPr>
      <w:r w:rsidRPr="00F506FC">
        <w:rPr>
          <w:noProof/>
          <w:sz w:val="22"/>
        </w:rPr>
        <w:t xml:space="preserve">V okviru vsakega specifičnega cilja bi morale biti informacije o napredku po možnosti strukturirane po izvedbenih ukrepih, okvirnih ukrepih in želenih rezultatih, opredeljenih v programu. </w:t>
      </w:r>
    </w:p>
    <w:p w:rsidR="0087657F" w:rsidRPr="00F506FC" w:rsidRDefault="00A002B3" w:rsidP="0087657F">
      <w:pPr>
        <w:rPr>
          <w:noProof/>
          <w:sz w:val="22"/>
        </w:rPr>
      </w:pPr>
      <w:r w:rsidRPr="00F506FC">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10586E" w:rsidP="00573BB4">
            <w:pPr>
              <w:pStyle w:val="Personnequisigne"/>
              <w:jc w:val="both"/>
              <w:rPr>
                <w:noProof/>
              </w:rPr>
            </w:pPr>
            <w:r w:rsidRPr="00F506FC">
              <w:rPr>
                <w:i w:val="0"/>
                <w:noProof/>
                <w:sz w:val="22"/>
              </w:rPr>
              <w:t>Program Sklada za azil, migracije in vključevanje (v nadaljnjem besedilu: program AMIF) je bil potrjen šele 8. novembra 2022, zato Slovenija v obračunskem obdobju poročanja, tj. od 1.</w:t>
            </w:r>
            <w:r w:rsidR="00573BB4" w:rsidRPr="00F506FC">
              <w:rPr>
                <w:i w:val="0"/>
                <w:noProof/>
                <w:sz w:val="22"/>
              </w:rPr>
              <w:t> </w:t>
            </w:r>
            <w:r w:rsidRPr="00F506FC">
              <w:rPr>
                <w:i w:val="0"/>
                <w:noProof/>
                <w:sz w:val="22"/>
              </w:rPr>
              <w:t>januarja</w:t>
            </w:r>
            <w:r w:rsidR="00573BB4" w:rsidRPr="00F506FC">
              <w:rPr>
                <w:i w:val="0"/>
                <w:noProof/>
                <w:sz w:val="22"/>
              </w:rPr>
              <w:t> </w:t>
            </w:r>
            <w:r w:rsidRPr="00F506FC">
              <w:rPr>
                <w:i w:val="0"/>
                <w:noProof/>
                <w:sz w:val="22"/>
              </w:rPr>
              <w:t xml:space="preserve">2021 </w:t>
            </w:r>
            <w:r w:rsidR="00451933" w:rsidRPr="00F506FC">
              <w:rPr>
                <w:i w:val="0"/>
                <w:noProof/>
                <w:sz w:val="22"/>
              </w:rPr>
              <w:t>do 31. jul</w:t>
            </w:r>
            <w:r w:rsidRPr="00F506FC">
              <w:rPr>
                <w:i w:val="0"/>
                <w:noProof/>
                <w:sz w:val="22"/>
              </w:rPr>
              <w:t>ija 2022, še ni pričela z izvajanjem aktivnosti v zvezi s programom AMIF in ne moremo poročati o napredku pri izvajanju načrtovanih aktivnosti znotraj posameznih specifičnih ciljev.</w:t>
            </w:r>
          </w:p>
        </w:tc>
      </w:tr>
    </w:tbl>
    <w:p w:rsidR="0087657F" w:rsidRPr="00F506FC" w:rsidRDefault="00CF7D3B" w:rsidP="00CF7D3B">
      <w:pPr>
        <w:pStyle w:val="ManualHeading2"/>
        <w:rPr>
          <w:noProof/>
        </w:rPr>
      </w:pPr>
      <w:r w:rsidRPr="00F506FC">
        <w:t>1.2.</w:t>
      </w:r>
      <w:r w:rsidRPr="00F506FC">
        <w:tab/>
      </w:r>
      <w:r w:rsidR="0087657F" w:rsidRPr="00F506FC">
        <w:rPr>
          <w:noProof/>
        </w:rPr>
        <w:t>Vprašanja, ki vplivajo na smotrnost – člen 35(2), točka (b), Uredbe (EU) 2021/1147</w:t>
      </w:r>
    </w:p>
    <w:p w:rsidR="0087657F" w:rsidRPr="00F506FC" w:rsidRDefault="0087657F" w:rsidP="0087657F">
      <w:pPr>
        <w:rPr>
          <w:noProof/>
          <w:sz w:val="22"/>
        </w:rPr>
      </w:pPr>
      <w:r w:rsidRPr="00F506FC">
        <w:rPr>
          <w:noProof/>
          <w:sz w:val="22"/>
        </w:rPr>
        <w:t xml:space="preserve">Za vsak specifični cilj opišite morebitna vprašanja, ki vplivajo na smotrnost programa med obračunskim letom, in morebitne ukrepe, sprejete za njihovo obravnavo. </w:t>
      </w:r>
    </w:p>
    <w:p w:rsidR="0087657F" w:rsidRPr="00F506FC" w:rsidRDefault="0087657F" w:rsidP="0087657F">
      <w:pPr>
        <w:rPr>
          <w:noProof/>
          <w:sz w:val="22"/>
        </w:rPr>
      </w:pPr>
      <w:r w:rsidRPr="00F506FC">
        <w:rPr>
          <w:noProof/>
          <w:sz w:val="22"/>
        </w:rPr>
        <w:t>Kadar koli je to mogoče in ustrezno, razlikujte med vprašanji, povezanimi z:</w:t>
      </w:r>
    </w:p>
    <w:p w:rsidR="0087657F" w:rsidRPr="00F506FC" w:rsidRDefault="0087657F" w:rsidP="00636FE6">
      <w:pPr>
        <w:pStyle w:val="Tiret0"/>
        <w:numPr>
          <w:ilvl w:val="0"/>
          <w:numId w:val="11"/>
        </w:numPr>
        <w:rPr>
          <w:noProof/>
          <w:sz w:val="22"/>
        </w:rPr>
      </w:pPr>
      <w:r w:rsidRPr="00F506FC">
        <w:rPr>
          <w:noProof/>
          <w:sz w:val="22"/>
        </w:rPr>
        <w:t>nezadostnim poročanjem o dosežkih</w:t>
      </w:r>
      <w:r w:rsidRPr="00F506FC">
        <w:rPr>
          <w:rStyle w:val="Sprotnaopomba-sklic"/>
          <w:noProof/>
          <w:sz w:val="22"/>
        </w:rPr>
        <w:footnoteReference w:id="2"/>
      </w:r>
      <w:r w:rsidRPr="00F506FC">
        <w:rPr>
          <w:noProof/>
        </w:rPr>
        <w:t>,</w:t>
      </w:r>
    </w:p>
    <w:p w:rsidR="0087657F" w:rsidRPr="00F506FC" w:rsidRDefault="0087657F" w:rsidP="00C8307A">
      <w:pPr>
        <w:pStyle w:val="Tiret0"/>
        <w:rPr>
          <w:noProof/>
          <w:sz w:val="22"/>
        </w:rPr>
      </w:pPr>
      <w:r w:rsidRPr="00F506FC">
        <w:rPr>
          <w:noProof/>
          <w:sz w:val="22"/>
        </w:rPr>
        <w:t>določanjem ciljev</w:t>
      </w:r>
      <w:r w:rsidRPr="00F506FC">
        <w:rPr>
          <w:rStyle w:val="Sprotnaopomba-sklic"/>
          <w:noProof/>
          <w:sz w:val="22"/>
        </w:rPr>
        <w:footnoteReference w:id="3"/>
      </w:r>
      <w:r w:rsidRPr="00F506FC">
        <w:rPr>
          <w:noProof/>
        </w:rPr>
        <w:t>,</w:t>
      </w:r>
    </w:p>
    <w:p w:rsidR="0087657F" w:rsidRPr="00F506FC" w:rsidRDefault="0087657F" w:rsidP="00C8307A">
      <w:pPr>
        <w:pStyle w:val="Tiret0"/>
        <w:rPr>
          <w:noProof/>
          <w:sz w:val="22"/>
        </w:rPr>
      </w:pPr>
      <w:r w:rsidRPr="00F506FC">
        <w:rPr>
          <w:noProof/>
          <w:sz w:val="22"/>
        </w:rPr>
        <w:t>postopkovnimi zamudami in upravnimi zmogljivostmi</w:t>
      </w:r>
      <w:r w:rsidRPr="00F506FC">
        <w:rPr>
          <w:rStyle w:val="Sprotnaopomba-sklic"/>
          <w:noProof/>
          <w:sz w:val="22"/>
        </w:rPr>
        <w:footnoteReference w:id="4"/>
      </w:r>
      <w:r w:rsidRPr="00F506FC">
        <w:rPr>
          <w:noProof/>
        </w:rPr>
        <w:t>,</w:t>
      </w:r>
    </w:p>
    <w:p w:rsidR="00515026" w:rsidRPr="00F506FC" w:rsidRDefault="0087657F" w:rsidP="00E45665">
      <w:pPr>
        <w:pStyle w:val="Tiret0"/>
        <w:rPr>
          <w:noProof/>
          <w:sz w:val="22"/>
        </w:rPr>
      </w:pPr>
      <w:r w:rsidRPr="00F506FC">
        <w:rPr>
          <w:noProof/>
          <w:sz w:val="22"/>
        </w:rPr>
        <w:lastRenderedPageBreak/>
        <w:t>kontekstualnimi spremembami</w:t>
      </w:r>
      <w:r w:rsidRPr="00F506FC">
        <w:rPr>
          <w:rStyle w:val="Sprotnaopomba-sklic"/>
          <w:noProof/>
          <w:sz w:val="22"/>
        </w:rPr>
        <w:footnoteReference w:id="5"/>
      </w:r>
      <w:r w:rsidRPr="00F506FC">
        <w:rPr>
          <w:noProof/>
        </w:rPr>
        <w:t>,</w:t>
      </w:r>
    </w:p>
    <w:p w:rsidR="0087657F" w:rsidRPr="00F506FC" w:rsidRDefault="0087657F" w:rsidP="00E45665">
      <w:pPr>
        <w:pStyle w:val="Tiret0"/>
        <w:rPr>
          <w:noProof/>
          <w:sz w:val="22"/>
        </w:rPr>
      </w:pPr>
      <w:r w:rsidRPr="00F506FC">
        <w:rPr>
          <w:noProof/>
          <w:sz w:val="22"/>
        </w:rPr>
        <w:t>zasnovo in/ali izvajanjem operacij</w:t>
      </w:r>
      <w:r w:rsidRPr="00F506FC">
        <w:rPr>
          <w:rStyle w:val="Sprotnaopomba-sklic"/>
          <w:noProof/>
          <w:sz w:val="22"/>
        </w:rPr>
        <w:footnoteReference w:id="6"/>
      </w:r>
      <w:r w:rsidRPr="00F506FC">
        <w:rPr>
          <w:noProof/>
        </w:rPr>
        <w:t xml:space="preserve">, </w:t>
      </w:r>
    </w:p>
    <w:p w:rsidR="0087657F" w:rsidRPr="00F506FC" w:rsidRDefault="0087657F" w:rsidP="00C8307A">
      <w:pPr>
        <w:pStyle w:val="Tiret0"/>
        <w:rPr>
          <w:noProof/>
          <w:sz w:val="22"/>
        </w:rPr>
      </w:pPr>
      <w:r w:rsidRPr="00F506FC">
        <w:rPr>
          <w:noProof/>
          <w:sz w:val="22"/>
        </w:rPr>
        <w:t xml:space="preserve">katero koli drugo zadevo. </w:t>
      </w:r>
    </w:p>
    <w:p w:rsidR="0087657F" w:rsidRPr="00F506FC" w:rsidRDefault="00A002B3" w:rsidP="0087657F">
      <w:pPr>
        <w:rPr>
          <w:i/>
          <w:noProof/>
          <w:sz w:val="22"/>
        </w:rPr>
      </w:pPr>
      <w:r w:rsidRPr="00F506FC">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rsidR="0087657F" w:rsidRPr="00F506FC" w:rsidRDefault="00A002B3" w:rsidP="0087657F">
      <w:pPr>
        <w:rPr>
          <w:i/>
          <w:noProof/>
          <w:sz w:val="22"/>
        </w:rPr>
      </w:pPr>
      <w:r w:rsidRPr="00F506FC">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785284" w:rsidRPr="00F506FC" w:rsidRDefault="00785284" w:rsidP="00785284">
            <w:pPr>
              <w:pStyle w:val="Personnequisigne"/>
              <w:jc w:val="both"/>
              <w:rPr>
                <w:i w:val="0"/>
                <w:noProof/>
                <w:sz w:val="22"/>
              </w:rPr>
            </w:pPr>
            <w:r w:rsidRPr="00F506FC">
              <w:rPr>
                <w:i w:val="0"/>
                <w:noProof/>
                <w:sz w:val="22"/>
              </w:rPr>
              <w:t>Slovenija v obračunskem obdobju poročanja še ni pričela z izvajanjem aktivnosti v zvezi s programom AMIF, zato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w:t>
            </w:r>
          </w:p>
          <w:p w:rsidR="0087657F" w:rsidRPr="00F506FC" w:rsidRDefault="00785284" w:rsidP="00785284">
            <w:pPr>
              <w:pStyle w:val="Personnequisigne"/>
              <w:rPr>
                <w:noProof/>
              </w:rPr>
            </w:pPr>
            <w:r w:rsidRPr="00F506FC">
              <w:rPr>
                <w:i w:val="0"/>
                <w:sz w:val="22"/>
              </w:rPr>
              <w:t xml:space="preserve">Organ upravljanja ne razpolaga z informacijami </w:t>
            </w:r>
            <w:r w:rsidRPr="00F506FC">
              <w:rPr>
                <w:i w:val="0"/>
                <w:noProof/>
                <w:sz w:val="22"/>
              </w:rPr>
              <w:t>v zvezi s postopki za ugotavljanje kršitev na podlagi 258</w:t>
            </w:r>
            <w:r w:rsidRPr="00F506FC">
              <w:rPr>
                <w:noProof/>
                <w:sz w:val="22"/>
              </w:rPr>
              <w:t xml:space="preserve">. </w:t>
            </w:r>
            <w:r w:rsidRPr="00F506FC">
              <w:rPr>
                <w:i w:val="0"/>
                <w:noProof/>
                <w:sz w:val="22"/>
              </w:rPr>
              <w:t>člena Pogodbe o delovanju Evropske unije (PDEU), v povezavi z izvajanjem programa AMIF.</w:t>
            </w:r>
          </w:p>
        </w:tc>
      </w:tr>
    </w:tbl>
    <w:p w:rsidR="0087657F" w:rsidRPr="00F506FC" w:rsidRDefault="00CF7D3B" w:rsidP="00CF7D3B">
      <w:pPr>
        <w:pStyle w:val="ManualHeading2"/>
        <w:rPr>
          <w:noProof/>
        </w:rPr>
      </w:pPr>
      <w:r w:rsidRPr="00F506FC">
        <w:t>1.3.</w:t>
      </w:r>
      <w:r w:rsidRPr="00F506FC">
        <w:tab/>
      </w:r>
      <w:r w:rsidR="0087657F" w:rsidRPr="00F506FC">
        <w:rPr>
          <w:noProof/>
        </w:rPr>
        <w:t>Posebni blažilni ukrepi</w:t>
      </w:r>
    </w:p>
    <w:p w:rsidR="0087657F" w:rsidRPr="00F506FC" w:rsidRDefault="0087657F" w:rsidP="0087657F">
      <w:pPr>
        <w:pStyle w:val="Titrearticle"/>
        <w:spacing w:before="120"/>
        <w:jc w:val="both"/>
        <w:rPr>
          <w:i w:val="0"/>
          <w:noProof/>
          <w:sz w:val="22"/>
        </w:rPr>
      </w:pPr>
      <w:r w:rsidRPr="00F506FC">
        <w:rPr>
          <w:b/>
          <w:i w:val="0"/>
          <w:noProof/>
          <w:sz w:val="22"/>
        </w:rPr>
        <w:t>Če je ustrezno</w:t>
      </w:r>
      <w:r w:rsidRPr="00F506FC">
        <w:rPr>
          <w:i w:val="0"/>
          <w:noProof/>
          <w:sz w:val="22"/>
        </w:rPr>
        <w:t xml:space="preserve">, na kratko opišite, kako so dejavnosti programa prispevale k ublažitvi učinkov morebitnih nenadnih sprememb migracijskega pritiska, ki so posledica kakršnega koli nepredvidenega poslabšanja socialno-ekonomskih ali političnih razmer v zadevnih tretjih državah. Kadar koli je mogoče, navedite obseg sredstev, prerazporejenih v ta namen, ter s tem povezane dosežene učinke in rezultate. </w:t>
      </w:r>
    </w:p>
    <w:p w:rsidR="0087657F" w:rsidRPr="00F506FC" w:rsidRDefault="00A002B3" w:rsidP="0087657F">
      <w:pPr>
        <w:pStyle w:val="Titrearticle"/>
        <w:spacing w:before="120"/>
        <w:jc w:val="both"/>
        <w:rPr>
          <w:i w:val="0"/>
          <w:noProof/>
          <w:sz w:val="22"/>
        </w:rPr>
      </w:pPr>
      <w:r w:rsidRPr="00F506FC">
        <w:rPr>
          <w:i w:val="0"/>
          <w:noProof/>
          <w:sz w:val="22"/>
        </w:rPr>
        <w:t xml:space="preserve">Posebno pozornost namenite dejavnostim, ki se izvajajo za ublažitev učinkov takih nenadnih sprememb in katerih dosežki morda ne bodo v celoti zajeti s skupnimi kazalniki učinka in rezultatov. </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D156A3" w:rsidP="00BD0596">
            <w:pPr>
              <w:pStyle w:val="Personnequisigne"/>
              <w:jc w:val="both"/>
              <w:rPr>
                <w:i w:val="0"/>
                <w:noProof/>
              </w:rPr>
            </w:pPr>
            <w:r w:rsidRPr="00F506FC">
              <w:rPr>
                <w:i w:val="0"/>
                <w:noProof/>
                <w:sz w:val="22"/>
              </w:rPr>
              <w:t>Slovenija v obračunskem obdobju poročanja še ni izvajala nobenih aktivnosti v zvezi s programom AMIF, zato ne moremo poročati</w:t>
            </w:r>
            <w:r w:rsidR="00BD0596" w:rsidRPr="00F506FC">
              <w:rPr>
                <w:i w:val="0"/>
                <w:noProof/>
                <w:sz w:val="22"/>
              </w:rPr>
              <w:t>,</w:t>
            </w:r>
            <w:r w:rsidRPr="00F506FC">
              <w:rPr>
                <w:i w:val="0"/>
                <w:noProof/>
                <w:sz w:val="22"/>
              </w:rPr>
              <w:t xml:space="preserve"> kako so aktivnosti programa prispevale k ublažitvi učinkov morebitnih nenadnih sprememb migracijskega pritiska, ki so posledica kakršnega koli nepredvidenega poslabšanja socialno-ekonomskih ali političnih razmer v zadevnih tretjih državah.</w:t>
            </w:r>
          </w:p>
        </w:tc>
      </w:tr>
    </w:tbl>
    <w:p w:rsidR="0087657F" w:rsidRPr="00F506FC" w:rsidRDefault="00CF7D3B" w:rsidP="00CF7D3B">
      <w:pPr>
        <w:pStyle w:val="ManualHeading2"/>
        <w:rPr>
          <w:noProof/>
        </w:rPr>
      </w:pPr>
      <w:r w:rsidRPr="00F506FC">
        <w:lastRenderedPageBreak/>
        <w:t>1.4.</w:t>
      </w:r>
      <w:r w:rsidRPr="00F506FC">
        <w:tab/>
      </w:r>
      <w:r w:rsidR="0087657F" w:rsidRPr="00F506FC">
        <w:rPr>
          <w:noProof/>
        </w:rPr>
        <w:t>Operativna podpora – člen 21(3) Uredbe (EU) 2021/1147</w:t>
      </w:r>
    </w:p>
    <w:p w:rsidR="0087657F" w:rsidRPr="00F506FC" w:rsidRDefault="00C62604" w:rsidP="0087657F">
      <w:pPr>
        <w:pStyle w:val="Titrearticle"/>
        <w:spacing w:before="120"/>
        <w:jc w:val="both"/>
        <w:rPr>
          <w:i w:val="0"/>
          <w:noProof/>
          <w:sz w:val="22"/>
        </w:rPr>
      </w:pPr>
      <w:r w:rsidRPr="00F506FC">
        <w:rPr>
          <w:i w:val="0"/>
          <w:noProof/>
          <w:sz w:val="22"/>
        </w:rPr>
        <w:t>Če je bila med obračunskim letom uporabljena operativna podpora, opišite, kako je prispevala k doseganju ciljev Sklada</w:t>
      </w:r>
      <w:r w:rsidRPr="00F506FC">
        <w:rPr>
          <w:rStyle w:val="Sprotnaopomba-sklic"/>
          <w:i w:val="0"/>
          <w:noProof/>
          <w:sz w:val="22"/>
        </w:rPr>
        <w:footnoteReference w:id="7"/>
      </w:r>
      <w:r w:rsidRPr="00F506FC">
        <w:rPr>
          <w:noProof/>
        </w:rPr>
        <w:t>.</w:t>
      </w:r>
      <w:r w:rsidRPr="00F506FC">
        <w:rPr>
          <w:i w:val="0"/>
          <w:noProof/>
          <w:sz w:val="22"/>
        </w:rPr>
        <w:t xml:space="preserve"> </w:t>
      </w:r>
    </w:p>
    <w:p w:rsidR="0087657F" w:rsidRPr="00F506FC" w:rsidRDefault="0048297F" w:rsidP="0087657F">
      <w:pPr>
        <w:pStyle w:val="Titrearticle"/>
        <w:spacing w:before="120"/>
        <w:jc w:val="both"/>
        <w:rPr>
          <w:i w:val="0"/>
          <w:noProof/>
          <w:sz w:val="22"/>
        </w:rPr>
      </w:pPr>
      <w:r w:rsidRPr="00F506FC">
        <w:rPr>
          <w:i w:val="0"/>
          <w:noProof/>
          <w:sz w:val="22"/>
        </w:rPr>
        <w:t xml:space="preserve">Če skupni kumulativni upravičeni stroški operativne podpore za operacije, izbrane za podporo, ob koncu obračunskega leta presegajo 15 % skupnih sredstev, dodeljenih programu, pojasnite razloge za to. Če obstaja tveganje, da bo prag do konca programskega obdobja presežen, opišite predvidene ukrepe za zmanjšanje tveganja. </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D156A3" w:rsidP="00D156A3">
            <w:pPr>
              <w:pStyle w:val="Personnequisigne"/>
              <w:jc w:val="both"/>
              <w:rPr>
                <w:noProof/>
              </w:rPr>
            </w:pPr>
            <w:r w:rsidRPr="00F506FC">
              <w:rPr>
                <w:i w:val="0"/>
                <w:noProof/>
                <w:sz w:val="22"/>
              </w:rPr>
              <w:t>Slovenija v obračunskem obdobju poročanja še ni izvajala nobenih aktivnosti v zvezi s programom AMIF, zato ne moremo poročati o uporabi operativne podpore ali podati opisa</w:t>
            </w:r>
            <w:r w:rsidR="00BD0596" w:rsidRPr="00F506FC">
              <w:rPr>
                <w:i w:val="0"/>
                <w:noProof/>
                <w:sz w:val="22"/>
              </w:rPr>
              <w:t>,</w:t>
            </w:r>
            <w:r w:rsidRPr="00F506FC">
              <w:rPr>
                <w:i w:val="0"/>
                <w:noProof/>
                <w:sz w:val="22"/>
              </w:rPr>
              <w:t xml:space="preserve"> kako je prispevala k doseganju ciljev programa AMIF.</w:t>
            </w:r>
          </w:p>
        </w:tc>
      </w:tr>
    </w:tbl>
    <w:p w:rsidR="0087657F" w:rsidRPr="00F506FC" w:rsidRDefault="00CF7D3B" w:rsidP="00CF7D3B">
      <w:pPr>
        <w:pStyle w:val="ManualHeading2"/>
        <w:rPr>
          <w:noProof/>
        </w:rPr>
      </w:pPr>
      <w:r w:rsidRPr="00F506FC">
        <w:t>1.5.</w:t>
      </w:r>
      <w:r w:rsidRPr="00F506FC">
        <w:tab/>
      </w:r>
      <w:r w:rsidR="0087657F" w:rsidRPr="00F506FC">
        <w:rPr>
          <w:noProof/>
        </w:rPr>
        <w:t>Posebni ukrepi</w:t>
      </w:r>
      <w:r w:rsidR="0087657F" w:rsidRPr="00F506FC">
        <w:rPr>
          <w:rStyle w:val="Sprotnaopomba-sklic"/>
          <w:noProof/>
        </w:rPr>
        <w:footnoteReference w:id="8"/>
      </w:r>
      <w:r w:rsidR="0087657F" w:rsidRPr="00F506FC">
        <w:rPr>
          <w:noProof/>
        </w:rPr>
        <w:t xml:space="preserve"> </w:t>
      </w:r>
    </w:p>
    <w:p w:rsidR="0087657F" w:rsidRPr="00F506FC" w:rsidRDefault="00804283" w:rsidP="0087657F">
      <w:pPr>
        <w:pStyle w:val="Titrearticle"/>
        <w:spacing w:before="120"/>
        <w:jc w:val="both"/>
        <w:rPr>
          <w:i w:val="0"/>
          <w:noProof/>
          <w:sz w:val="22"/>
        </w:rPr>
      </w:pPr>
      <w:r w:rsidRPr="00F506FC">
        <w:rPr>
          <w:i w:val="0"/>
          <w:noProof/>
          <w:sz w:val="22"/>
        </w:rPr>
        <w:t>Opišite glavne dosežke vseh posebnih ukrepov, izvedenih med obračunskim letom, ter kako so ti ukrepi prispevali k doseganju ciljev programa in ustvarjanju dodane vrednosti Unije</w:t>
      </w:r>
      <w:r w:rsidRPr="00F506FC">
        <w:rPr>
          <w:rStyle w:val="Sprotnaopomba-sklic"/>
          <w:i w:val="0"/>
          <w:noProof/>
          <w:sz w:val="22"/>
        </w:rPr>
        <w:footnoteReference w:id="9"/>
      </w:r>
      <w:r w:rsidRPr="00F506FC">
        <w:rPr>
          <w:i w:val="0"/>
          <w:noProof/>
          <w:sz w:val="22"/>
        </w:rPr>
        <w:t xml:space="preserve">. </w:t>
      </w:r>
    </w:p>
    <w:p w:rsidR="00CD67EB" w:rsidRPr="00F506FC" w:rsidRDefault="00804283" w:rsidP="0087657F">
      <w:pPr>
        <w:pStyle w:val="Titrearticle"/>
        <w:spacing w:before="120"/>
        <w:jc w:val="both"/>
        <w:rPr>
          <w:i w:val="0"/>
          <w:noProof/>
          <w:sz w:val="22"/>
        </w:rPr>
      </w:pPr>
      <w:r w:rsidRPr="00F506FC">
        <w:rPr>
          <w:i w:val="0"/>
          <w:noProof/>
          <w:sz w:val="22"/>
        </w:rPr>
        <w:t>Opišite, kako so posamezni ukrepi napredovali, tako postopkovno</w:t>
      </w:r>
      <w:r w:rsidRPr="00F506FC">
        <w:rPr>
          <w:rStyle w:val="Sprotnaopomba-sklic"/>
          <w:i w:val="0"/>
          <w:noProof/>
          <w:sz w:val="22"/>
        </w:rPr>
        <w:footnoteReference w:id="10"/>
      </w:r>
      <w:r w:rsidRPr="00F506FC">
        <w:rPr>
          <w:i w:val="0"/>
          <w:noProof/>
          <w:sz w:val="22"/>
        </w:rPr>
        <w:t xml:space="preserve"> kot operativno</w:t>
      </w:r>
      <w:r w:rsidRPr="00F506FC">
        <w:rPr>
          <w:rStyle w:val="Sprotnaopomba-sklic"/>
          <w:i w:val="0"/>
          <w:noProof/>
          <w:sz w:val="22"/>
        </w:rPr>
        <w:footnoteReference w:id="11"/>
      </w:r>
      <w:r w:rsidRPr="00F506FC">
        <w:rPr>
          <w:i w:val="0"/>
          <w:noProof/>
          <w:sz w:val="22"/>
        </w:rPr>
        <w:t xml:space="preserve">, in izpostavite morebitna vprašanja, ki vplivajo na njihovo uspešnost, zlasti morebitno tveganje premajhne porabe. </w:t>
      </w:r>
    </w:p>
    <w:p w:rsidR="0087657F" w:rsidRPr="00F506FC" w:rsidRDefault="0087657F" w:rsidP="0087657F">
      <w:pPr>
        <w:pStyle w:val="Titrearticle"/>
        <w:spacing w:before="120"/>
        <w:jc w:val="both"/>
        <w:rPr>
          <w:i w:val="0"/>
          <w:noProof/>
          <w:sz w:val="22"/>
        </w:rPr>
      </w:pPr>
      <w:r w:rsidRPr="00F506FC">
        <w:rPr>
          <w:i w:val="0"/>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097EFD" w:rsidP="00097EFD">
            <w:pPr>
              <w:pStyle w:val="Personnequisigne"/>
              <w:jc w:val="both"/>
              <w:rPr>
                <w:noProof/>
              </w:rPr>
            </w:pPr>
            <w:r w:rsidRPr="00F506FC">
              <w:rPr>
                <w:i w:val="0"/>
                <w:noProof/>
                <w:sz w:val="22"/>
              </w:rPr>
              <w:t>Slovenija v obračunskem obdobju poročanja še ni izvajala nobenih aktivnosti v zvezi s posebnimi ukrepi programa AMIF, zato ne moremo poročati</w:t>
            </w:r>
            <w:r w:rsidR="00BD0596" w:rsidRPr="00F506FC">
              <w:rPr>
                <w:i w:val="0"/>
                <w:noProof/>
                <w:sz w:val="22"/>
              </w:rPr>
              <w:t>,</w:t>
            </w:r>
            <w:r w:rsidRPr="00F506FC">
              <w:rPr>
                <w:i w:val="0"/>
                <w:noProof/>
                <w:sz w:val="22"/>
              </w:rPr>
              <w:t xml:space="preserve"> kako so ti ukrepi prispevali k doseganju ciljev programa AMIF in ustvarjanju dodane vrednosti Unije.</w:t>
            </w:r>
          </w:p>
        </w:tc>
      </w:tr>
    </w:tbl>
    <w:p w:rsidR="0087657F" w:rsidRPr="00F506FC" w:rsidRDefault="0060652B" w:rsidP="004629B2">
      <w:pPr>
        <w:keepNext/>
        <w:rPr>
          <w:noProof/>
          <w:sz w:val="22"/>
        </w:rPr>
      </w:pPr>
      <w:r w:rsidRPr="00F506FC">
        <w:rPr>
          <w:noProof/>
          <w:sz w:val="22"/>
        </w:rPr>
        <w:lastRenderedPageBreak/>
        <w:t>V spodnjo preglednico vpišite podrobnosti o vseh posebnih nacionalnih ukrepih, ki se izvajajo v okviru programa. Poročanje o posebnih nadnacionalnih ukrepih bi moralo biti skladno z izbrano možnostjo poročanja</w:t>
      </w:r>
      <w:r w:rsidRPr="00F506FC">
        <w:rPr>
          <w:rStyle w:val="Sprotnaopomba-sklic"/>
          <w:noProof/>
          <w:sz w:val="22"/>
        </w:rPr>
        <w:footnoteReference w:id="12"/>
      </w:r>
      <w:r w:rsidRPr="00F506FC">
        <w:rPr>
          <w:noProof/>
          <w:sz w:val="22"/>
        </w:rPr>
        <w:t>.</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1134"/>
        <w:gridCol w:w="1134"/>
        <w:gridCol w:w="1134"/>
        <w:gridCol w:w="992"/>
        <w:gridCol w:w="992"/>
        <w:gridCol w:w="1364"/>
        <w:gridCol w:w="1613"/>
      </w:tblGrid>
      <w:tr w:rsidR="0087657F" w:rsidRPr="00F506FC" w:rsidTr="00D2623D">
        <w:trPr>
          <w:trHeight w:val="431"/>
        </w:trPr>
        <w:tc>
          <w:tcPr>
            <w:tcW w:w="879" w:type="dxa"/>
            <w:vMerge w:val="restart"/>
            <w:vAlign w:val="center"/>
          </w:tcPr>
          <w:p w:rsidR="0087657F" w:rsidRPr="00F506FC" w:rsidRDefault="0087657F" w:rsidP="00E45665">
            <w:pPr>
              <w:pStyle w:val="Institutionquisigne"/>
              <w:spacing w:before="0"/>
              <w:jc w:val="center"/>
              <w:rPr>
                <w:i w:val="0"/>
                <w:noProof/>
                <w:sz w:val="20"/>
              </w:rPr>
            </w:pPr>
            <w:r w:rsidRPr="00F506FC">
              <w:rPr>
                <w:i w:val="0"/>
                <w:noProof/>
                <w:sz w:val="20"/>
              </w:rPr>
              <w:t>Specifični cilj</w:t>
            </w:r>
          </w:p>
        </w:tc>
        <w:tc>
          <w:tcPr>
            <w:tcW w:w="1134" w:type="dxa"/>
            <w:vMerge w:val="restart"/>
            <w:vAlign w:val="center"/>
          </w:tcPr>
          <w:p w:rsidR="0087657F" w:rsidRPr="00F506FC" w:rsidRDefault="0087657F" w:rsidP="00E45665">
            <w:pPr>
              <w:jc w:val="center"/>
              <w:rPr>
                <w:i/>
                <w:noProof/>
              </w:rPr>
            </w:pPr>
            <w:r w:rsidRPr="00F506FC">
              <w:rPr>
                <w:noProof/>
                <w:sz w:val="20"/>
              </w:rPr>
              <w:t>Ime / referenčna številka ukrepa</w:t>
            </w:r>
          </w:p>
        </w:tc>
        <w:tc>
          <w:tcPr>
            <w:tcW w:w="1134" w:type="dxa"/>
            <w:vMerge w:val="restart"/>
            <w:vAlign w:val="center"/>
          </w:tcPr>
          <w:p w:rsidR="0087657F" w:rsidRPr="00F506FC" w:rsidRDefault="0087657F" w:rsidP="00E45665">
            <w:pPr>
              <w:pStyle w:val="Institutionquisigne"/>
              <w:spacing w:before="0"/>
              <w:jc w:val="center"/>
              <w:rPr>
                <w:i w:val="0"/>
                <w:noProof/>
                <w:sz w:val="20"/>
              </w:rPr>
            </w:pPr>
            <w:r w:rsidRPr="00F506FC">
              <w:rPr>
                <w:i w:val="0"/>
                <w:noProof/>
                <w:sz w:val="20"/>
              </w:rPr>
              <w:t>Upravičenec</w:t>
            </w:r>
          </w:p>
        </w:tc>
        <w:tc>
          <w:tcPr>
            <w:tcW w:w="1134" w:type="dxa"/>
            <w:vMerge w:val="restart"/>
            <w:vAlign w:val="center"/>
          </w:tcPr>
          <w:p w:rsidR="0087657F" w:rsidRPr="00F506FC" w:rsidRDefault="0087657F" w:rsidP="00E45665">
            <w:pPr>
              <w:pStyle w:val="Institutionquisigne"/>
              <w:spacing w:before="0"/>
              <w:jc w:val="center"/>
              <w:rPr>
                <w:i w:val="0"/>
                <w:noProof/>
                <w:sz w:val="20"/>
              </w:rPr>
            </w:pPr>
            <w:r w:rsidRPr="00F506FC">
              <w:rPr>
                <w:i w:val="0"/>
                <w:noProof/>
                <w:sz w:val="20"/>
              </w:rPr>
              <w:t>Obdobje izvajanja</w:t>
            </w:r>
          </w:p>
        </w:tc>
        <w:tc>
          <w:tcPr>
            <w:tcW w:w="992" w:type="dxa"/>
            <w:vMerge w:val="restart"/>
            <w:vAlign w:val="center"/>
          </w:tcPr>
          <w:p w:rsidR="0087657F" w:rsidRPr="00F506FC" w:rsidRDefault="0087657F" w:rsidP="0037290B">
            <w:pPr>
              <w:pStyle w:val="Institutionquisigne"/>
              <w:spacing w:before="0"/>
              <w:jc w:val="center"/>
              <w:rPr>
                <w:i w:val="0"/>
                <w:noProof/>
                <w:sz w:val="20"/>
              </w:rPr>
            </w:pPr>
            <w:r w:rsidRPr="00F506FC">
              <w:rPr>
                <w:i w:val="0"/>
                <w:noProof/>
                <w:sz w:val="20"/>
              </w:rPr>
              <w:t>Upravičeni stroški</w:t>
            </w:r>
            <w:r w:rsidRPr="00F506FC">
              <w:rPr>
                <w:rStyle w:val="Sprotnaopomba-sklic"/>
                <w:i w:val="0"/>
                <w:noProof/>
                <w:sz w:val="20"/>
                <w:szCs w:val="20"/>
              </w:rPr>
              <w:footnoteReference w:id="13"/>
            </w:r>
          </w:p>
        </w:tc>
        <w:tc>
          <w:tcPr>
            <w:tcW w:w="992" w:type="dxa"/>
            <w:vMerge w:val="restart"/>
            <w:vAlign w:val="center"/>
          </w:tcPr>
          <w:p w:rsidR="0087657F" w:rsidRPr="00F506FC" w:rsidRDefault="0087657F" w:rsidP="0037290B">
            <w:pPr>
              <w:pStyle w:val="Institutionquisigne"/>
              <w:spacing w:before="0"/>
              <w:jc w:val="center"/>
              <w:rPr>
                <w:i w:val="0"/>
                <w:noProof/>
                <w:sz w:val="20"/>
              </w:rPr>
            </w:pPr>
            <w:r w:rsidRPr="00F506FC">
              <w:rPr>
                <w:i w:val="0"/>
                <w:noProof/>
                <w:sz w:val="20"/>
              </w:rPr>
              <w:t>Upravičeni izdatki</w:t>
            </w:r>
            <w:r w:rsidRPr="00F506FC">
              <w:rPr>
                <w:rStyle w:val="Sprotnaopomba-sklic"/>
                <w:i w:val="0"/>
                <w:noProof/>
                <w:sz w:val="20"/>
              </w:rPr>
              <w:footnoteReference w:id="14"/>
            </w:r>
          </w:p>
        </w:tc>
        <w:tc>
          <w:tcPr>
            <w:tcW w:w="2977" w:type="dxa"/>
            <w:gridSpan w:val="2"/>
            <w:vAlign w:val="center"/>
          </w:tcPr>
          <w:p w:rsidR="0087657F" w:rsidRPr="00F506FC" w:rsidRDefault="0087657F" w:rsidP="0037290B">
            <w:pPr>
              <w:jc w:val="center"/>
              <w:rPr>
                <w:i/>
                <w:noProof/>
              </w:rPr>
            </w:pPr>
            <w:r w:rsidRPr="00F506FC">
              <w:rPr>
                <w:noProof/>
                <w:sz w:val="20"/>
              </w:rPr>
              <w:t>Napredek pri ustreznih skupnih kazalnikih in/ali kazalnikih za posamezne programe</w:t>
            </w:r>
            <w:r w:rsidRPr="00F506FC">
              <w:rPr>
                <w:rStyle w:val="Sprotnaopomba-sklic"/>
                <w:noProof/>
                <w:sz w:val="20"/>
              </w:rPr>
              <w:footnoteReference w:id="15"/>
            </w:r>
          </w:p>
        </w:tc>
      </w:tr>
      <w:tr w:rsidR="0087657F" w:rsidRPr="00F506FC" w:rsidTr="00D2623D">
        <w:tc>
          <w:tcPr>
            <w:tcW w:w="879" w:type="dxa"/>
            <w:vMerge/>
            <w:vAlign w:val="center"/>
          </w:tcPr>
          <w:p w:rsidR="0087657F" w:rsidRPr="00F506FC" w:rsidRDefault="0087657F" w:rsidP="00E45665">
            <w:pPr>
              <w:pStyle w:val="Institutionquisigne"/>
              <w:spacing w:before="0"/>
              <w:jc w:val="center"/>
              <w:rPr>
                <w:i w:val="0"/>
                <w:noProof/>
                <w:sz w:val="22"/>
              </w:rPr>
            </w:pPr>
          </w:p>
        </w:tc>
        <w:tc>
          <w:tcPr>
            <w:tcW w:w="1134" w:type="dxa"/>
            <w:vMerge/>
            <w:vAlign w:val="center"/>
          </w:tcPr>
          <w:p w:rsidR="0087657F" w:rsidRPr="00F506FC" w:rsidRDefault="0087657F" w:rsidP="00E45665">
            <w:pPr>
              <w:pStyle w:val="Institutionquisigne"/>
              <w:spacing w:before="0"/>
              <w:jc w:val="center"/>
              <w:rPr>
                <w:noProof/>
              </w:rPr>
            </w:pPr>
          </w:p>
        </w:tc>
        <w:tc>
          <w:tcPr>
            <w:tcW w:w="1134" w:type="dxa"/>
            <w:vMerge/>
            <w:vAlign w:val="center"/>
          </w:tcPr>
          <w:p w:rsidR="0087657F" w:rsidRPr="00F506FC" w:rsidRDefault="0087657F" w:rsidP="00E45665">
            <w:pPr>
              <w:pStyle w:val="Institutionquisigne"/>
              <w:spacing w:before="0"/>
              <w:jc w:val="center"/>
              <w:rPr>
                <w:noProof/>
              </w:rPr>
            </w:pPr>
          </w:p>
        </w:tc>
        <w:tc>
          <w:tcPr>
            <w:tcW w:w="1134" w:type="dxa"/>
            <w:vMerge/>
            <w:vAlign w:val="center"/>
          </w:tcPr>
          <w:p w:rsidR="0087657F" w:rsidRPr="00F506FC" w:rsidRDefault="0087657F" w:rsidP="00E45665">
            <w:pPr>
              <w:pStyle w:val="Institutionquisigne"/>
              <w:spacing w:before="0"/>
              <w:jc w:val="center"/>
              <w:rPr>
                <w:noProof/>
              </w:rPr>
            </w:pPr>
          </w:p>
        </w:tc>
        <w:tc>
          <w:tcPr>
            <w:tcW w:w="992" w:type="dxa"/>
            <w:vMerge/>
            <w:vAlign w:val="center"/>
          </w:tcPr>
          <w:p w:rsidR="0087657F" w:rsidRPr="00F506FC" w:rsidRDefault="0087657F" w:rsidP="00E45665">
            <w:pPr>
              <w:pStyle w:val="Institutionquisigne"/>
              <w:spacing w:before="0"/>
              <w:jc w:val="center"/>
              <w:rPr>
                <w:noProof/>
              </w:rPr>
            </w:pPr>
          </w:p>
        </w:tc>
        <w:tc>
          <w:tcPr>
            <w:tcW w:w="992" w:type="dxa"/>
            <w:vMerge/>
            <w:vAlign w:val="center"/>
          </w:tcPr>
          <w:p w:rsidR="0087657F" w:rsidRPr="00F506FC" w:rsidRDefault="0087657F" w:rsidP="00E45665">
            <w:pPr>
              <w:pStyle w:val="Institutionquisigne"/>
              <w:spacing w:before="0"/>
              <w:jc w:val="center"/>
              <w:rPr>
                <w:noProof/>
              </w:rPr>
            </w:pPr>
          </w:p>
        </w:tc>
        <w:tc>
          <w:tcPr>
            <w:tcW w:w="1364" w:type="dxa"/>
            <w:vAlign w:val="center"/>
          </w:tcPr>
          <w:p w:rsidR="0087657F" w:rsidRPr="00F506FC" w:rsidRDefault="0087657F" w:rsidP="00E45665">
            <w:pPr>
              <w:pStyle w:val="Institutionquisigne"/>
              <w:spacing w:before="0"/>
              <w:jc w:val="center"/>
              <w:rPr>
                <w:i w:val="0"/>
                <w:noProof/>
                <w:sz w:val="20"/>
              </w:rPr>
            </w:pPr>
            <w:r w:rsidRPr="00F506FC">
              <w:rPr>
                <w:i w:val="0"/>
                <w:noProof/>
                <w:sz w:val="20"/>
              </w:rPr>
              <w:t>kazalniki učinka</w:t>
            </w:r>
          </w:p>
        </w:tc>
        <w:tc>
          <w:tcPr>
            <w:tcW w:w="1613" w:type="dxa"/>
            <w:vAlign w:val="center"/>
          </w:tcPr>
          <w:p w:rsidR="0087657F" w:rsidRPr="00F506FC" w:rsidRDefault="0087657F" w:rsidP="00E45665">
            <w:pPr>
              <w:pStyle w:val="Institutionquisigne"/>
              <w:spacing w:before="0"/>
              <w:jc w:val="center"/>
              <w:rPr>
                <w:i w:val="0"/>
                <w:noProof/>
                <w:sz w:val="20"/>
              </w:rPr>
            </w:pPr>
            <w:r w:rsidRPr="00F506FC">
              <w:rPr>
                <w:i w:val="0"/>
                <w:noProof/>
                <w:sz w:val="20"/>
              </w:rPr>
              <w:t>kazalniki rezultatov</w:t>
            </w:r>
          </w:p>
        </w:tc>
      </w:tr>
      <w:tr w:rsidR="0087657F" w:rsidRPr="00F506FC" w:rsidTr="00D2623D">
        <w:tc>
          <w:tcPr>
            <w:tcW w:w="879" w:type="dxa"/>
            <w:vAlign w:val="center"/>
          </w:tcPr>
          <w:p w:rsidR="0087657F" w:rsidRPr="00F506FC" w:rsidRDefault="00BE5FCA" w:rsidP="00E45665">
            <w:pPr>
              <w:pStyle w:val="Institutionquisigne"/>
              <w:spacing w:before="0"/>
              <w:jc w:val="center"/>
              <w:rPr>
                <w:i w:val="0"/>
                <w:noProof/>
                <w:sz w:val="22"/>
              </w:rPr>
            </w:pPr>
            <w:r w:rsidRPr="00F506FC">
              <w:rPr>
                <w:i w:val="0"/>
                <w:noProof/>
                <w:sz w:val="22"/>
              </w:rPr>
              <w:t>/</w:t>
            </w:r>
          </w:p>
        </w:tc>
        <w:tc>
          <w:tcPr>
            <w:tcW w:w="1134" w:type="dxa"/>
            <w:vAlign w:val="center"/>
          </w:tcPr>
          <w:p w:rsidR="0087657F" w:rsidRPr="00F506FC" w:rsidRDefault="00BE5FCA" w:rsidP="00E45665">
            <w:pPr>
              <w:pStyle w:val="Institutionquisigne"/>
              <w:spacing w:before="0"/>
              <w:jc w:val="center"/>
              <w:rPr>
                <w:noProof/>
              </w:rPr>
            </w:pPr>
            <w:r w:rsidRPr="00F506FC">
              <w:rPr>
                <w:noProof/>
              </w:rPr>
              <w:t>/</w:t>
            </w:r>
          </w:p>
        </w:tc>
        <w:tc>
          <w:tcPr>
            <w:tcW w:w="1134" w:type="dxa"/>
          </w:tcPr>
          <w:p w:rsidR="0087657F" w:rsidRPr="00F506FC" w:rsidRDefault="00BE5FCA" w:rsidP="00E45665">
            <w:pPr>
              <w:pStyle w:val="Institutionquisigne"/>
              <w:spacing w:before="0"/>
              <w:jc w:val="center"/>
              <w:rPr>
                <w:noProof/>
              </w:rPr>
            </w:pPr>
            <w:r w:rsidRPr="00F506FC">
              <w:rPr>
                <w:noProof/>
              </w:rPr>
              <w:t>/</w:t>
            </w:r>
          </w:p>
        </w:tc>
        <w:tc>
          <w:tcPr>
            <w:tcW w:w="1134" w:type="dxa"/>
          </w:tcPr>
          <w:p w:rsidR="0087657F" w:rsidRPr="00F506FC" w:rsidRDefault="00BE5FCA" w:rsidP="00E45665">
            <w:pPr>
              <w:pStyle w:val="Institutionquisigne"/>
              <w:spacing w:before="0"/>
              <w:jc w:val="center"/>
              <w:rPr>
                <w:noProof/>
              </w:rPr>
            </w:pPr>
            <w:r w:rsidRPr="00F506FC">
              <w:rPr>
                <w:noProof/>
              </w:rPr>
              <w:t>/</w:t>
            </w:r>
          </w:p>
        </w:tc>
        <w:tc>
          <w:tcPr>
            <w:tcW w:w="992" w:type="dxa"/>
          </w:tcPr>
          <w:p w:rsidR="0087657F" w:rsidRPr="00F506FC" w:rsidRDefault="00BE5FCA" w:rsidP="00E45665">
            <w:pPr>
              <w:pStyle w:val="Institutionquisigne"/>
              <w:spacing w:before="0"/>
              <w:jc w:val="center"/>
              <w:rPr>
                <w:noProof/>
              </w:rPr>
            </w:pPr>
            <w:r w:rsidRPr="00F506FC">
              <w:rPr>
                <w:noProof/>
              </w:rPr>
              <w:t>/</w:t>
            </w:r>
          </w:p>
        </w:tc>
        <w:tc>
          <w:tcPr>
            <w:tcW w:w="992" w:type="dxa"/>
          </w:tcPr>
          <w:p w:rsidR="0087657F" w:rsidRPr="00F506FC" w:rsidRDefault="00BE5FCA" w:rsidP="00E45665">
            <w:pPr>
              <w:pStyle w:val="Institutionquisigne"/>
              <w:spacing w:before="0"/>
              <w:jc w:val="center"/>
              <w:rPr>
                <w:noProof/>
              </w:rPr>
            </w:pPr>
            <w:r w:rsidRPr="00F506FC">
              <w:rPr>
                <w:noProof/>
              </w:rPr>
              <w:t>/</w:t>
            </w:r>
          </w:p>
        </w:tc>
        <w:tc>
          <w:tcPr>
            <w:tcW w:w="1364" w:type="dxa"/>
          </w:tcPr>
          <w:p w:rsidR="0087657F" w:rsidRPr="00F506FC" w:rsidRDefault="00BE5FCA" w:rsidP="00E45665">
            <w:pPr>
              <w:pStyle w:val="Institutionquisigne"/>
              <w:spacing w:before="0"/>
              <w:jc w:val="center"/>
              <w:rPr>
                <w:i w:val="0"/>
                <w:noProof/>
                <w:sz w:val="20"/>
              </w:rPr>
            </w:pPr>
            <w:r w:rsidRPr="00F506FC">
              <w:rPr>
                <w:i w:val="0"/>
                <w:noProof/>
                <w:sz w:val="20"/>
              </w:rPr>
              <w:t>/</w:t>
            </w:r>
          </w:p>
        </w:tc>
        <w:tc>
          <w:tcPr>
            <w:tcW w:w="1613" w:type="dxa"/>
          </w:tcPr>
          <w:p w:rsidR="0087657F" w:rsidRPr="00F506FC" w:rsidRDefault="00BE5FCA" w:rsidP="00E45665">
            <w:pPr>
              <w:pStyle w:val="Institutionquisigne"/>
              <w:spacing w:before="0"/>
              <w:jc w:val="center"/>
              <w:rPr>
                <w:i w:val="0"/>
                <w:noProof/>
                <w:sz w:val="20"/>
              </w:rPr>
            </w:pPr>
            <w:r w:rsidRPr="00F506FC">
              <w:rPr>
                <w:i w:val="0"/>
                <w:noProof/>
                <w:sz w:val="20"/>
              </w:rPr>
              <w:t>/</w:t>
            </w:r>
          </w:p>
        </w:tc>
      </w:tr>
    </w:tbl>
    <w:p w:rsidR="0087657F" w:rsidRPr="00F506FC" w:rsidRDefault="0087657F" w:rsidP="0087657F">
      <w:pPr>
        <w:pStyle w:val="Personnequisigne"/>
        <w:rPr>
          <w:noProof/>
        </w:rPr>
      </w:pPr>
    </w:p>
    <w:p w:rsidR="0087657F" w:rsidRPr="00F506FC" w:rsidRDefault="00CF7D3B" w:rsidP="00CF7D3B">
      <w:pPr>
        <w:pStyle w:val="ManualHeading2"/>
        <w:rPr>
          <w:noProof/>
        </w:rPr>
      </w:pPr>
      <w:r w:rsidRPr="00F506FC">
        <w:t>1.6.</w:t>
      </w:r>
      <w:r w:rsidRPr="00F506FC">
        <w:tab/>
      </w:r>
      <w:r w:rsidR="0087657F" w:rsidRPr="00F506FC">
        <w:rPr>
          <w:noProof/>
        </w:rPr>
        <w:t>Preselitev in premestitev – člen 35(2), točki (g) in (h), Uredbe (EU) 2021/1147</w:t>
      </w:r>
    </w:p>
    <w:p w:rsidR="000D1693" w:rsidRPr="00F506FC" w:rsidRDefault="0060652B" w:rsidP="004629B2">
      <w:pPr>
        <w:pStyle w:val="Titrearticle"/>
        <w:spacing w:before="240"/>
        <w:jc w:val="both"/>
        <w:rPr>
          <w:i w:val="0"/>
          <w:noProof/>
          <w:sz w:val="22"/>
        </w:rPr>
      </w:pPr>
      <w:r w:rsidRPr="00F506FC">
        <w:rPr>
          <w:i w:val="0"/>
          <w:noProof/>
          <w:sz w:val="22"/>
        </w:rPr>
        <w:t>V spodnji preglednici navedite konsolidirane podatke za obračunsko leto.</w:t>
      </w:r>
    </w:p>
    <w:tbl>
      <w:tblPr>
        <w:tblStyle w:val="Tabelamrea"/>
        <w:tblW w:w="0" w:type="auto"/>
        <w:tblLook w:val="04A0" w:firstRow="1" w:lastRow="0" w:firstColumn="1" w:lastColumn="0" w:noHBand="0" w:noVBand="1"/>
      </w:tblPr>
      <w:tblGrid>
        <w:gridCol w:w="6911"/>
        <w:gridCol w:w="2376"/>
      </w:tblGrid>
      <w:tr w:rsidR="0087657F" w:rsidRPr="00F506FC" w:rsidTr="004629B2">
        <w:trPr>
          <w:trHeight w:val="347"/>
        </w:trPr>
        <w:tc>
          <w:tcPr>
            <w:tcW w:w="6911" w:type="dxa"/>
            <w:vAlign w:val="center"/>
          </w:tcPr>
          <w:p w:rsidR="0087657F" w:rsidRPr="00F506FC" w:rsidRDefault="0087657F" w:rsidP="00E45665">
            <w:pPr>
              <w:spacing w:before="0" w:after="0"/>
              <w:rPr>
                <w:i/>
                <w:noProof/>
                <w:sz w:val="20"/>
              </w:rPr>
            </w:pPr>
            <w:r w:rsidRPr="00F506FC">
              <w:rPr>
                <w:noProof/>
                <w:sz w:val="20"/>
              </w:rPr>
              <w:t xml:space="preserve">Število oseb, sprejetih v okviru preselitve </w:t>
            </w:r>
          </w:p>
        </w:tc>
        <w:tc>
          <w:tcPr>
            <w:tcW w:w="2376" w:type="dxa"/>
          </w:tcPr>
          <w:p w:rsidR="0087657F" w:rsidRPr="00F506FC" w:rsidRDefault="00BE5FCA" w:rsidP="00E45665">
            <w:pPr>
              <w:pStyle w:val="Institutionquisigne"/>
              <w:spacing w:before="0"/>
              <w:rPr>
                <w:noProof/>
                <w:sz w:val="20"/>
              </w:rPr>
            </w:pPr>
            <w:r w:rsidRPr="00F506FC">
              <w:rPr>
                <w:noProof/>
                <w:sz w:val="20"/>
              </w:rPr>
              <w:t>/</w:t>
            </w:r>
          </w:p>
        </w:tc>
      </w:tr>
      <w:tr w:rsidR="0087657F" w:rsidRPr="00F506FC" w:rsidTr="004629B2">
        <w:trPr>
          <w:trHeight w:val="658"/>
        </w:trPr>
        <w:tc>
          <w:tcPr>
            <w:tcW w:w="6911" w:type="dxa"/>
            <w:vAlign w:val="center"/>
          </w:tcPr>
          <w:p w:rsidR="0087657F" w:rsidRPr="00F506FC" w:rsidRDefault="0087657F" w:rsidP="00E45665">
            <w:pPr>
              <w:spacing w:before="0" w:after="0"/>
              <w:rPr>
                <w:i/>
                <w:noProof/>
                <w:sz w:val="20"/>
              </w:rPr>
            </w:pPr>
            <w:r w:rsidRPr="00F506FC">
              <w:rPr>
                <w:noProof/>
                <w:sz w:val="20"/>
              </w:rPr>
              <w:t>Število oseb, sprejetih v okviru humanitarnega sprejema v skladu s členom 19(2) Uredbe (EU) 2021/1147</w:t>
            </w:r>
          </w:p>
        </w:tc>
        <w:tc>
          <w:tcPr>
            <w:tcW w:w="2376" w:type="dxa"/>
          </w:tcPr>
          <w:p w:rsidR="0087657F" w:rsidRPr="00F506FC" w:rsidRDefault="00BE5FCA" w:rsidP="00E45665">
            <w:pPr>
              <w:pStyle w:val="Institutionquisigne"/>
              <w:spacing w:before="0"/>
              <w:rPr>
                <w:noProof/>
                <w:sz w:val="20"/>
              </w:rPr>
            </w:pPr>
            <w:r w:rsidRPr="00F506FC">
              <w:rPr>
                <w:noProof/>
                <w:sz w:val="20"/>
              </w:rPr>
              <w:t>/</w:t>
            </w:r>
          </w:p>
        </w:tc>
      </w:tr>
      <w:tr w:rsidR="0087657F" w:rsidRPr="00F506FC" w:rsidTr="004629B2">
        <w:trPr>
          <w:trHeight w:val="650"/>
        </w:trPr>
        <w:tc>
          <w:tcPr>
            <w:tcW w:w="6911" w:type="dxa"/>
            <w:tcBorders>
              <w:bottom w:val="single" w:sz="4" w:space="0" w:color="auto"/>
            </w:tcBorders>
            <w:vAlign w:val="center"/>
          </w:tcPr>
          <w:p w:rsidR="0087657F" w:rsidRPr="00F506FC" w:rsidRDefault="0087657F" w:rsidP="00E80570">
            <w:pPr>
              <w:spacing w:before="0" w:after="0"/>
              <w:rPr>
                <w:i/>
                <w:noProof/>
                <w:sz w:val="20"/>
              </w:rPr>
            </w:pPr>
            <w:r w:rsidRPr="00F506FC">
              <w:rPr>
                <w:noProof/>
                <w:sz w:val="20"/>
              </w:rPr>
              <w:t>Število ranljivih oseb, sprejetih v okviru humanitarnega sprejema v skladu s členom 19(3) Uredbe (EU) 2021/1147</w:t>
            </w:r>
          </w:p>
        </w:tc>
        <w:tc>
          <w:tcPr>
            <w:tcW w:w="2376" w:type="dxa"/>
            <w:tcBorders>
              <w:bottom w:val="single" w:sz="4" w:space="0" w:color="auto"/>
            </w:tcBorders>
          </w:tcPr>
          <w:p w:rsidR="0087657F" w:rsidRPr="00F506FC" w:rsidRDefault="00BE5FCA" w:rsidP="00E45665">
            <w:pPr>
              <w:pStyle w:val="Institutionquisigne"/>
              <w:spacing w:before="0"/>
              <w:rPr>
                <w:noProof/>
                <w:sz w:val="20"/>
              </w:rPr>
            </w:pPr>
            <w:r w:rsidRPr="00F506FC">
              <w:rPr>
                <w:noProof/>
                <w:sz w:val="20"/>
              </w:rPr>
              <w:t>/</w:t>
            </w:r>
          </w:p>
        </w:tc>
      </w:tr>
      <w:tr w:rsidR="0087657F" w:rsidRPr="00F506FC" w:rsidTr="00462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6911" w:type="dxa"/>
            <w:tcBorders>
              <w:top w:val="single" w:sz="4" w:space="0" w:color="auto"/>
              <w:left w:val="single" w:sz="4" w:space="0" w:color="auto"/>
              <w:bottom w:val="single" w:sz="4" w:space="0" w:color="auto"/>
              <w:right w:val="single" w:sz="4" w:space="0" w:color="auto"/>
            </w:tcBorders>
            <w:vAlign w:val="center"/>
          </w:tcPr>
          <w:p w:rsidR="0087657F" w:rsidRPr="00F506FC" w:rsidRDefault="0087657F" w:rsidP="00E45665">
            <w:pPr>
              <w:spacing w:before="0" w:after="0"/>
              <w:rPr>
                <w:i/>
                <w:noProof/>
                <w:sz w:val="20"/>
              </w:rPr>
            </w:pPr>
            <w:r w:rsidRPr="00F506FC">
              <w:rPr>
                <w:noProof/>
                <w:sz w:val="20"/>
              </w:rPr>
              <w:t xml:space="preserve">Število prosilcev za mednarodno zaščito ali upravičencev do mednarodne zaščite, premeščenih v državo članico </w:t>
            </w:r>
          </w:p>
        </w:tc>
        <w:tc>
          <w:tcPr>
            <w:tcW w:w="2376" w:type="dxa"/>
            <w:tcBorders>
              <w:top w:val="single" w:sz="4" w:space="0" w:color="auto"/>
              <w:left w:val="single" w:sz="4" w:space="0" w:color="auto"/>
              <w:bottom w:val="single" w:sz="4" w:space="0" w:color="auto"/>
              <w:right w:val="single" w:sz="4" w:space="0" w:color="auto"/>
            </w:tcBorders>
          </w:tcPr>
          <w:p w:rsidR="0087657F" w:rsidRPr="00F506FC" w:rsidRDefault="00BE5FCA" w:rsidP="00E45665">
            <w:pPr>
              <w:pStyle w:val="Institutionquisigne"/>
              <w:spacing w:before="0"/>
              <w:rPr>
                <w:noProof/>
                <w:sz w:val="20"/>
              </w:rPr>
            </w:pPr>
            <w:r w:rsidRPr="00F506FC">
              <w:rPr>
                <w:noProof/>
                <w:sz w:val="20"/>
              </w:rPr>
              <w:t>/</w:t>
            </w:r>
          </w:p>
        </w:tc>
      </w:tr>
      <w:tr w:rsidR="0087657F" w:rsidRPr="00F506FC" w:rsidTr="004629B2">
        <w:trPr>
          <w:trHeight w:val="650"/>
        </w:trPr>
        <w:tc>
          <w:tcPr>
            <w:tcW w:w="6911" w:type="dxa"/>
            <w:tcBorders>
              <w:top w:val="single" w:sz="4" w:space="0" w:color="auto"/>
            </w:tcBorders>
            <w:vAlign w:val="center"/>
          </w:tcPr>
          <w:p w:rsidR="0087657F" w:rsidRPr="00F506FC" w:rsidRDefault="0087657F" w:rsidP="00E45665">
            <w:pPr>
              <w:spacing w:before="0" w:after="0"/>
              <w:rPr>
                <w:i/>
                <w:noProof/>
                <w:sz w:val="20"/>
              </w:rPr>
            </w:pPr>
            <w:r w:rsidRPr="00F506FC">
              <w:rPr>
                <w:noProof/>
                <w:sz w:val="20"/>
              </w:rPr>
              <w:t>Število prosilcev za mednarodno zaščito ali upravičencev do mednarodne zaščite, premeščenih iz države članice</w:t>
            </w:r>
          </w:p>
        </w:tc>
        <w:tc>
          <w:tcPr>
            <w:tcW w:w="2376" w:type="dxa"/>
            <w:tcBorders>
              <w:top w:val="single" w:sz="4" w:space="0" w:color="auto"/>
            </w:tcBorders>
          </w:tcPr>
          <w:p w:rsidR="0087657F" w:rsidRPr="00F506FC" w:rsidRDefault="00BE5FCA" w:rsidP="00E45665">
            <w:pPr>
              <w:pStyle w:val="Institutionquisigne"/>
              <w:spacing w:before="0"/>
              <w:rPr>
                <w:noProof/>
                <w:sz w:val="20"/>
              </w:rPr>
            </w:pPr>
            <w:r w:rsidRPr="00F506FC">
              <w:rPr>
                <w:noProof/>
                <w:sz w:val="20"/>
              </w:rPr>
              <w:t>/</w:t>
            </w:r>
          </w:p>
        </w:tc>
      </w:tr>
    </w:tbl>
    <w:p w:rsidR="0087657F" w:rsidRPr="00F506FC" w:rsidRDefault="0087657F" w:rsidP="0087657F">
      <w:pPr>
        <w:rPr>
          <w:i/>
          <w:noProof/>
          <w:sz w:val="22"/>
        </w:rPr>
      </w:pPr>
      <w:r w:rsidRPr="00F506FC">
        <w:rPr>
          <w:noProof/>
          <w:sz w:val="22"/>
        </w:rPr>
        <w:t xml:space="preserve">Če je ustrezno, opišite morebitne popravke ali spremembe vrednosti, poslanih dvakrat letno prek modula za prenos podatkov v sistemu za upravljanje skladov v Evropski uniji (SFC), ki so prikazane v zgornji preglednici v konsolidiranih podatkih za obračunsko leto. </w:t>
      </w:r>
    </w:p>
    <w:tbl>
      <w:tblPr>
        <w:tblStyle w:val="Tabelamrea"/>
        <w:tblW w:w="0" w:type="auto"/>
        <w:tblLook w:val="04A0" w:firstRow="1" w:lastRow="0" w:firstColumn="1" w:lastColumn="0" w:noHBand="0" w:noVBand="1"/>
      </w:tblPr>
      <w:tblGrid>
        <w:gridCol w:w="9289"/>
      </w:tblGrid>
      <w:tr w:rsidR="0087657F" w:rsidRPr="00F506FC" w:rsidTr="00BE5FCA">
        <w:trPr>
          <w:trHeight w:val="47"/>
        </w:trPr>
        <w:tc>
          <w:tcPr>
            <w:tcW w:w="9289" w:type="dxa"/>
          </w:tcPr>
          <w:p w:rsidR="0087657F" w:rsidRPr="00F506FC" w:rsidRDefault="00BE5FCA" w:rsidP="00241BA6">
            <w:pPr>
              <w:pStyle w:val="Personnequisigne"/>
              <w:rPr>
                <w:noProof/>
              </w:rPr>
            </w:pPr>
            <w:r w:rsidRPr="00F506FC">
              <w:rPr>
                <w:noProof/>
                <w:sz w:val="22"/>
              </w:rPr>
              <w:t>/</w:t>
            </w:r>
          </w:p>
        </w:tc>
      </w:tr>
    </w:tbl>
    <w:p w:rsidR="0087657F" w:rsidRPr="00F506FC" w:rsidRDefault="00CF7D3B" w:rsidP="00CF7D3B">
      <w:pPr>
        <w:pStyle w:val="ManualHeading2"/>
        <w:rPr>
          <w:noProof/>
        </w:rPr>
      </w:pPr>
      <w:r w:rsidRPr="00F506FC">
        <w:t>1.7.</w:t>
      </w:r>
      <w:r w:rsidRPr="00F506FC">
        <w:tab/>
      </w:r>
      <w:r w:rsidR="0087657F" w:rsidRPr="00F506FC">
        <w:rPr>
          <w:noProof/>
        </w:rPr>
        <w:t>Samo v letu 2024: nadaljevanje projektov – člen 39(4), točka (e), Uredbe (EU) 2021/1147</w:t>
      </w:r>
    </w:p>
    <w:p w:rsidR="0087657F" w:rsidRPr="00F506FC" w:rsidRDefault="0060652B" w:rsidP="0087657F">
      <w:pPr>
        <w:rPr>
          <w:noProof/>
          <w:sz w:val="22"/>
        </w:rPr>
      </w:pPr>
      <w:r w:rsidRPr="00F506FC">
        <w:rPr>
          <w:noProof/>
          <w:sz w:val="22"/>
        </w:rPr>
        <w:t>Poročajte o vseh projektih, ki so se nadaljevali po 1. januarju 2021 ter so bili izbrani in začeti na podlagi Uredbe (EU) št. 516/2014 Evropskega parlamenta in Sveta</w:t>
      </w:r>
      <w:r w:rsidRPr="00F506FC">
        <w:rPr>
          <w:rStyle w:val="Sprotnaopomba-sklic"/>
          <w:noProof/>
          <w:sz w:val="22"/>
        </w:rPr>
        <w:footnoteReference w:id="16"/>
      </w:r>
      <w:r w:rsidRPr="00F506FC">
        <w:rPr>
          <w:noProof/>
          <w:sz w:val="22"/>
        </w:rPr>
        <w:t>, v skladu z Uredbo (EU) št. 514/2014 Evropskega parlamenta in Sveta</w:t>
      </w:r>
      <w:r w:rsidRPr="00F506FC">
        <w:rPr>
          <w:rStyle w:val="Sprotnaopomba-sklic"/>
          <w:noProof/>
          <w:sz w:val="22"/>
        </w:rPr>
        <w:footnoteReference w:id="17"/>
      </w:r>
      <w:r w:rsidRPr="00F506FC">
        <w:rPr>
          <w:noProof/>
          <w:sz w:val="22"/>
        </w:rPr>
        <w:t>.</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BE5FCA" w:rsidP="00241BA6">
            <w:pPr>
              <w:pStyle w:val="Personnequisigne"/>
              <w:rPr>
                <w:noProof/>
              </w:rPr>
            </w:pPr>
            <w:r w:rsidRPr="00F506FC">
              <w:rPr>
                <w:noProof/>
                <w:sz w:val="22"/>
              </w:rPr>
              <w:t>/</w:t>
            </w:r>
          </w:p>
        </w:tc>
      </w:tr>
    </w:tbl>
    <w:p w:rsidR="0087657F" w:rsidRPr="00F506FC" w:rsidRDefault="00CF7D3B" w:rsidP="00CF7D3B">
      <w:pPr>
        <w:pStyle w:val="ManualHeading1"/>
        <w:rPr>
          <w:noProof/>
        </w:rPr>
      </w:pPr>
      <w:r w:rsidRPr="00F506FC">
        <w:lastRenderedPageBreak/>
        <w:t>2.</w:t>
      </w:r>
      <w:r w:rsidRPr="00F506FC">
        <w:tab/>
      </w:r>
      <w:r w:rsidR="0087657F" w:rsidRPr="00F506FC">
        <w:rPr>
          <w:noProof/>
        </w:rPr>
        <w:t>Dopolnjevanje – člen 35(2), točka (c), Uredbe (EU) 2021/1147</w:t>
      </w:r>
    </w:p>
    <w:p w:rsidR="0037290B" w:rsidRPr="00F506FC" w:rsidRDefault="0060652B" w:rsidP="0037290B">
      <w:pPr>
        <w:pStyle w:val="Titrearticle"/>
        <w:spacing w:before="240"/>
        <w:jc w:val="both"/>
        <w:rPr>
          <w:noProof/>
        </w:rPr>
      </w:pPr>
      <w:r w:rsidRPr="00F506FC">
        <w:rPr>
          <w:i w:val="0"/>
          <w:noProof/>
          <w:sz w:val="22"/>
        </w:rPr>
        <w:t>Opišite dopolnjevanje in, če je ustrezno, sinergije, dosežene med obračunskim letom, med ukrepi, ki so podprti v okviru Sklada, in podporo iz drugih skladov Unije, zlasti instrumentov za zunanje financiranje</w:t>
      </w:r>
      <w:r w:rsidRPr="00F506FC">
        <w:rPr>
          <w:rStyle w:val="Sprotnaopomba-sklic"/>
          <w:i w:val="0"/>
          <w:noProof/>
          <w:sz w:val="22"/>
        </w:rPr>
        <w:footnoteReference w:id="18"/>
      </w:r>
      <w:r w:rsidRPr="00F506FC">
        <w:rPr>
          <w:i w:val="0"/>
          <w:noProof/>
          <w:sz w:val="22"/>
        </w:rPr>
        <w:t>, Evropskega socialnega sklada + (ESS+) ali njegovih predhodnikov, Evropskega sklada za regionalni razvoj (ESRR) – v okviru cilja „naložbe za delovna mesta in rast“ ali cilja „evropsko teritorialno sodelovanje“ –, Sklada za notranjo varnost (ISF) ter Instrumenta za finančno podporo za upravljanje meja in vizumsko politiko</w:t>
      </w:r>
      <w:r w:rsidRPr="00F506FC">
        <w:rPr>
          <w:rStyle w:val="Sprotnaopomba-sklic"/>
          <w:i w:val="0"/>
          <w:noProof/>
          <w:sz w:val="22"/>
        </w:rPr>
        <w:footnoteReference w:id="19"/>
      </w:r>
      <w:r w:rsidRPr="00F506FC">
        <w:rPr>
          <w:i w:val="0"/>
          <w:noProof/>
          <w:sz w:val="22"/>
        </w:rPr>
        <w:t xml:space="preserve">. </w:t>
      </w:r>
    </w:p>
    <w:p w:rsidR="0087657F" w:rsidRPr="00F506FC" w:rsidRDefault="0060652B" w:rsidP="0037290B">
      <w:pPr>
        <w:pStyle w:val="Titrearticle"/>
        <w:spacing w:before="240"/>
        <w:jc w:val="both"/>
        <w:rPr>
          <w:i w:val="0"/>
          <w:noProof/>
          <w:sz w:val="22"/>
        </w:rPr>
      </w:pPr>
      <w:r w:rsidRPr="00F506FC">
        <w:rPr>
          <w:i w:val="0"/>
          <w:noProof/>
          <w:sz w:val="22"/>
        </w:rPr>
        <w:t>Posebno pozornost namenite:</w:t>
      </w:r>
    </w:p>
    <w:p w:rsidR="0087657F" w:rsidRPr="00F506FC" w:rsidRDefault="0087657F" w:rsidP="00636FE6">
      <w:pPr>
        <w:pStyle w:val="Tiret0"/>
        <w:numPr>
          <w:ilvl w:val="0"/>
          <w:numId w:val="10"/>
        </w:numPr>
        <w:rPr>
          <w:i/>
          <w:noProof/>
          <w:sz w:val="22"/>
        </w:rPr>
      </w:pPr>
      <w:r w:rsidRPr="00F506FC">
        <w:rPr>
          <w:noProof/>
          <w:sz w:val="22"/>
        </w:rPr>
        <w:t>dopolnjevanju z instrumenti Unije za zunanje financiranje za ukrepe, ki se izvajajo v tretjih državah ali v zvezi z njimi, s poudarkom na vidikih, ki so skladni z načeli in splošnimi cilji zunanje politike Unije, ter</w:t>
      </w:r>
    </w:p>
    <w:p w:rsidR="00B66713" w:rsidRPr="00F506FC" w:rsidRDefault="0087657F" w:rsidP="00B66713">
      <w:pPr>
        <w:pStyle w:val="Tiret0"/>
        <w:numPr>
          <w:ilvl w:val="0"/>
          <w:numId w:val="10"/>
        </w:numPr>
        <w:rPr>
          <w:noProof/>
          <w:sz w:val="22"/>
        </w:rPr>
      </w:pPr>
      <w:r w:rsidRPr="00F506FC">
        <w:rPr>
          <w:noProof/>
          <w:sz w:val="22"/>
        </w:rPr>
        <w:t>uporabi omogočitvenih mehanizmov, kot so obstoječe organizacijske in postopkovne ureditve, ki pomagajo doseči sinergije in dopolnjevanje, ter morebitnim ukrepom, izvedenim za njihovo izboljšanje v obračunskem letu.</w:t>
      </w:r>
    </w:p>
    <w:p w:rsidR="00B66713" w:rsidRPr="00F506FC" w:rsidRDefault="00B66713" w:rsidP="003811CC">
      <w:pPr>
        <w:rPr>
          <w:noProof/>
          <w:sz w:val="22"/>
        </w:rPr>
      </w:pPr>
      <w:r w:rsidRPr="00F506FC">
        <w:rPr>
          <w:noProof/>
          <w:sz w:val="22"/>
        </w:rPr>
        <w:t>Če je ustrezno, opišite tudi dopolnjevanje dejavnosti, ki se izvajajo z vidika krepitve medagencijskega sodelovanja</w:t>
      </w:r>
      <w:r w:rsidRPr="00F506FC">
        <w:rPr>
          <w:rStyle w:val="Sprotnaopomba-sklic"/>
          <w:noProof/>
          <w:sz w:val="22"/>
        </w:rPr>
        <w:footnoteReference w:id="20"/>
      </w:r>
      <w:r w:rsidRPr="00F506FC">
        <w:rPr>
          <w:noProof/>
        </w:rPr>
        <w:t>.</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B90931" w:rsidP="00043F56">
            <w:pPr>
              <w:pStyle w:val="Personnequisigne"/>
              <w:jc w:val="both"/>
              <w:rPr>
                <w:i w:val="0"/>
                <w:noProof/>
                <w:sz w:val="22"/>
              </w:rPr>
            </w:pPr>
            <w:r w:rsidRPr="00F506FC">
              <w:rPr>
                <w:i w:val="0"/>
                <w:noProof/>
                <w:sz w:val="22"/>
              </w:rPr>
              <w:t>Slovenija v obračunskem obdobju poročanja še ni pričela z izvajanjem aktivnosti v zvezi z ukrepi programa AMIF, zato ne moremo poročati o morebitnih dopolnjevanjih in sinergijah, doseženih med obračunskim letom.</w:t>
            </w:r>
          </w:p>
        </w:tc>
      </w:tr>
    </w:tbl>
    <w:p w:rsidR="0087657F" w:rsidRPr="00F506FC" w:rsidRDefault="00CF7D3B" w:rsidP="00CF7D3B">
      <w:pPr>
        <w:pStyle w:val="ManualHeading1"/>
        <w:rPr>
          <w:noProof/>
        </w:rPr>
      </w:pPr>
      <w:r w:rsidRPr="00F506FC">
        <w:t>3.</w:t>
      </w:r>
      <w:r w:rsidRPr="00F506FC">
        <w:tab/>
      </w:r>
      <w:r w:rsidR="0087657F" w:rsidRPr="00F506FC">
        <w:rPr>
          <w:noProof/>
        </w:rPr>
        <w:t>Izvajanje pravnega reda Unije, sodelovanje in solidarnost – člen 35(2), točka (d), Uredbe (EU) 2021/1147</w:t>
      </w:r>
    </w:p>
    <w:p w:rsidR="0087657F" w:rsidRPr="00F506FC" w:rsidRDefault="007027D4" w:rsidP="0087657F">
      <w:pPr>
        <w:pStyle w:val="Titrearticle"/>
        <w:spacing w:before="240"/>
        <w:jc w:val="both"/>
        <w:rPr>
          <w:i w:val="0"/>
          <w:noProof/>
          <w:sz w:val="22"/>
        </w:rPr>
      </w:pPr>
      <w:r w:rsidRPr="00F506FC">
        <w:rPr>
          <w:i w:val="0"/>
          <w:noProof/>
          <w:sz w:val="22"/>
        </w:rPr>
        <w:t>Na kratko opišite, kako je program med obračunskim letom prispeval k izvajanju pravnega reda Unije (prava Unije) na področju azila, zakonitih migracij, vključevanja, vračanja, nedovoljenih migracij in ustreznih akcijskih načrtov ter k sodelovanju in solidarnosti med državami članicami.</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537FD8" w:rsidP="00A62CA1">
            <w:pPr>
              <w:pStyle w:val="Personnequisigne"/>
              <w:jc w:val="both"/>
              <w:rPr>
                <w:noProof/>
              </w:rPr>
            </w:pPr>
            <w:r w:rsidRPr="00F506FC">
              <w:rPr>
                <w:i w:val="0"/>
                <w:noProof/>
                <w:sz w:val="22"/>
              </w:rPr>
              <w:t>Slovenija v obračunskem obdobju poročanja še ni pričela z izvajanjem aktivnosti v zvezi z ukrepi programa AMIF, zato ne moremo poročati o</w:t>
            </w:r>
            <w:r w:rsidR="00043F56" w:rsidRPr="00F506FC">
              <w:rPr>
                <w:i w:val="0"/>
                <w:noProof/>
                <w:sz w:val="22"/>
              </w:rPr>
              <w:t xml:space="preserve"> tem</w:t>
            </w:r>
            <w:r w:rsidR="00BD0596" w:rsidRPr="00F506FC">
              <w:rPr>
                <w:i w:val="0"/>
                <w:noProof/>
                <w:sz w:val="22"/>
              </w:rPr>
              <w:t>,</w:t>
            </w:r>
            <w:r w:rsidRPr="00F506FC">
              <w:rPr>
                <w:i w:val="0"/>
                <w:noProof/>
                <w:sz w:val="22"/>
              </w:rPr>
              <w:t xml:space="preserve"> kako je program </w:t>
            </w:r>
            <w:r w:rsidR="00A62CA1" w:rsidRPr="00F506FC">
              <w:rPr>
                <w:i w:val="0"/>
                <w:noProof/>
                <w:sz w:val="22"/>
              </w:rPr>
              <w:t>med obračunskim letom prispeval k izvajanju pravnega reda Unije (prava Unije) na področju azila, zakonitih migracij, vključevanja, vračanja, nedovoljenih migracij in ustreznih akcijskih načrtov ter k sodelovanju in solidarnosti med državami članicami.</w:t>
            </w:r>
          </w:p>
        </w:tc>
      </w:tr>
    </w:tbl>
    <w:p w:rsidR="0087657F" w:rsidRPr="00F506FC" w:rsidRDefault="00CF7D3B" w:rsidP="00CF7D3B">
      <w:pPr>
        <w:pStyle w:val="ManualHeading1"/>
        <w:rPr>
          <w:noProof/>
        </w:rPr>
      </w:pPr>
      <w:r w:rsidRPr="00F506FC">
        <w:t>4.</w:t>
      </w:r>
      <w:r w:rsidRPr="00F506FC">
        <w:tab/>
      </w:r>
      <w:r w:rsidR="0087657F" w:rsidRPr="00F506FC">
        <w:rPr>
          <w:noProof/>
        </w:rPr>
        <w:t>Komuniciranje in prepoznavnost – člen 35(2), točka (e), Uredbe (EU) 2021/1147</w:t>
      </w:r>
    </w:p>
    <w:p w:rsidR="0087657F" w:rsidRPr="00F506FC" w:rsidRDefault="007027D4" w:rsidP="0087657F">
      <w:pPr>
        <w:pStyle w:val="Titrearticle"/>
        <w:spacing w:before="240"/>
        <w:jc w:val="both"/>
        <w:rPr>
          <w:i w:val="0"/>
          <w:noProof/>
          <w:sz w:val="22"/>
        </w:rPr>
      </w:pPr>
      <w:r w:rsidRPr="00F506FC">
        <w:rPr>
          <w:i w:val="0"/>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584834" w:rsidP="00584834">
            <w:pPr>
              <w:pStyle w:val="Personnequisigne"/>
              <w:jc w:val="both"/>
              <w:rPr>
                <w:i w:val="0"/>
                <w:noProof/>
                <w:sz w:val="22"/>
              </w:rPr>
            </w:pPr>
            <w:r w:rsidRPr="00F506FC">
              <w:rPr>
                <w:i w:val="0"/>
                <w:noProof/>
                <w:sz w:val="22"/>
              </w:rPr>
              <w:t xml:space="preserve">Slovenija v obračunskem obdobju poročanja še ni pričela z izvajanjem aktivnosti v zvezi z ukrepi programa AMIF, zato ne moremo poročati o napredku v zvezi s cilji, določenimi v komunikacijski </w:t>
            </w:r>
            <w:r w:rsidRPr="00F506FC">
              <w:rPr>
                <w:i w:val="0"/>
                <w:noProof/>
                <w:sz w:val="22"/>
              </w:rPr>
              <w:lastRenderedPageBreak/>
              <w:t>strategiji ter doseganju vrednosti kazalnikov.</w:t>
            </w:r>
          </w:p>
        </w:tc>
      </w:tr>
    </w:tbl>
    <w:p w:rsidR="0087657F" w:rsidRPr="00F506FC" w:rsidRDefault="00C71B80" w:rsidP="0087657F">
      <w:pPr>
        <w:pStyle w:val="Institutionquisigne"/>
        <w:spacing w:before="240" w:after="120"/>
        <w:rPr>
          <w:i w:val="0"/>
          <w:noProof/>
          <w:sz w:val="22"/>
        </w:rPr>
      </w:pPr>
      <w:r w:rsidRPr="00F506FC">
        <w:rPr>
          <w:i w:val="0"/>
          <w:noProof/>
          <w:sz w:val="22"/>
        </w:rPr>
        <w:lastRenderedPageBreak/>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F225A0" w:rsidRPr="00F506FC" w:rsidRDefault="00F225A0" w:rsidP="00F225A0">
            <w:pPr>
              <w:pStyle w:val="Personnequisigne"/>
              <w:jc w:val="both"/>
              <w:rPr>
                <w:i w:val="0"/>
                <w:noProof/>
                <w:sz w:val="22"/>
              </w:rPr>
            </w:pPr>
            <w:r w:rsidRPr="00F506FC">
              <w:rPr>
                <w:i w:val="0"/>
                <w:noProof/>
                <w:sz w:val="22"/>
              </w:rPr>
              <w:t>Organ upravljanja bo poskrbel, da bodo vsebine, ki jih je po Uredbi 2021/1060/EU treba objaviti, objavljene in redno posodablj</w:t>
            </w:r>
            <w:r w:rsidR="001C7B7B" w:rsidRPr="00F506FC">
              <w:rPr>
                <w:i w:val="0"/>
                <w:noProof/>
                <w:sz w:val="22"/>
              </w:rPr>
              <w:t>a</w:t>
            </w:r>
            <w:r w:rsidRPr="00F506FC">
              <w:rPr>
                <w:i w:val="0"/>
                <w:noProof/>
                <w:sz w:val="22"/>
              </w:rPr>
              <w:t xml:space="preserve">ne na enotnem spletnem portalu (www.evropskasredstva.si), ki ga je že vzpostavilo ministrstvo, pristojno za kohezijo in regionalni razvoj in </w:t>
            </w:r>
            <w:r w:rsidR="00573BB4" w:rsidRPr="00F506FC">
              <w:rPr>
                <w:i w:val="0"/>
                <w:noProof/>
                <w:sz w:val="22"/>
              </w:rPr>
              <w:t>bo vključevalo tudi Sklad</w:t>
            </w:r>
            <w:r w:rsidRPr="00F506FC">
              <w:rPr>
                <w:i w:val="0"/>
                <w:noProof/>
                <w:sz w:val="22"/>
              </w:rPr>
              <w:t xml:space="preserve"> za notranjo varnost, Sklad za azil, migracije in vključevanje ter </w:t>
            </w:r>
            <w:r w:rsidR="00573BB4" w:rsidRPr="00F506FC">
              <w:rPr>
                <w:i w:val="0"/>
                <w:noProof/>
                <w:sz w:val="22"/>
              </w:rPr>
              <w:t>Instrument</w:t>
            </w:r>
            <w:r w:rsidRPr="00F506FC">
              <w:rPr>
                <w:i w:val="0"/>
                <w:noProof/>
                <w:sz w:val="22"/>
              </w:rPr>
              <w:t xml:space="preserve"> za finančno podporo za upravljanje meja in vizumsko politiko. </w:t>
            </w:r>
          </w:p>
          <w:p w:rsidR="00584834" w:rsidRPr="00F506FC" w:rsidRDefault="00584834" w:rsidP="00584834">
            <w:pPr>
              <w:pStyle w:val="Personnequisigne"/>
              <w:jc w:val="both"/>
              <w:rPr>
                <w:i w:val="0"/>
                <w:noProof/>
                <w:sz w:val="22"/>
              </w:rPr>
            </w:pPr>
          </w:p>
          <w:p w:rsidR="0087657F" w:rsidRPr="00F506FC" w:rsidRDefault="00584834" w:rsidP="00584834">
            <w:pPr>
              <w:pStyle w:val="Personnequisigne"/>
              <w:rPr>
                <w:noProof/>
              </w:rPr>
            </w:pPr>
            <w:r w:rsidRPr="00F506FC">
              <w:rPr>
                <w:i w:val="0"/>
                <w:noProof/>
                <w:sz w:val="22"/>
              </w:rPr>
              <w:t xml:space="preserve">Enotni spletni portal bo vključeval obveznosti iz </w:t>
            </w:r>
            <w:r w:rsidR="00760D6A" w:rsidRPr="00F506FC">
              <w:rPr>
                <w:i w:val="0"/>
                <w:noProof/>
                <w:sz w:val="22"/>
              </w:rPr>
              <w:t>točke</w:t>
            </w:r>
            <w:r w:rsidRPr="00F506FC">
              <w:rPr>
                <w:i w:val="0"/>
                <w:noProof/>
                <w:sz w:val="22"/>
              </w:rPr>
              <w:t xml:space="preserve"> (b) 46. člena ter iz prvega odstavka 49. člena Uredbe 2021/1060/EU.</w:t>
            </w:r>
          </w:p>
        </w:tc>
      </w:tr>
    </w:tbl>
    <w:p w:rsidR="000133CF" w:rsidRPr="00F506FC" w:rsidRDefault="00CF7D3B" w:rsidP="00CF7D3B">
      <w:pPr>
        <w:pStyle w:val="ManualHeading1"/>
        <w:rPr>
          <w:noProof/>
        </w:rPr>
      </w:pPr>
      <w:r w:rsidRPr="00F506FC">
        <w:t>5.</w:t>
      </w:r>
      <w:r w:rsidRPr="00F506FC">
        <w:tab/>
      </w:r>
      <w:r w:rsidR="0087657F" w:rsidRPr="00F506FC">
        <w:rPr>
          <w:noProof/>
        </w:rPr>
        <w:t xml:space="preserve">Omogočitveni pogoji in horizontalna načela </w:t>
      </w:r>
    </w:p>
    <w:p w:rsidR="0087657F" w:rsidRPr="00F506FC" w:rsidRDefault="00CF7D3B" w:rsidP="00CF7D3B">
      <w:pPr>
        <w:pStyle w:val="ManualHeading2"/>
        <w:rPr>
          <w:noProof/>
        </w:rPr>
      </w:pPr>
      <w:r w:rsidRPr="00F506FC">
        <w:t>5.1.</w:t>
      </w:r>
      <w:r w:rsidRPr="00F506FC">
        <w:tab/>
      </w:r>
      <w:r w:rsidR="0087657F" w:rsidRPr="00F506FC">
        <w:rPr>
          <w:noProof/>
        </w:rPr>
        <w:t>Omogočitveni pogoji – člen 35(2), točka (f), Uredbe (EU) 2021/1147</w:t>
      </w:r>
    </w:p>
    <w:p w:rsidR="0087657F" w:rsidRPr="00F506FC" w:rsidRDefault="00053829" w:rsidP="0087657F">
      <w:pPr>
        <w:pStyle w:val="Titrearticle"/>
        <w:spacing w:before="240"/>
        <w:jc w:val="both"/>
        <w:rPr>
          <w:i w:val="0"/>
          <w:noProof/>
          <w:sz w:val="22"/>
        </w:rPr>
      </w:pPr>
      <w:r w:rsidRPr="00F506FC">
        <w:rPr>
          <w:i w:val="0"/>
          <w:noProof/>
          <w:sz w:val="22"/>
        </w:rPr>
        <w:t xml:space="preserve">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 </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CE6AFC" w:rsidP="00CE6AFC">
            <w:pPr>
              <w:pStyle w:val="Personnequisigne"/>
              <w:jc w:val="both"/>
              <w:rPr>
                <w:noProof/>
              </w:rPr>
            </w:pPr>
            <w:r w:rsidRPr="00F506FC">
              <w:rPr>
                <w:i w:val="0"/>
                <w:noProof/>
                <w:sz w:val="22"/>
              </w:rPr>
              <w:t>Slovenija v obračunskem obdobju poročanja še ni pričela z izvajanjem aktivnosti v zvezi z ukrepi programa AMIF, zato ne moremo poročati o tem</w:t>
            </w:r>
            <w:r w:rsidR="00BD0596" w:rsidRPr="00F506FC">
              <w:rPr>
                <w:i w:val="0"/>
                <w:noProof/>
                <w:sz w:val="22"/>
              </w:rPr>
              <w:t>,</w:t>
            </w:r>
            <w:r w:rsidRPr="00F506FC">
              <w:rPr>
                <w:i w:val="0"/>
                <w:noProof/>
                <w:sz w:val="22"/>
              </w:rPr>
              <w:t xml:space="preserve"> kako so veljavni omogočitveni pogoji iz Priloge III k Uredbi 2021/1060/EU izpolnjeni in kako so se uporabljali.</w:t>
            </w:r>
          </w:p>
        </w:tc>
      </w:tr>
    </w:tbl>
    <w:p w:rsidR="0087657F" w:rsidRPr="00F506FC" w:rsidRDefault="00CF7D3B" w:rsidP="00CF7D3B">
      <w:pPr>
        <w:pStyle w:val="ManualHeading2"/>
        <w:rPr>
          <w:noProof/>
        </w:rPr>
      </w:pPr>
      <w:r w:rsidRPr="00F506FC">
        <w:t>5.2.</w:t>
      </w:r>
      <w:r w:rsidRPr="00F506FC">
        <w:tab/>
      </w:r>
      <w:r w:rsidR="0001528B" w:rsidRPr="00F506FC">
        <w:rPr>
          <w:noProof/>
        </w:rPr>
        <w:t xml:space="preserve">Skladnost s horizontalnimi načeli – člen 9 Uredbe (EU) 2021/1060 </w:t>
      </w:r>
    </w:p>
    <w:p w:rsidR="0087657F" w:rsidRPr="00F506FC" w:rsidRDefault="00C71B80" w:rsidP="0087657F">
      <w:pPr>
        <w:pStyle w:val="Titrearticle"/>
        <w:spacing w:before="240"/>
        <w:jc w:val="both"/>
        <w:rPr>
          <w:i w:val="0"/>
          <w:noProof/>
          <w:sz w:val="22"/>
        </w:rPr>
      </w:pPr>
      <w:r w:rsidRPr="00F506FC">
        <w:rPr>
          <w:i w:val="0"/>
          <w:noProof/>
          <w:sz w:val="22"/>
        </w:rPr>
        <w:t>Opišite, kako je bila med obračunskim letom zagotovljena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CE6AFC" w:rsidP="00BD0596">
            <w:pPr>
              <w:pStyle w:val="Personnequisigne"/>
              <w:jc w:val="both"/>
              <w:rPr>
                <w:noProof/>
              </w:rPr>
            </w:pPr>
            <w:r w:rsidRPr="00F506FC">
              <w:rPr>
                <w:i w:val="0"/>
                <w:noProof/>
                <w:sz w:val="22"/>
              </w:rPr>
              <w:t>Slovenija v obračunskem obdobju poročanja še ni pričela z izvajanjem aktivnosti v zvezi z ukrepi programa AMIF, zato ne moremo poročati o tem</w:t>
            </w:r>
            <w:r w:rsidR="00BD0596" w:rsidRPr="00F506FC">
              <w:rPr>
                <w:i w:val="0"/>
                <w:noProof/>
                <w:sz w:val="22"/>
              </w:rPr>
              <w:t>,</w:t>
            </w:r>
            <w:r w:rsidRPr="00F506FC">
              <w:rPr>
                <w:i w:val="0"/>
                <w:noProof/>
                <w:sz w:val="22"/>
              </w:rPr>
              <w:t xml:space="preserve"> kako se je zagotovila skladnost s horizontalnimi načeli iz Uredbe 2021/1060/EU.</w:t>
            </w:r>
          </w:p>
        </w:tc>
      </w:tr>
    </w:tbl>
    <w:p w:rsidR="0087657F" w:rsidRPr="00F506FC" w:rsidRDefault="00CF7D3B" w:rsidP="00CF7D3B">
      <w:pPr>
        <w:pStyle w:val="ManualHeading1"/>
        <w:rPr>
          <w:noProof/>
        </w:rPr>
      </w:pPr>
      <w:r w:rsidRPr="00F506FC">
        <w:t>6.</w:t>
      </w:r>
      <w:r w:rsidRPr="00F506FC">
        <w:tab/>
      </w:r>
      <w:r w:rsidR="0087657F" w:rsidRPr="00F506FC">
        <w:rPr>
          <w:noProof/>
        </w:rPr>
        <w:t>Projekti v tretjih državah ali v zvezi z njimi – člen 35(2), točka (i), Uredbe (EU) 2021/1147</w:t>
      </w:r>
    </w:p>
    <w:p w:rsidR="0087657F" w:rsidRPr="00F506FC" w:rsidRDefault="00C71B80" w:rsidP="0087657F">
      <w:pPr>
        <w:pStyle w:val="Titrearticle"/>
        <w:spacing w:before="240"/>
        <w:jc w:val="both"/>
        <w:rPr>
          <w:i w:val="0"/>
          <w:noProof/>
          <w:sz w:val="22"/>
        </w:rPr>
      </w:pPr>
      <w:r w:rsidRPr="00F506FC">
        <w:rPr>
          <w:i w:val="0"/>
          <w:noProof/>
          <w:sz w:val="22"/>
        </w:rPr>
        <w:t xml:space="preserve">Opišite vse ukrepe, ki se med obračunskim letom izvajajo v tretjih državah ali v zvezi z njimi, in kako ti ukrepi ustvarjajo dodano vrednost Unije pri doseganju ciljev, ki jih je določil Sklad. Navedite imena zadevnih tretjih držav. V opisu pojasnite, da ukrepi, ki so podprti v okviru Sklada, niso usmerjeni v razvoj, so namenjeni interesom notranjih politik Unije in so skladni z dejavnostmi, ki se izvajajo v Uniji. Če je ustrezno, navedite posvetovanja s Komisijo, ki so potekala pred odobritvijo projekta (člen 16(11) Uredbe (EU) 2021/1147). </w:t>
      </w:r>
    </w:p>
    <w:tbl>
      <w:tblPr>
        <w:tblStyle w:val="Tabelamrea"/>
        <w:tblW w:w="0" w:type="auto"/>
        <w:tblLook w:val="04A0" w:firstRow="1" w:lastRow="0" w:firstColumn="1" w:lastColumn="0" w:noHBand="0" w:noVBand="1"/>
      </w:tblPr>
      <w:tblGrid>
        <w:gridCol w:w="9289"/>
      </w:tblGrid>
      <w:tr w:rsidR="0087657F" w:rsidRPr="00F506FC" w:rsidTr="00E45665">
        <w:tc>
          <w:tcPr>
            <w:tcW w:w="9289" w:type="dxa"/>
          </w:tcPr>
          <w:p w:rsidR="0087657F" w:rsidRPr="00F506FC" w:rsidRDefault="00CE6AFC" w:rsidP="00DB3BCC">
            <w:pPr>
              <w:pStyle w:val="Personnequisigne"/>
              <w:jc w:val="both"/>
              <w:rPr>
                <w:noProof/>
              </w:rPr>
            </w:pPr>
            <w:r w:rsidRPr="00F506FC">
              <w:rPr>
                <w:i w:val="0"/>
                <w:noProof/>
                <w:sz w:val="22"/>
              </w:rPr>
              <w:t>Slovenija v tem obračunskem obdobju ni izvajala ukrepov ali operacij v tretjih državah ali v zvezi z njimi.</w:t>
            </w:r>
          </w:p>
        </w:tc>
      </w:tr>
    </w:tbl>
    <w:p w:rsidR="0087657F" w:rsidRPr="00F506FC" w:rsidRDefault="00CF7D3B" w:rsidP="00CF7D3B">
      <w:pPr>
        <w:pStyle w:val="ManualHeading1"/>
        <w:rPr>
          <w:noProof/>
        </w:rPr>
      </w:pPr>
      <w:r w:rsidRPr="00F506FC">
        <w:lastRenderedPageBreak/>
        <w:t>7.</w:t>
      </w:r>
      <w:r w:rsidRPr="00F506FC">
        <w:tab/>
      </w:r>
      <w:r w:rsidR="0087657F" w:rsidRPr="00F506FC">
        <w:rPr>
          <w:noProof/>
        </w:rPr>
        <w:t>Povzetek – člen 35(2) Uredbe (EU) 2021/1147</w:t>
      </w:r>
    </w:p>
    <w:p w:rsidR="0087657F" w:rsidRPr="00F506FC" w:rsidRDefault="0087657F" w:rsidP="0087657F">
      <w:pPr>
        <w:pStyle w:val="Titrearticle"/>
        <w:spacing w:before="240"/>
        <w:jc w:val="both"/>
        <w:rPr>
          <w:i w:val="0"/>
          <w:noProof/>
          <w:sz w:val="22"/>
        </w:rPr>
      </w:pPr>
      <w:r w:rsidRPr="00F506FC">
        <w:rPr>
          <w:i w:val="0"/>
          <w:noProof/>
          <w:sz w:val="22"/>
        </w:rPr>
        <w:t xml:space="preserve">Predložite povzetek oddelkov 1 do 6, ki bo preveden in javno dostopen. </w:t>
      </w:r>
    </w:p>
    <w:p w:rsidR="0087657F" w:rsidRPr="00F506FC" w:rsidRDefault="0087657F" w:rsidP="0087657F">
      <w:pPr>
        <w:pStyle w:val="Titrearticle"/>
        <w:spacing w:before="240"/>
        <w:jc w:val="both"/>
        <w:rPr>
          <w:i w:val="0"/>
          <w:noProof/>
          <w:sz w:val="22"/>
        </w:rPr>
      </w:pPr>
      <w:r w:rsidRPr="00F506FC">
        <w:rPr>
          <w:i w:val="0"/>
          <w:noProof/>
          <w:sz w:val="22"/>
        </w:rPr>
        <w:t xml:space="preserve">Povzetek mora zajemati vsaj vse točke iz člena 35(2) in bi moral biti po možnosti strukturiran po teh točkah. </w:t>
      </w:r>
    </w:p>
    <w:p w:rsidR="0087657F" w:rsidRPr="00F506FC" w:rsidRDefault="0087657F" w:rsidP="0087657F">
      <w:pPr>
        <w:pStyle w:val="Titrearticle"/>
        <w:spacing w:before="240"/>
        <w:jc w:val="both"/>
        <w:rPr>
          <w:i w:val="0"/>
          <w:noProof/>
          <w:sz w:val="22"/>
        </w:rPr>
      </w:pPr>
      <w:r w:rsidRPr="00F506FC">
        <w:rPr>
          <w:i w:val="0"/>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Pr>
      <w:tblGrid>
        <w:gridCol w:w="9289"/>
      </w:tblGrid>
      <w:tr w:rsidR="0087657F" w:rsidRPr="00D2623D" w:rsidTr="00E45665">
        <w:tc>
          <w:tcPr>
            <w:tcW w:w="9289" w:type="dxa"/>
          </w:tcPr>
          <w:p w:rsidR="0087657F" w:rsidRPr="00D2623D" w:rsidRDefault="00ED65E7" w:rsidP="00A62CA1">
            <w:pPr>
              <w:pStyle w:val="Personnequisigne"/>
              <w:jc w:val="both"/>
              <w:rPr>
                <w:bCs/>
                <w:noProof/>
              </w:rPr>
            </w:pPr>
            <w:r w:rsidRPr="00F506FC">
              <w:rPr>
                <w:i w:val="0"/>
                <w:noProof/>
                <w:sz w:val="22"/>
              </w:rPr>
              <w:t xml:space="preserve">Program AMIF je bil potrjen šele </w:t>
            </w:r>
            <w:r w:rsidR="001C677C" w:rsidRPr="00F506FC">
              <w:rPr>
                <w:i w:val="0"/>
                <w:noProof/>
                <w:sz w:val="22"/>
              </w:rPr>
              <w:t>8</w:t>
            </w:r>
            <w:r w:rsidRPr="00F506FC">
              <w:rPr>
                <w:i w:val="0"/>
                <w:noProof/>
                <w:sz w:val="22"/>
              </w:rPr>
              <w:t xml:space="preserve">. novembra 2022, zato Slovenija </w:t>
            </w:r>
            <w:r w:rsidR="00A62CA1" w:rsidRPr="00F506FC">
              <w:rPr>
                <w:i w:val="0"/>
                <w:noProof/>
                <w:sz w:val="22"/>
              </w:rPr>
              <w:t xml:space="preserve">v </w:t>
            </w:r>
            <w:r w:rsidRPr="00F506FC">
              <w:rPr>
                <w:i w:val="0"/>
                <w:noProof/>
                <w:sz w:val="22"/>
              </w:rPr>
              <w:t>obračunskem obdobju</w:t>
            </w:r>
            <w:r w:rsidR="00A62CA1" w:rsidRPr="00F506FC">
              <w:rPr>
                <w:i w:val="0"/>
                <w:noProof/>
                <w:sz w:val="22"/>
              </w:rPr>
              <w:t xml:space="preserve"> poročanja</w:t>
            </w:r>
            <w:r w:rsidRPr="00F506FC">
              <w:rPr>
                <w:i w:val="0"/>
                <w:noProof/>
                <w:sz w:val="22"/>
              </w:rPr>
              <w:t xml:space="preserve">, tj. od 1. januarja 2021 </w:t>
            </w:r>
            <w:r w:rsidR="00451933" w:rsidRPr="00F506FC">
              <w:rPr>
                <w:i w:val="0"/>
                <w:noProof/>
                <w:sz w:val="22"/>
              </w:rPr>
              <w:t>do 31. jul</w:t>
            </w:r>
            <w:r w:rsidRPr="00F506FC">
              <w:rPr>
                <w:i w:val="0"/>
                <w:noProof/>
                <w:sz w:val="22"/>
              </w:rPr>
              <w:t>ija 2022, še ni pričela z izvajanjem aktivnosti v zvezi s programom AMIF, zato ne moremo poročati o napredku pri izvajanju načrtovanih aktivnosti znotraj posameznih specifičnih ciljev.</w:t>
            </w:r>
          </w:p>
        </w:tc>
      </w:tr>
    </w:tbl>
    <w:p w:rsidR="006A41E2" w:rsidRPr="00D2623D" w:rsidRDefault="006A41E2" w:rsidP="004629B2">
      <w:pPr>
        <w:rPr>
          <w:noProof/>
        </w:rPr>
      </w:pPr>
    </w:p>
    <w:sectPr w:rsidR="006A41E2" w:rsidRPr="00D2623D" w:rsidSect="00AF2362">
      <w:footerReference w:type="default" r:id="rId11"/>
      <w:footerReference w:type="first" r:id="rId12"/>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39" w:rsidRDefault="00896439" w:rsidP="00555224">
      <w:pPr>
        <w:spacing w:before="0" w:after="0"/>
      </w:pPr>
      <w:r>
        <w:separator/>
      </w:r>
    </w:p>
  </w:endnote>
  <w:endnote w:type="continuationSeparator" w:id="0">
    <w:p w:rsidR="00896439" w:rsidRDefault="00896439" w:rsidP="00555224">
      <w:pPr>
        <w:spacing w:before="0" w:after="0"/>
      </w:pPr>
      <w:r>
        <w:continuationSeparator/>
      </w:r>
    </w:p>
  </w:endnote>
  <w:endnote w:type="continuationNotice" w:id="1">
    <w:p w:rsidR="00896439" w:rsidRDefault="008964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62" w:rsidRPr="00AF2362" w:rsidRDefault="00AF2362" w:rsidP="00AF2362">
    <w:pPr>
      <w:pStyle w:val="Noga"/>
      <w:rPr>
        <w:rFonts w:ascii="Arial" w:hAnsi="Arial" w:cs="Arial"/>
        <w:b/>
        <w:sz w:val="48"/>
      </w:rPr>
    </w:pPr>
    <w:r w:rsidRPr="00AF2362">
      <w:rPr>
        <w:rFonts w:ascii="Arial" w:hAnsi="Arial" w:cs="Arial"/>
        <w:b/>
        <w:sz w:val="48"/>
      </w:rPr>
      <w:t>SL</w:t>
    </w:r>
    <w:r w:rsidRPr="00AF2362">
      <w:rPr>
        <w:rFonts w:ascii="Arial" w:hAnsi="Arial" w:cs="Arial"/>
        <w:b/>
        <w:sz w:val="48"/>
      </w:rPr>
      <w:tab/>
    </w:r>
    <w:r>
      <w:fldChar w:fldCharType="begin"/>
    </w:r>
    <w:r>
      <w:instrText xml:space="preserve"> PAGE  \* MERGEFORMAT </w:instrText>
    </w:r>
    <w:r>
      <w:fldChar w:fldCharType="separate"/>
    </w:r>
    <w:r w:rsidR="001A17F5">
      <w:rPr>
        <w:noProof/>
      </w:rPr>
      <w:t>1</w:t>
    </w:r>
    <w:r>
      <w:fldChar w:fldCharType="end"/>
    </w:r>
    <w:r>
      <w:tab/>
    </w:r>
    <w:r w:rsidRPr="00AF2362">
      <w:tab/>
    </w:r>
    <w:r w:rsidRPr="00AF2362">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62" w:rsidRPr="00AF2362" w:rsidRDefault="00AF2362" w:rsidP="00AF23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39" w:rsidRDefault="00896439" w:rsidP="00555224">
      <w:pPr>
        <w:spacing w:before="0" w:after="0"/>
      </w:pPr>
      <w:r>
        <w:separator/>
      </w:r>
    </w:p>
  </w:footnote>
  <w:footnote w:type="continuationSeparator" w:id="0">
    <w:p w:rsidR="00896439" w:rsidRDefault="00896439" w:rsidP="00555224">
      <w:pPr>
        <w:spacing w:before="0" w:after="0"/>
      </w:pPr>
      <w:r>
        <w:continuationSeparator/>
      </w:r>
    </w:p>
  </w:footnote>
  <w:footnote w:type="continuationNotice" w:id="1">
    <w:p w:rsidR="00896439" w:rsidRDefault="00896439">
      <w:pPr>
        <w:spacing w:before="0" w:after="0"/>
      </w:pPr>
    </w:p>
  </w:footnote>
  <w:footnote w:id="2">
    <w:p w:rsidR="00620009" w:rsidRPr="00515026" w:rsidRDefault="00620009">
      <w:pPr>
        <w:pStyle w:val="Sprotnaopomba-besedilo"/>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rsidR="00620009" w:rsidRPr="00515026" w:rsidRDefault="00620009">
      <w:pPr>
        <w:pStyle w:val="Sprotnaopomba-besedilo"/>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rsidR="00620009" w:rsidRPr="00515026" w:rsidRDefault="00620009">
      <w:pPr>
        <w:pStyle w:val="Sprotnaopomba-besedilo"/>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rsidR="00620009" w:rsidRPr="00515026" w:rsidRDefault="00620009">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rsidR="00620009" w:rsidRPr="00515026" w:rsidRDefault="00620009">
      <w:pPr>
        <w:pStyle w:val="Sprotnaopomba-besedilo"/>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rsidR="00CD67EB" w:rsidRPr="00CD67EB" w:rsidRDefault="00CD67EB">
      <w:pPr>
        <w:pStyle w:val="Sprotnaopomba-besedilo"/>
      </w:pPr>
      <w:r>
        <w:rPr>
          <w:rStyle w:val="Sprotnaopomba-sklic"/>
        </w:rPr>
        <w:footnoteRef/>
      </w:r>
      <w:r>
        <w:tab/>
      </w:r>
      <w:r>
        <w:rPr>
          <w:sz w:val="18"/>
        </w:rPr>
        <w:t>Če je to ustrezno za ta namen, navedite informacije, ki spadajo na področje uporabe Uredbe (EU) 2021/1147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w:t>
      </w:r>
    </w:p>
  </w:footnote>
  <w:footnote w:id="8">
    <w:p w:rsidR="00620009" w:rsidRPr="0037290B" w:rsidRDefault="00620009">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(Ares (2022)1060102).</w:t>
      </w:r>
    </w:p>
  </w:footnote>
  <w:footnote w:id="9">
    <w:p w:rsidR="00620009" w:rsidRPr="007027D4" w:rsidRDefault="00620009">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rsidR="00620009" w:rsidRPr="007027D4" w:rsidRDefault="00620009">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rsidR="00620009" w:rsidRPr="007027D4" w:rsidRDefault="00620009">
      <w:pPr>
        <w:pStyle w:val="Sprotnaopomba-besedilo"/>
      </w:pPr>
      <w:r>
        <w:rPr>
          <w:rStyle w:val="Sprotnaopomba-sklic"/>
        </w:rPr>
        <w:footnoteRef/>
      </w:r>
      <w:r>
        <w:tab/>
      </w:r>
      <w:r>
        <w:rPr>
          <w:sz w:val="18"/>
        </w:rPr>
        <w:t>Na primer v smislu dosežkov, učinkov, rezultatov itd.</w:t>
      </w:r>
    </w:p>
  </w:footnote>
  <w:footnote w:id="12">
    <w:p w:rsidR="00620009" w:rsidRPr="00515026" w:rsidRDefault="00620009">
      <w:pPr>
        <w:pStyle w:val="Sprotnaopomba-besedilo"/>
        <w:rPr>
          <w:sz w:val="18"/>
        </w:rPr>
      </w:pPr>
      <w:r>
        <w:rPr>
          <w:rStyle w:val="Sprotnaopomba-sklic"/>
        </w:rPr>
        <w:footnoteRef/>
      </w:r>
      <w:r>
        <w:tab/>
      </w:r>
      <w:r>
        <w:rPr>
          <w:sz w:val="18"/>
        </w:rPr>
        <w:t>Kot je navedeno v obvestilu Komisije z dne 14. februarja 2022 (Ares (2022)1060102).</w:t>
      </w:r>
    </w:p>
  </w:footnote>
  <w:footnote w:id="13">
    <w:p w:rsidR="00620009" w:rsidRPr="00515026" w:rsidRDefault="00620009">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rsidR="00620009" w:rsidRPr="0037290B" w:rsidRDefault="00620009">
      <w:pPr>
        <w:pStyle w:val="Sprotnaopomba-besedilo"/>
      </w:pPr>
      <w:r>
        <w:rPr>
          <w:rStyle w:val="Sprotnaopomba-sklic"/>
        </w:rPr>
        <w:footnoteRef/>
      </w:r>
      <w:r>
        <w:tab/>
      </w:r>
      <w:r>
        <w:rPr>
          <w:sz w:val="18"/>
        </w:rPr>
        <w:t>Skupni znesek upravičenih izdatkov, ki jih upravičenci prijavijo organu upravljanja, do 31. julija zadnjega obračunskega leta.</w:t>
      </w:r>
    </w:p>
  </w:footnote>
  <w:footnote w:id="15">
    <w:p w:rsidR="00620009" w:rsidRPr="0037290B" w:rsidRDefault="00620009">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rsidR="00620009" w:rsidRPr="00202C38" w:rsidRDefault="00620009">
      <w:pPr>
        <w:pStyle w:val="Sprotnaopomba-besedilo"/>
      </w:pPr>
      <w:r>
        <w:rPr>
          <w:rStyle w:val="Sprotnaopomba-sklic"/>
        </w:rPr>
        <w:footnoteRef/>
      </w:r>
      <w:r>
        <w:tab/>
      </w:r>
      <w:r>
        <w:rPr>
          <w:sz w:val="18"/>
        </w:rPr>
        <w:t>Uredba (EU) št. 516/2014 Evropskega parlamenta in Sveta z dne 16. aprila 2014 o ustanovitvi Sklada za azil, migracije in vključevanje, o spremembi Odločbe Sveta 2008/381/ES in razveljavitvi odločb št. 573/2007/ES in št. 575/2007/ES Evropskega parlamenta in Sveta ter Odločbe Sveta 2007/435/ES (UL L 150, 20.5.2014, str. 168).</w:t>
      </w:r>
    </w:p>
  </w:footnote>
  <w:footnote w:id="17">
    <w:p w:rsidR="00620009" w:rsidRPr="007027D4" w:rsidRDefault="00620009">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8">
    <w:p w:rsidR="00620009" w:rsidRPr="007027D4" w:rsidRDefault="00620009">
      <w:pPr>
        <w:pStyle w:val="Sprotnaopomba-besedilo"/>
      </w:pPr>
      <w:r>
        <w:rPr>
          <w:rStyle w:val="Sprotnaopomba-sklic"/>
        </w:rPr>
        <w:footnoteRef/>
      </w:r>
      <w:r>
        <w:tab/>
      </w:r>
      <w:r>
        <w:rPr>
          <w:sz w:val="18"/>
        </w:rPr>
        <w:t xml:space="preserve">Zlasti instrument za sosedstvo ter razvojno in mednarodno sodelovanje (NDICI) – Globalna Evropa in instrument za predpristopno pomoč (IPA). </w:t>
      </w:r>
    </w:p>
  </w:footnote>
  <w:footnote w:id="19">
    <w:p w:rsidR="00620009" w:rsidRPr="0037290B" w:rsidRDefault="00620009" w:rsidP="00532177">
      <w:pPr>
        <w:pStyle w:val="Sprotnaopomba-besedilo"/>
      </w:pPr>
      <w:r>
        <w:rPr>
          <w:rStyle w:val="Sprotnaopomba-sklic"/>
        </w:rPr>
        <w:footnoteRef/>
      </w:r>
      <w:r>
        <w:tab/>
      </w:r>
      <w:r>
        <w:rPr>
          <w:sz w:val="18"/>
        </w:rPr>
        <w:t>Pomembno bi lahko bilo tudi dopolnjevanje z drugimi ustreznimi skladi EU (npr. mehanizem za okrevanje in odpornost, Erasmus+, Ustvarjalna Evropa, Kohezijski sklad, Sklad za pravični prehod itd.).</w:t>
      </w:r>
    </w:p>
  </w:footnote>
  <w:footnote w:id="20">
    <w:p w:rsidR="00B66713" w:rsidRPr="007027D4" w:rsidRDefault="00B66713" w:rsidP="00B66713">
      <w:pPr>
        <w:pStyle w:val="Sprotnaopomba-besedilo"/>
      </w:pPr>
      <w:r>
        <w:rPr>
          <w:rStyle w:val="Sprotnaopomba-sklic"/>
        </w:rPr>
        <w:footnoteRef/>
      </w:r>
      <w:r>
        <w:tab/>
      </w:r>
      <w:r>
        <w:rPr>
          <w:sz w:val="18"/>
        </w:rPr>
        <w:t>Kot je sodelovanje na ravni EU med državami članicami ter med državami članicami in ustreznimi organi, uradi in agencijami EU ter sodelovanje na nacionalni ravni med pristojnimi organi v vsaki državi članici.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lvlOverride w:ilvl="0">
      <w:startOverride w:val="1"/>
    </w:lvlOverride>
  </w:num>
  <w:num w:numId="11">
    <w:abstractNumId w:val="19"/>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ttachedTemplate r:id="rId1"/>
  <w:defaultTabStop w:val="720"/>
  <w:hyphenationZone w:val="425"/>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17 12:46: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7D2B7355-191C-4318-AE34-19CEA0EA2976"/>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azil, migracije in vklju\u269?evanje za programsko obdobje 2021\u8211?2027 v skladu z Uredbo (EU) 2021/1147"/>
    <w:docVar w:name="LW_OBJETACTEPRINCIPAL.CP" w:val="o določitvi predloge za letna poročila o smotrnosti Sklada za azil, migracije in vključevanje za programsko obdobje 2021–2027 v skladu z Uredbo (EU) 2021/1147"/>
    <w:docVar w:name="LW_PART_NBR" w:val="1"/>
    <w:docVar w:name="LW_PART_NBR_TOTAL" w:val="1"/>
    <w:docVar w:name="LW_REF.INST.NEW" w:val="C"/>
    <w:docVar w:name="LW_REF.INST.NEW_ADOPTED" w:val="final"/>
    <w:docVar w:name="LW_REF.INST.NEW_TEXT" w:val="(2023) 5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133CF"/>
    <w:rsid w:val="00014F7C"/>
    <w:rsid w:val="0001528B"/>
    <w:rsid w:val="00027355"/>
    <w:rsid w:val="00043F56"/>
    <w:rsid w:val="00046462"/>
    <w:rsid w:val="00053829"/>
    <w:rsid w:val="00070021"/>
    <w:rsid w:val="00075EDB"/>
    <w:rsid w:val="00081CCF"/>
    <w:rsid w:val="0008322C"/>
    <w:rsid w:val="00083808"/>
    <w:rsid w:val="00085A16"/>
    <w:rsid w:val="00085D54"/>
    <w:rsid w:val="000903CC"/>
    <w:rsid w:val="00091C77"/>
    <w:rsid w:val="00093D5B"/>
    <w:rsid w:val="00097EFD"/>
    <w:rsid w:val="000A0779"/>
    <w:rsid w:val="000C122F"/>
    <w:rsid w:val="000C4CC6"/>
    <w:rsid w:val="000D1693"/>
    <w:rsid w:val="000D44D0"/>
    <w:rsid w:val="000E45B7"/>
    <w:rsid w:val="000F1C58"/>
    <w:rsid w:val="000F2666"/>
    <w:rsid w:val="00104E34"/>
    <w:rsid w:val="0010586E"/>
    <w:rsid w:val="00111D07"/>
    <w:rsid w:val="00112035"/>
    <w:rsid w:val="00112E38"/>
    <w:rsid w:val="00122018"/>
    <w:rsid w:val="00122FD3"/>
    <w:rsid w:val="00141E24"/>
    <w:rsid w:val="00152894"/>
    <w:rsid w:val="00153209"/>
    <w:rsid w:val="0015448D"/>
    <w:rsid w:val="00154541"/>
    <w:rsid w:val="00181A3F"/>
    <w:rsid w:val="0019152D"/>
    <w:rsid w:val="001A17F5"/>
    <w:rsid w:val="001A1F71"/>
    <w:rsid w:val="001A292A"/>
    <w:rsid w:val="001B037F"/>
    <w:rsid w:val="001B048A"/>
    <w:rsid w:val="001C0807"/>
    <w:rsid w:val="001C4994"/>
    <w:rsid w:val="001C677C"/>
    <w:rsid w:val="001C7B7B"/>
    <w:rsid w:val="001D175D"/>
    <w:rsid w:val="001D21A1"/>
    <w:rsid w:val="001D2E88"/>
    <w:rsid w:val="001E0672"/>
    <w:rsid w:val="001E1588"/>
    <w:rsid w:val="001E3E4B"/>
    <w:rsid w:val="001F5240"/>
    <w:rsid w:val="001F5A7D"/>
    <w:rsid w:val="001F71DC"/>
    <w:rsid w:val="00200C0C"/>
    <w:rsid w:val="00202C38"/>
    <w:rsid w:val="00211B96"/>
    <w:rsid w:val="002136D5"/>
    <w:rsid w:val="00214B02"/>
    <w:rsid w:val="00216D79"/>
    <w:rsid w:val="002229DC"/>
    <w:rsid w:val="00241BA6"/>
    <w:rsid w:val="00244632"/>
    <w:rsid w:val="00244A46"/>
    <w:rsid w:val="00251735"/>
    <w:rsid w:val="00254824"/>
    <w:rsid w:val="00260785"/>
    <w:rsid w:val="00267706"/>
    <w:rsid w:val="00277AF0"/>
    <w:rsid w:val="00284D38"/>
    <w:rsid w:val="00296314"/>
    <w:rsid w:val="002A6B7D"/>
    <w:rsid w:val="002C4A46"/>
    <w:rsid w:val="002C60F2"/>
    <w:rsid w:val="002C67E2"/>
    <w:rsid w:val="002D03F0"/>
    <w:rsid w:val="002E13C5"/>
    <w:rsid w:val="002E355D"/>
    <w:rsid w:val="002F1935"/>
    <w:rsid w:val="002F308C"/>
    <w:rsid w:val="002F5106"/>
    <w:rsid w:val="003003B7"/>
    <w:rsid w:val="00305958"/>
    <w:rsid w:val="00315460"/>
    <w:rsid w:val="0032373D"/>
    <w:rsid w:val="00323AA1"/>
    <w:rsid w:val="00327883"/>
    <w:rsid w:val="00332A4B"/>
    <w:rsid w:val="00347EE8"/>
    <w:rsid w:val="0035085A"/>
    <w:rsid w:val="00351C18"/>
    <w:rsid w:val="0035484F"/>
    <w:rsid w:val="0035655E"/>
    <w:rsid w:val="003651F7"/>
    <w:rsid w:val="0037290B"/>
    <w:rsid w:val="003811CC"/>
    <w:rsid w:val="00386704"/>
    <w:rsid w:val="003923CA"/>
    <w:rsid w:val="003945F3"/>
    <w:rsid w:val="003A6A89"/>
    <w:rsid w:val="003B217D"/>
    <w:rsid w:val="003B616F"/>
    <w:rsid w:val="003B7834"/>
    <w:rsid w:val="003C4D95"/>
    <w:rsid w:val="003E1F5E"/>
    <w:rsid w:val="003E31FB"/>
    <w:rsid w:val="003E338B"/>
    <w:rsid w:val="003E36B0"/>
    <w:rsid w:val="003E4922"/>
    <w:rsid w:val="003E49B2"/>
    <w:rsid w:val="003E7D66"/>
    <w:rsid w:val="003E7F9C"/>
    <w:rsid w:val="003F28CB"/>
    <w:rsid w:val="00405D43"/>
    <w:rsid w:val="00410DEC"/>
    <w:rsid w:val="004119DA"/>
    <w:rsid w:val="0041224B"/>
    <w:rsid w:val="00437336"/>
    <w:rsid w:val="0044327D"/>
    <w:rsid w:val="00451933"/>
    <w:rsid w:val="004629B2"/>
    <w:rsid w:val="004630E2"/>
    <w:rsid w:val="00475B8F"/>
    <w:rsid w:val="00481574"/>
    <w:rsid w:val="0048297F"/>
    <w:rsid w:val="00490445"/>
    <w:rsid w:val="0049785B"/>
    <w:rsid w:val="004A30F9"/>
    <w:rsid w:val="004E137F"/>
    <w:rsid w:val="004F00F8"/>
    <w:rsid w:val="004F1E95"/>
    <w:rsid w:val="004F5E71"/>
    <w:rsid w:val="005000D5"/>
    <w:rsid w:val="00515026"/>
    <w:rsid w:val="00516606"/>
    <w:rsid w:val="00520A2F"/>
    <w:rsid w:val="00521937"/>
    <w:rsid w:val="00532177"/>
    <w:rsid w:val="00535AC2"/>
    <w:rsid w:val="005365AB"/>
    <w:rsid w:val="00537FD8"/>
    <w:rsid w:val="00541258"/>
    <w:rsid w:val="00544E72"/>
    <w:rsid w:val="00545857"/>
    <w:rsid w:val="00552A8B"/>
    <w:rsid w:val="00555224"/>
    <w:rsid w:val="00555916"/>
    <w:rsid w:val="00561A09"/>
    <w:rsid w:val="00561E3E"/>
    <w:rsid w:val="0056447F"/>
    <w:rsid w:val="00571255"/>
    <w:rsid w:val="00573BB4"/>
    <w:rsid w:val="00582244"/>
    <w:rsid w:val="00584834"/>
    <w:rsid w:val="005856EF"/>
    <w:rsid w:val="00591AB0"/>
    <w:rsid w:val="0059250C"/>
    <w:rsid w:val="005B69E9"/>
    <w:rsid w:val="005C47C3"/>
    <w:rsid w:val="0060652B"/>
    <w:rsid w:val="00615A7D"/>
    <w:rsid w:val="00620009"/>
    <w:rsid w:val="00621FCD"/>
    <w:rsid w:val="00636FE6"/>
    <w:rsid w:val="006406D7"/>
    <w:rsid w:val="00644DD6"/>
    <w:rsid w:val="00652D07"/>
    <w:rsid w:val="00656EC7"/>
    <w:rsid w:val="00672408"/>
    <w:rsid w:val="00683DBB"/>
    <w:rsid w:val="006968E5"/>
    <w:rsid w:val="006A41E2"/>
    <w:rsid w:val="006A4B05"/>
    <w:rsid w:val="006B5B67"/>
    <w:rsid w:val="006C0D1D"/>
    <w:rsid w:val="006C2198"/>
    <w:rsid w:val="006C5C3B"/>
    <w:rsid w:val="006D05D8"/>
    <w:rsid w:val="006D56A0"/>
    <w:rsid w:val="006D7618"/>
    <w:rsid w:val="006E268C"/>
    <w:rsid w:val="006F1E13"/>
    <w:rsid w:val="006F3C12"/>
    <w:rsid w:val="006F5ACE"/>
    <w:rsid w:val="006F64DA"/>
    <w:rsid w:val="007027D4"/>
    <w:rsid w:val="007143CA"/>
    <w:rsid w:val="00714C40"/>
    <w:rsid w:val="0071685A"/>
    <w:rsid w:val="0072518C"/>
    <w:rsid w:val="0072564E"/>
    <w:rsid w:val="00726111"/>
    <w:rsid w:val="007261C3"/>
    <w:rsid w:val="00734F22"/>
    <w:rsid w:val="0074216E"/>
    <w:rsid w:val="007478DA"/>
    <w:rsid w:val="00747C96"/>
    <w:rsid w:val="00760D6A"/>
    <w:rsid w:val="00761619"/>
    <w:rsid w:val="00766BB4"/>
    <w:rsid w:val="007736FD"/>
    <w:rsid w:val="00774DDE"/>
    <w:rsid w:val="0077621B"/>
    <w:rsid w:val="0078415E"/>
    <w:rsid w:val="007850C9"/>
    <w:rsid w:val="00785284"/>
    <w:rsid w:val="00790F74"/>
    <w:rsid w:val="007A43AE"/>
    <w:rsid w:val="007A5060"/>
    <w:rsid w:val="007C7AAC"/>
    <w:rsid w:val="007D0D22"/>
    <w:rsid w:val="007D11F7"/>
    <w:rsid w:val="007E41B8"/>
    <w:rsid w:val="007F17A7"/>
    <w:rsid w:val="007F1A68"/>
    <w:rsid w:val="007F6345"/>
    <w:rsid w:val="008008F2"/>
    <w:rsid w:val="008016B6"/>
    <w:rsid w:val="00804283"/>
    <w:rsid w:val="00823793"/>
    <w:rsid w:val="00824438"/>
    <w:rsid w:val="00830E61"/>
    <w:rsid w:val="00831111"/>
    <w:rsid w:val="00836645"/>
    <w:rsid w:val="008426CA"/>
    <w:rsid w:val="00851C4D"/>
    <w:rsid w:val="00857C22"/>
    <w:rsid w:val="00860CF3"/>
    <w:rsid w:val="008671BE"/>
    <w:rsid w:val="00867C0B"/>
    <w:rsid w:val="0087657F"/>
    <w:rsid w:val="0088101C"/>
    <w:rsid w:val="0088195D"/>
    <w:rsid w:val="008908D4"/>
    <w:rsid w:val="00892376"/>
    <w:rsid w:val="00893A65"/>
    <w:rsid w:val="00894A2F"/>
    <w:rsid w:val="00896439"/>
    <w:rsid w:val="008A02D6"/>
    <w:rsid w:val="008B1A84"/>
    <w:rsid w:val="008B35C9"/>
    <w:rsid w:val="008C3D9E"/>
    <w:rsid w:val="008D1226"/>
    <w:rsid w:val="008D327B"/>
    <w:rsid w:val="008D3763"/>
    <w:rsid w:val="008E1CAB"/>
    <w:rsid w:val="008F06DC"/>
    <w:rsid w:val="008F1DB4"/>
    <w:rsid w:val="008F4E6A"/>
    <w:rsid w:val="008F64F7"/>
    <w:rsid w:val="00900D70"/>
    <w:rsid w:val="009029E8"/>
    <w:rsid w:val="00914B22"/>
    <w:rsid w:val="009170CA"/>
    <w:rsid w:val="00930399"/>
    <w:rsid w:val="00933FC4"/>
    <w:rsid w:val="009362A9"/>
    <w:rsid w:val="00940E4A"/>
    <w:rsid w:val="009462A4"/>
    <w:rsid w:val="00947F13"/>
    <w:rsid w:val="00957881"/>
    <w:rsid w:val="009668A9"/>
    <w:rsid w:val="00967035"/>
    <w:rsid w:val="00971D40"/>
    <w:rsid w:val="0097315A"/>
    <w:rsid w:val="00983339"/>
    <w:rsid w:val="00996B82"/>
    <w:rsid w:val="009A48FE"/>
    <w:rsid w:val="009B36A7"/>
    <w:rsid w:val="009D3A7D"/>
    <w:rsid w:val="009D7228"/>
    <w:rsid w:val="009E75AB"/>
    <w:rsid w:val="009F716C"/>
    <w:rsid w:val="00A002B3"/>
    <w:rsid w:val="00A02CE9"/>
    <w:rsid w:val="00A038AA"/>
    <w:rsid w:val="00A0708A"/>
    <w:rsid w:val="00A21690"/>
    <w:rsid w:val="00A24854"/>
    <w:rsid w:val="00A61670"/>
    <w:rsid w:val="00A62CA1"/>
    <w:rsid w:val="00A7322A"/>
    <w:rsid w:val="00A847E6"/>
    <w:rsid w:val="00A95C96"/>
    <w:rsid w:val="00A97818"/>
    <w:rsid w:val="00AA177F"/>
    <w:rsid w:val="00AA72E3"/>
    <w:rsid w:val="00AB0131"/>
    <w:rsid w:val="00AB4FA4"/>
    <w:rsid w:val="00AC7E4C"/>
    <w:rsid w:val="00AD502C"/>
    <w:rsid w:val="00AD7CB5"/>
    <w:rsid w:val="00AE5793"/>
    <w:rsid w:val="00AE5AA2"/>
    <w:rsid w:val="00AF2362"/>
    <w:rsid w:val="00AF2D41"/>
    <w:rsid w:val="00B00D91"/>
    <w:rsid w:val="00B0311F"/>
    <w:rsid w:val="00B03A44"/>
    <w:rsid w:val="00B043A6"/>
    <w:rsid w:val="00B07595"/>
    <w:rsid w:val="00B103F8"/>
    <w:rsid w:val="00B22BCD"/>
    <w:rsid w:val="00B2365F"/>
    <w:rsid w:val="00B54804"/>
    <w:rsid w:val="00B5488D"/>
    <w:rsid w:val="00B62194"/>
    <w:rsid w:val="00B6561F"/>
    <w:rsid w:val="00B66713"/>
    <w:rsid w:val="00B67D57"/>
    <w:rsid w:val="00B71583"/>
    <w:rsid w:val="00B72B08"/>
    <w:rsid w:val="00B75806"/>
    <w:rsid w:val="00B80600"/>
    <w:rsid w:val="00B83642"/>
    <w:rsid w:val="00B8569E"/>
    <w:rsid w:val="00B86258"/>
    <w:rsid w:val="00B90931"/>
    <w:rsid w:val="00B92F9C"/>
    <w:rsid w:val="00BA6E76"/>
    <w:rsid w:val="00BC3884"/>
    <w:rsid w:val="00BC3B65"/>
    <w:rsid w:val="00BD0596"/>
    <w:rsid w:val="00BD3DDA"/>
    <w:rsid w:val="00BD5A8A"/>
    <w:rsid w:val="00BE0854"/>
    <w:rsid w:val="00BE5FCA"/>
    <w:rsid w:val="00BE662A"/>
    <w:rsid w:val="00BF0850"/>
    <w:rsid w:val="00BF5EBF"/>
    <w:rsid w:val="00C150E0"/>
    <w:rsid w:val="00C201FB"/>
    <w:rsid w:val="00C21D44"/>
    <w:rsid w:val="00C267A3"/>
    <w:rsid w:val="00C338CD"/>
    <w:rsid w:val="00C40797"/>
    <w:rsid w:val="00C45A19"/>
    <w:rsid w:val="00C51C64"/>
    <w:rsid w:val="00C52AC9"/>
    <w:rsid w:val="00C54DF4"/>
    <w:rsid w:val="00C56E81"/>
    <w:rsid w:val="00C62604"/>
    <w:rsid w:val="00C629AE"/>
    <w:rsid w:val="00C71B80"/>
    <w:rsid w:val="00C7742D"/>
    <w:rsid w:val="00C8307A"/>
    <w:rsid w:val="00C86961"/>
    <w:rsid w:val="00CA1861"/>
    <w:rsid w:val="00CA4A64"/>
    <w:rsid w:val="00CB565B"/>
    <w:rsid w:val="00CD67EB"/>
    <w:rsid w:val="00CE6AFC"/>
    <w:rsid w:val="00CF524F"/>
    <w:rsid w:val="00CF73D2"/>
    <w:rsid w:val="00CF742E"/>
    <w:rsid w:val="00CF7D3B"/>
    <w:rsid w:val="00D01BC5"/>
    <w:rsid w:val="00D0691F"/>
    <w:rsid w:val="00D07095"/>
    <w:rsid w:val="00D138D3"/>
    <w:rsid w:val="00D156A3"/>
    <w:rsid w:val="00D21661"/>
    <w:rsid w:val="00D23A6D"/>
    <w:rsid w:val="00D24F61"/>
    <w:rsid w:val="00D2623D"/>
    <w:rsid w:val="00D2663D"/>
    <w:rsid w:val="00D27059"/>
    <w:rsid w:val="00D6590A"/>
    <w:rsid w:val="00D70B4E"/>
    <w:rsid w:val="00D70BC5"/>
    <w:rsid w:val="00D80791"/>
    <w:rsid w:val="00D82110"/>
    <w:rsid w:val="00D821C7"/>
    <w:rsid w:val="00D8312A"/>
    <w:rsid w:val="00D92717"/>
    <w:rsid w:val="00D95A83"/>
    <w:rsid w:val="00DA44BA"/>
    <w:rsid w:val="00DA70A3"/>
    <w:rsid w:val="00DB3BCC"/>
    <w:rsid w:val="00DC3C8A"/>
    <w:rsid w:val="00DD1128"/>
    <w:rsid w:val="00DD3108"/>
    <w:rsid w:val="00DE6181"/>
    <w:rsid w:val="00DF1E54"/>
    <w:rsid w:val="00DF49E1"/>
    <w:rsid w:val="00DF68E6"/>
    <w:rsid w:val="00DF77FD"/>
    <w:rsid w:val="00E20371"/>
    <w:rsid w:val="00E23C83"/>
    <w:rsid w:val="00E248F6"/>
    <w:rsid w:val="00E304F0"/>
    <w:rsid w:val="00E3390F"/>
    <w:rsid w:val="00E34217"/>
    <w:rsid w:val="00E36216"/>
    <w:rsid w:val="00E43934"/>
    <w:rsid w:val="00E45665"/>
    <w:rsid w:val="00E457CC"/>
    <w:rsid w:val="00E55D50"/>
    <w:rsid w:val="00E80570"/>
    <w:rsid w:val="00E9229D"/>
    <w:rsid w:val="00E9573D"/>
    <w:rsid w:val="00E9783C"/>
    <w:rsid w:val="00EA1A2F"/>
    <w:rsid w:val="00EA2959"/>
    <w:rsid w:val="00EA7986"/>
    <w:rsid w:val="00EB15FB"/>
    <w:rsid w:val="00EB4DBF"/>
    <w:rsid w:val="00ED111D"/>
    <w:rsid w:val="00ED3594"/>
    <w:rsid w:val="00ED3E23"/>
    <w:rsid w:val="00ED65E7"/>
    <w:rsid w:val="00EE5052"/>
    <w:rsid w:val="00F01869"/>
    <w:rsid w:val="00F20874"/>
    <w:rsid w:val="00F225A0"/>
    <w:rsid w:val="00F30684"/>
    <w:rsid w:val="00F32B57"/>
    <w:rsid w:val="00F3358C"/>
    <w:rsid w:val="00F35C10"/>
    <w:rsid w:val="00F42C44"/>
    <w:rsid w:val="00F42CE3"/>
    <w:rsid w:val="00F46BD5"/>
    <w:rsid w:val="00F47EA7"/>
    <w:rsid w:val="00F506FC"/>
    <w:rsid w:val="00F56532"/>
    <w:rsid w:val="00F611C1"/>
    <w:rsid w:val="00F71124"/>
    <w:rsid w:val="00F72229"/>
    <w:rsid w:val="00F7790E"/>
    <w:rsid w:val="00F924ED"/>
    <w:rsid w:val="00FA3952"/>
    <w:rsid w:val="00FA5A5C"/>
    <w:rsid w:val="00FC1EE3"/>
    <w:rsid w:val="00FD6FBD"/>
    <w:rsid w:val="00FD7EAA"/>
    <w:rsid w:val="00FF0E7F"/>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D3358"/>
  <w15:docId w15:val="{AD3201E7-66AD-489C-9038-D9B540A6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34"/>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34"/>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34"/>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34"/>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34"/>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34"/>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34"/>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2"/>
      </w:numPr>
      <w:contextualSpacing/>
    </w:pPr>
  </w:style>
  <w:style w:type="paragraph" w:styleId="Oznaenseznam2">
    <w:name w:val="List Bullet 2"/>
    <w:basedOn w:val="Navaden"/>
    <w:uiPriority w:val="99"/>
    <w:semiHidden/>
    <w:unhideWhenUsed/>
    <w:rsid w:val="00244A46"/>
    <w:pPr>
      <w:numPr>
        <w:numId w:val="3"/>
      </w:numPr>
      <w:contextualSpacing/>
    </w:pPr>
  </w:style>
  <w:style w:type="paragraph" w:styleId="Oznaenseznam3">
    <w:name w:val="List Bullet 3"/>
    <w:basedOn w:val="Navaden"/>
    <w:uiPriority w:val="99"/>
    <w:semiHidden/>
    <w:unhideWhenUsed/>
    <w:rsid w:val="00244A46"/>
    <w:pPr>
      <w:numPr>
        <w:numId w:val="4"/>
      </w:numPr>
      <w:contextualSpacing/>
    </w:pPr>
  </w:style>
  <w:style w:type="paragraph" w:styleId="Oznaenseznam4">
    <w:name w:val="List Bullet 4"/>
    <w:basedOn w:val="Navaden"/>
    <w:uiPriority w:val="99"/>
    <w:semiHidden/>
    <w:unhideWhenUsed/>
    <w:rsid w:val="00244A46"/>
    <w:pPr>
      <w:numPr>
        <w:numId w:val="5"/>
      </w:numPr>
      <w:contextualSpacing/>
    </w:pPr>
  </w:style>
  <w:style w:type="paragraph" w:styleId="Otevilenseznam">
    <w:name w:val="List Number"/>
    <w:basedOn w:val="Navaden"/>
    <w:uiPriority w:val="99"/>
    <w:semiHidden/>
    <w:unhideWhenUsed/>
    <w:rsid w:val="00244A46"/>
    <w:pPr>
      <w:numPr>
        <w:numId w:val="6"/>
      </w:numPr>
      <w:contextualSpacing/>
    </w:pPr>
  </w:style>
  <w:style w:type="paragraph" w:styleId="Otevilenseznam2">
    <w:name w:val="List Number 2"/>
    <w:basedOn w:val="Navaden"/>
    <w:uiPriority w:val="99"/>
    <w:semiHidden/>
    <w:unhideWhenUsed/>
    <w:rsid w:val="00244A46"/>
    <w:pPr>
      <w:numPr>
        <w:numId w:val="7"/>
      </w:numPr>
      <w:contextualSpacing/>
    </w:pPr>
  </w:style>
  <w:style w:type="paragraph" w:styleId="Otevilenseznam3">
    <w:name w:val="List Number 3"/>
    <w:basedOn w:val="Navaden"/>
    <w:uiPriority w:val="99"/>
    <w:semiHidden/>
    <w:unhideWhenUsed/>
    <w:rsid w:val="00244A46"/>
    <w:pPr>
      <w:numPr>
        <w:numId w:val="8"/>
      </w:numPr>
      <w:contextualSpacing/>
    </w:pPr>
  </w:style>
  <w:style w:type="paragraph" w:styleId="Otevilenseznam4">
    <w:name w:val="List Number 4"/>
    <w:basedOn w:val="Navaden"/>
    <w:uiPriority w:val="99"/>
    <w:semiHidden/>
    <w:unhideWhenUsed/>
    <w:rsid w:val="00244A46"/>
    <w:pPr>
      <w:numPr>
        <w:numId w:val="9"/>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AF2362"/>
    <w:pPr>
      <w:tabs>
        <w:tab w:val="center" w:pos="4535"/>
        <w:tab w:val="right" w:pos="9071"/>
      </w:tabs>
      <w:spacing w:before="0"/>
    </w:pPr>
  </w:style>
  <w:style w:type="character" w:customStyle="1" w:styleId="GlavaZnak">
    <w:name w:val="Glava Znak"/>
    <w:basedOn w:val="Privzetapisavaodstavka"/>
    <w:link w:val="Glava"/>
    <w:uiPriority w:val="99"/>
    <w:rsid w:val="00AF2362"/>
    <w:rPr>
      <w:rFonts w:ascii="Times New Roman" w:hAnsi="Times New Roman" w:cs="Times New Roman"/>
      <w:sz w:val="24"/>
      <w:lang w:val="sl-SI"/>
    </w:rPr>
  </w:style>
  <w:style w:type="paragraph" w:styleId="Noga">
    <w:name w:val="footer"/>
    <w:basedOn w:val="Navaden"/>
    <w:link w:val="NogaZnak"/>
    <w:uiPriority w:val="99"/>
    <w:unhideWhenUsed/>
    <w:rsid w:val="00AF2362"/>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AF2362"/>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shd w:val="clear" w:color="auto" w:fill="auto"/>
      <w:lang w:val="en-GB"/>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shd w:val="clear" w:color="auto" w:fill="auto"/>
      <w:lang w:val="en-GB"/>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shd w:val="clear" w:color="auto" w:fill="auto"/>
      <w:lang w:val="en-GB"/>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shd w:val="clear" w:color="auto" w:fill="auto"/>
      <w:lang w:val="en-GB"/>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shd w:val="clear" w:color="auto" w:fill="auto"/>
      <w:lang w:val="en-GB"/>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shd w:val="clear" w:color="auto" w:fill="auto"/>
      <w:lang w:val="en-GB"/>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shd w:val="clear" w:color="auto" w:fill="auto"/>
      <w:lang w:val="en-GB"/>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AF2362"/>
    <w:pPr>
      <w:tabs>
        <w:tab w:val="center" w:pos="7285"/>
        <w:tab w:val="right" w:pos="14003"/>
      </w:tabs>
      <w:spacing w:before="0"/>
    </w:pPr>
  </w:style>
  <w:style w:type="paragraph" w:customStyle="1" w:styleId="FooterLandscape">
    <w:name w:val="FooterLandscape"/>
    <w:basedOn w:val="Navaden"/>
    <w:rsid w:val="00AF2362"/>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AF23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AF2362"/>
    <w:pPr>
      <w:spacing w:before="0"/>
      <w:jc w:val="right"/>
    </w:pPr>
    <w:rPr>
      <w:sz w:val="28"/>
    </w:rPr>
  </w:style>
  <w:style w:type="paragraph" w:customStyle="1" w:styleId="FooterSensitivity">
    <w:name w:val="Footer Sensitivity"/>
    <w:basedOn w:val="Navaden"/>
    <w:rsid w:val="00AF23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33"/>
      </w:numPr>
    </w:pPr>
  </w:style>
  <w:style w:type="paragraph" w:customStyle="1" w:styleId="NumPar2">
    <w:name w:val="NumPar 2"/>
    <w:basedOn w:val="Navaden"/>
    <w:next w:val="Text1"/>
    <w:pPr>
      <w:numPr>
        <w:ilvl w:val="1"/>
        <w:numId w:val="33"/>
      </w:numPr>
    </w:pPr>
  </w:style>
  <w:style w:type="paragraph" w:customStyle="1" w:styleId="NumPar3">
    <w:name w:val="NumPar 3"/>
    <w:basedOn w:val="Navaden"/>
    <w:next w:val="Text1"/>
    <w:pPr>
      <w:numPr>
        <w:ilvl w:val="2"/>
        <w:numId w:val="33"/>
      </w:numPr>
    </w:pPr>
  </w:style>
  <w:style w:type="paragraph" w:customStyle="1" w:styleId="NumPar4">
    <w:name w:val="NumPar 4"/>
    <w:basedOn w:val="Navaden"/>
    <w:next w:val="Text1"/>
    <w:pPr>
      <w:numPr>
        <w:ilvl w:val="3"/>
        <w:numId w:val="33"/>
      </w:numPr>
    </w:pPr>
  </w:style>
  <w:style w:type="paragraph" w:customStyle="1" w:styleId="NumPar5">
    <w:name w:val="NumPar 5"/>
    <w:basedOn w:val="Navaden"/>
    <w:next w:val="Text2"/>
    <w:pPr>
      <w:numPr>
        <w:ilvl w:val="4"/>
        <w:numId w:val="33"/>
      </w:numPr>
    </w:pPr>
  </w:style>
  <w:style w:type="paragraph" w:customStyle="1" w:styleId="NumPar6">
    <w:name w:val="NumPar 6"/>
    <w:basedOn w:val="Navaden"/>
    <w:next w:val="Text2"/>
    <w:pPr>
      <w:numPr>
        <w:ilvl w:val="5"/>
        <w:numId w:val="33"/>
      </w:numPr>
    </w:pPr>
  </w:style>
  <w:style w:type="paragraph" w:customStyle="1" w:styleId="NumPar7">
    <w:name w:val="NumPar 7"/>
    <w:basedOn w:val="Navaden"/>
    <w:next w:val="Text2"/>
    <w:pPr>
      <w:numPr>
        <w:ilvl w:val="6"/>
        <w:numId w:val="33"/>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35"/>
      </w:numPr>
    </w:pPr>
  </w:style>
  <w:style w:type="paragraph" w:customStyle="1" w:styleId="Point1number">
    <w:name w:val="Point 1 (number)"/>
    <w:basedOn w:val="Navaden"/>
    <w:pPr>
      <w:numPr>
        <w:ilvl w:val="2"/>
        <w:numId w:val="35"/>
      </w:numPr>
    </w:pPr>
  </w:style>
  <w:style w:type="paragraph" w:customStyle="1" w:styleId="Point2number">
    <w:name w:val="Point 2 (number)"/>
    <w:basedOn w:val="Navaden"/>
    <w:pPr>
      <w:numPr>
        <w:ilvl w:val="4"/>
        <w:numId w:val="35"/>
      </w:numPr>
    </w:pPr>
  </w:style>
  <w:style w:type="paragraph" w:customStyle="1" w:styleId="Point3number">
    <w:name w:val="Point 3 (number)"/>
    <w:basedOn w:val="Navaden"/>
    <w:pPr>
      <w:numPr>
        <w:ilvl w:val="6"/>
        <w:numId w:val="35"/>
      </w:numPr>
    </w:pPr>
  </w:style>
  <w:style w:type="paragraph" w:customStyle="1" w:styleId="Point0letter">
    <w:name w:val="Point 0 (letter)"/>
    <w:basedOn w:val="Navaden"/>
    <w:pPr>
      <w:numPr>
        <w:ilvl w:val="1"/>
        <w:numId w:val="35"/>
      </w:numPr>
    </w:pPr>
  </w:style>
  <w:style w:type="paragraph" w:customStyle="1" w:styleId="Point1letter">
    <w:name w:val="Point 1 (letter)"/>
    <w:basedOn w:val="Navaden"/>
    <w:pPr>
      <w:numPr>
        <w:ilvl w:val="3"/>
        <w:numId w:val="35"/>
      </w:numPr>
    </w:pPr>
  </w:style>
  <w:style w:type="paragraph" w:customStyle="1" w:styleId="Point2letter">
    <w:name w:val="Point 2 (letter)"/>
    <w:basedOn w:val="Navaden"/>
    <w:pPr>
      <w:numPr>
        <w:ilvl w:val="5"/>
        <w:numId w:val="35"/>
      </w:numPr>
    </w:pPr>
  </w:style>
  <w:style w:type="paragraph" w:customStyle="1" w:styleId="Point3letter">
    <w:name w:val="Point 3 (letter)"/>
    <w:basedOn w:val="Navaden"/>
    <w:pPr>
      <w:numPr>
        <w:ilvl w:val="7"/>
        <w:numId w:val="35"/>
      </w:numPr>
    </w:pPr>
  </w:style>
  <w:style w:type="paragraph" w:customStyle="1" w:styleId="Point4letter">
    <w:name w:val="Point 4 (letter)"/>
    <w:basedOn w:val="Navaden"/>
    <w:pPr>
      <w:numPr>
        <w:ilvl w:val="8"/>
        <w:numId w:val="35"/>
      </w:numPr>
    </w:pPr>
  </w:style>
  <w:style w:type="paragraph" w:customStyle="1" w:styleId="Bullet0">
    <w:name w:val="Bullet 0"/>
    <w:basedOn w:val="Navaden"/>
    <w:pPr>
      <w:numPr>
        <w:numId w:val="36"/>
      </w:numPr>
    </w:pPr>
  </w:style>
  <w:style w:type="paragraph" w:customStyle="1" w:styleId="Bullet1">
    <w:name w:val="Bullet 1"/>
    <w:basedOn w:val="Navaden"/>
    <w:pPr>
      <w:numPr>
        <w:numId w:val="37"/>
      </w:numPr>
    </w:pPr>
  </w:style>
  <w:style w:type="paragraph" w:customStyle="1" w:styleId="Bullet2">
    <w:name w:val="Bullet 2"/>
    <w:basedOn w:val="Navaden"/>
    <w:pPr>
      <w:numPr>
        <w:numId w:val="38"/>
      </w:numPr>
    </w:pPr>
  </w:style>
  <w:style w:type="paragraph" w:customStyle="1" w:styleId="Bullet3">
    <w:name w:val="Bullet 3"/>
    <w:basedOn w:val="Navaden"/>
    <w:pPr>
      <w:numPr>
        <w:numId w:val="39"/>
      </w:numPr>
    </w:pPr>
  </w:style>
  <w:style w:type="paragraph" w:customStyle="1" w:styleId="Bullet4">
    <w:name w:val="Bullet 4"/>
    <w:basedOn w:val="Navaden"/>
    <w:pPr>
      <w:numPr>
        <w:numId w:val="40"/>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41"/>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2.xml><?xml version="1.0" encoding="utf-8"?>
<ds:datastoreItem xmlns:ds="http://schemas.openxmlformats.org/officeDocument/2006/customXml" ds:itemID="{547BECBC-5120-4FE6-A616-D94987E6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56D46-FC06-4E2C-B7DB-6E99CB9104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016418-D5AB-4967-9BE7-EDC38DB0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73</TotalTime>
  <Pages>7</Pages>
  <Words>2085</Words>
  <Characters>11887</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Simona Brešćanski</cp:lastModifiedBy>
  <cp:revision>71</cp:revision>
  <cp:lastPrinted>2022-09-22T13:13:00Z</cp:lastPrinted>
  <dcterms:created xsi:type="dcterms:W3CDTF">2023-01-05T17:51:00Z</dcterms:created>
  <dcterms:modified xsi:type="dcterms:W3CDTF">2023-02-14T14:02:00Z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