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B7" w:rsidRDefault="00EA28B7" w:rsidP="00EA28B7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  <w:r w:rsidRPr="00A82B8D">
        <w:rPr>
          <w:sz w:val="22"/>
          <w:szCs w:val="17"/>
          <w:lang w:eastAsia="x-none"/>
        </w:rPr>
        <w:t xml:space="preserve">Priloga </w:t>
      </w:r>
      <w:r>
        <w:rPr>
          <w:sz w:val="22"/>
          <w:szCs w:val="17"/>
          <w:lang w:eastAsia="x-none"/>
        </w:rPr>
        <w:t>5</w:t>
      </w:r>
      <w:r w:rsidRPr="00A82B8D">
        <w:rPr>
          <w:sz w:val="22"/>
          <w:szCs w:val="17"/>
          <w:lang w:eastAsia="x-none"/>
        </w:rPr>
        <w:t xml:space="preserve">: </w:t>
      </w:r>
      <w:r>
        <w:rPr>
          <w:sz w:val="22"/>
          <w:szCs w:val="17"/>
          <w:lang w:eastAsia="x-none"/>
        </w:rPr>
        <w:t>Obrazec za doseganje mejnikov za izplačilo javne podpore za delovanje LASR</w:t>
      </w: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183"/>
        <w:gridCol w:w="1183"/>
        <w:gridCol w:w="1183"/>
        <w:gridCol w:w="1189"/>
        <w:gridCol w:w="1187"/>
        <w:gridCol w:w="1177"/>
        <w:gridCol w:w="1014"/>
      </w:tblGrid>
      <w:tr w:rsidR="00EA28B7" w:rsidRPr="00FC28C7" w:rsidTr="00583EF8">
        <w:trPr>
          <w:trHeight w:val="683"/>
        </w:trPr>
        <w:tc>
          <w:tcPr>
            <w:tcW w:w="8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8B7" w:rsidRPr="00FC28C7" w:rsidRDefault="00EA28B7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</w:p>
          <w:p w:rsidR="00EA28B7" w:rsidRPr="00FC28C7" w:rsidRDefault="00EA28B7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8B7" w:rsidRPr="00FC28C7" w:rsidRDefault="00EA28B7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EA28B7" w:rsidRPr="00FC28C7" w:rsidRDefault="00EA28B7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</w:p>
        </w:tc>
      </w:tr>
      <w:tr w:rsidR="00EA28B7" w:rsidRPr="006B656C" w:rsidTr="00583EF8">
        <w:trPr>
          <w:trHeight w:val="187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MEJNIKI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2029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8B7" w:rsidRPr="006B656C" w:rsidRDefault="00EA28B7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2030</w:t>
            </w:r>
          </w:p>
        </w:tc>
      </w:tr>
      <w:tr w:rsidR="00EA28B7" w:rsidRPr="006B656C" w:rsidTr="00583EF8">
        <w:trPr>
          <w:trHeight w:val="198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98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Strošek dela zaposlenih za upravljanje LAS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R 1 polna delovna moč (PDM)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760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Animacija območja, zagotavljanje informacij zainteresiranim prebivalcem na območju LAS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R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, spodbujanje izvajanja operacij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in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pomoč potencialnim upravičencem pri pripravi operacij; mreženje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771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Priprava internih dokumentov za izbor operacije (meril za izbor operacij, pravilnik ocenjevalne komisije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…)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650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Priprava in objava javnega poziva za izbor operacij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Rok: objava javnega poziva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, v katerem je razpisanih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vsaj 50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sredstev finančnega okvira za izvajanje operacij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Rok: objava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javnega poziva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za vsaj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skupno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75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sredstev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(preostalih 25 odstotkov)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Rok: objava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javnega poziva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za morebiten preostanek sredstev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046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Izbor operacij na podlagi javnega poziva in drugih operacij LAS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R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in po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šilja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nje vlog na A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RS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KTRP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Rok: po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šilj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anje vlog za izbor operacij za vsaj 50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finančnega okvira za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lastRenderedPageBreak/>
              <w:t xml:space="preserve">operacije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na ARSKTRP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>Zadnji rok: vložitev vlog za operacije na A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RS</w:t>
            </w: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>KTRP/do 30.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junija </w:t>
            </w: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2029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–</w:t>
            </w: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100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lastRenderedPageBreak/>
              <w:t>odstotkov</w:t>
            </w: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>, če še ostane kakšna operacija, upravičenec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katere je</w:t>
            </w:r>
            <w:r w:rsidRPr="000C28EF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LASR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506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Izvajanje potrjenih operacij: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Za</w:t>
            </w:r>
            <w:r w:rsidRPr="00105A8E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četek izvajanja vsaj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20</w:t>
            </w:r>
            <w:r w:rsidRPr="00105A8E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  <w:r w:rsidRPr="00105A8E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operacij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Za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četek izvajanja vsaj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50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operacij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374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a) delež dodeljenih sredstev z odločbami o odobritvi operacij v primerjavi s finančnim okvir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m za izvajanje operacij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vsaj 50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odstotkov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87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b) delež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dokončanih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operacij v primerjavi z odobrenimi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vsaj 75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odstotkov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38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c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) širjenje rezultatov in dosežkov izvedenih operacij (objava na spletni strani LAS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R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…)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87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Priprava letnih poročil o izvajanju SLR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(zavezanost z uredbo)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572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Spremljanje in vrednotenje SLR, spremljanje tudi po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dokončanj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u operacij, skrb za informiranost upravičencev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 skladu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 SLR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 skladu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 SLR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 skladu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 SLR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 skladu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 SLR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 skladu 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 SLR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98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Sodelovanje z organi upravljanja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EA28B7" w:rsidRPr="006B656C" w:rsidTr="00583EF8">
        <w:trPr>
          <w:trHeight w:val="187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Doseganje ciljnih vrednosti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kazalnikov rezultata po posamezni SLR</w:t>
            </w: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vsaj 50 odstotkov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B656C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28B7" w:rsidRPr="006B656C" w:rsidRDefault="00EA28B7" w:rsidP="00583E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EA28B7" w:rsidRDefault="00EA28B7" w:rsidP="00EA28B7">
      <w:r w:rsidRPr="00105A8E">
        <w:rPr>
          <w:b/>
        </w:rPr>
        <w:t>Legenda</w:t>
      </w:r>
      <w:r>
        <w:t>: kar je označeno sivo, pomeni trajanje navedenih nalog LASR oziroma VP.</w:t>
      </w:r>
    </w:p>
    <w:p w:rsidR="00DC52EF" w:rsidRPr="00445B0C" w:rsidRDefault="00DC52EF" w:rsidP="00EA28B7">
      <w:bookmarkStart w:id="0" w:name="_GoBack"/>
      <w:bookmarkEnd w:id="0"/>
    </w:p>
    <w:sectPr w:rsidR="00DC52EF" w:rsidRPr="00445B0C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9E" w:rsidRDefault="0002279E" w:rsidP="00A01763">
      <w:pPr>
        <w:spacing w:line="240" w:lineRule="auto"/>
      </w:pPr>
      <w:r>
        <w:separator/>
      </w:r>
    </w:p>
  </w:endnote>
  <w:endnote w:type="continuationSeparator" w:id="0">
    <w:p w:rsidR="0002279E" w:rsidRDefault="0002279E" w:rsidP="00A0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851"/>
      <w:docPartObj>
        <w:docPartGallery w:val="Page Numbers (Bottom of Page)"/>
        <w:docPartUnique/>
      </w:docPartObj>
    </w:sdtPr>
    <w:sdtContent>
      <w:p w:rsidR="00905698" w:rsidRDefault="0090569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B7" w:rsidRPr="00EA28B7">
          <w:rPr>
            <w:noProof/>
            <w:lang w:val="sl-SI"/>
          </w:rPr>
          <w:t>2</w:t>
        </w:r>
        <w:r>
          <w:fldChar w:fldCharType="end"/>
        </w:r>
      </w:p>
    </w:sdtContent>
  </w:sdt>
  <w:p w:rsidR="00AE28DE" w:rsidRPr="000F5308" w:rsidRDefault="00EA28B7" w:rsidP="00567981">
    <w:pPr>
      <w:pStyle w:val="Noga"/>
      <w:spacing w:line="240" w:lineRule="auto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DE" w:rsidRPr="000F5308" w:rsidRDefault="00DA34ED" w:rsidP="005C2FBD">
    <w:pPr>
      <w:pStyle w:val="Noga"/>
      <w:spacing w:line="240" w:lineRule="auto"/>
      <w:rPr>
        <w:szCs w:val="20"/>
        <w:lang w:val="pl-PL"/>
      </w:rPr>
    </w:pPr>
    <w:r w:rsidRPr="000F5308">
      <w:rPr>
        <w:lang w:val="pl-PL"/>
      </w:rPr>
      <w:tab/>
      <w:t xml:space="preserve">        </w:t>
    </w:r>
  </w:p>
  <w:p w:rsidR="00AE28DE" w:rsidRPr="000F5308" w:rsidRDefault="00DA34ED" w:rsidP="00567981">
    <w:pPr>
      <w:pStyle w:val="Noga"/>
      <w:tabs>
        <w:tab w:val="clear" w:pos="4320"/>
        <w:tab w:val="center" w:pos="1985"/>
      </w:tabs>
      <w:spacing w:line="240" w:lineRule="auto"/>
      <w:rPr>
        <w:sz w:val="10"/>
        <w:szCs w:val="10"/>
        <w:lang w:val="sl-SI"/>
      </w:rPr>
    </w:pPr>
    <w:r w:rsidRPr="000F5308">
      <w:rPr>
        <w:color w:val="000000"/>
        <w:spacing w:val="-2"/>
        <w:sz w:val="10"/>
        <w:szCs w:val="10"/>
        <w:lang w:val="pl-PL" w:eastAsia="sl-SI"/>
      </w:rPr>
      <w:t xml:space="preserve">     </w:t>
    </w:r>
    <w:r>
      <w:rPr>
        <w:color w:val="000000"/>
        <w:spacing w:val="-2"/>
        <w:sz w:val="10"/>
        <w:szCs w:val="10"/>
        <w:lang w:val="pl-PL" w:eastAsia="sl-SI"/>
      </w:rPr>
      <w:t xml:space="preserve"> </w:t>
    </w:r>
    <w:r w:rsidRPr="000F5308">
      <w:rPr>
        <w:color w:val="000000"/>
        <w:spacing w:val="-2"/>
        <w:sz w:val="10"/>
        <w:szCs w:val="10"/>
        <w:lang w:val="sl-SI"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9E" w:rsidRDefault="0002279E" w:rsidP="00A01763">
      <w:pPr>
        <w:spacing w:line="240" w:lineRule="auto"/>
      </w:pPr>
      <w:r>
        <w:separator/>
      </w:r>
    </w:p>
  </w:footnote>
  <w:footnote w:type="continuationSeparator" w:id="0">
    <w:p w:rsidR="0002279E" w:rsidRDefault="0002279E" w:rsidP="00A01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C" w:rsidRPr="00110CBD" w:rsidRDefault="00EA28B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56C" w:rsidRPr="008F3500">
      <w:trPr>
        <w:cantSplit/>
        <w:trHeight w:hRule="exact" w:val="847"/>
      </w:trPr>
      <w:tc>
        <w:tcPr>
          <w:tcW w:w="567" w:type="dxa"/>
        </w:tcPr>
        <w:p w:rsidR="00D3356C" w:rsidRDefault="00DA34E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EA28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3356C" w:rsidRPr="008F3500" w:rsidRDefault="00A0176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0F888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="00DA34ED" w:rsidRPr="008F3500">
      <w:rPr>
        <w:rFonts w:ascii="Republika" w:hAnsi="Republika"/>
        <w:lang w:val="sl-SI"/>
      </w:rPr>
      <w:t>REPUBLIKA SLOVENIJA</w:t>
    </w:r>
  </w:p>
  <w:p w:rsidR="005C2FBD" w:rsidRPr="005C2FBD" w:rsidRDefault="00DA34ED" w:rsidP="005C2FB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  <w:r>
      <w:rPr>
        <w:rFonts w:ascii="Republika Bold" w:hAnsi="Republika Bold"/>
        <w:b/>
        <w:caps/>
        <w:lang w:val="sl-SI"/>
      </w:rPr>
      <w:br/>
      <w:t>gozdarstvo in prehrano</w:t>
    </w:r>
  </w:p>
  <w:p w:rsidR="00D3356C" w:rsidRPr="008F3500" w:rsidRDefault="00DA34ED" w:rsidP="005B05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</w:p>
  <w:p w:rsidR="00D3356C" w:rsidRPr="008F3500" w:rsidRDefault="00DA34E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00C33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D3356C" w:rsidRPr="008F3500" w:rsidRDefault="00EA28B7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04C6A"/>
    <w:multiLevelType w:val="hybridMultilevel"/>
    <w:tmpl w:val="7CD8E9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508E0"/>
    <w:multiLevelType w:val="hybridMultilevel"/>
    <w:tmpl w:val="85E08AC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314C"/>
    <w:multiLevelType w:val="hybridMultilevel"/>
    <w:tmpl w:val="F31AC7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C163C"/>
    <w:multiLevelType w:val="hybridMultilevel"/>
    <w:tmpl w:val="67743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4EE4"/>
    <w:multiLevelType w:val="hybridMultilevel"/>
    <w:tmpl w:val="D486C3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3943"/>
    <w:multiLevelType w:val="hybridMultilevel"/>
    <w:tmpl w:val="86946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FC3"/>
    <w:multiLevelType w:val="hybridMultilevel"/>
    <w:tmpl w:val="4344D37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A1D38"/>
    <w:multiLevelType w:val="hybridMultilevel"/>
    <w:tmpl w:val="CA56CB30"/>
    <w:lvl w:ilvl="0" w:tplc="FF4CD2C6">
      <w:start w:val="1"/>
      <w:numFmt w:val="bullet"/>
      <w:lvlText w:val="-"/>
      <w:lvlJc w:val="left"/>
      <w:pPr>
        <w:ind w:left="372" w:hanging="360"/>
      </w:pPr>
      <w:rPr>
        <w:rFonts w:ascii="Arial" w:eastAsia="Times New Roman" w:hAnsi="Arial" w:cs="Arial" w:hint="default"/>
      </w:rPr>
    </w:lvl>
    <w:lvl w:ilvl="1" w:tplc="6D4C73D6">
      <w:numFmt w:val="bullet"/>
      <w:lvlText w:val="–"/>
      <w:lvlJc w:val="left"/>
      <w:pPr>
        <w:ind w:left="1092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74B056B1"/>
    <w:multiLevelType w:val="multilevel"/>
    <w:tmpl w:val="31840E7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ordin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3"/>
    <w:rsid w:val="0002279E"/>
    <w:rsid w:val="000D0FC2"/>
    <w:rsid w:val="00154C8A"/>
    <w:rsid w:val="00200445"/>
    <w:rsid w:val="0021396E"/>
    <w:rsid w:val="002738AD"/>
    <w:rsid w:val="00293989"/>
    <w:rsid w:val="002F4817"/>
    <w:rsid w:val="003D62DE"/>
    <w:rsid w:val="003D7DE8"/>
    <w:rsid w:val="00442610"/>
    <w:rsid w:val="00445B0C"/>
    <w:rsid w:val="004560C6"/>
    <w:rsid w:val="00497AF4"/>
    <w:rsid w:val="004E234E"/>
    <w:rsid w:val="005748B2"/>
    <w:rsid w:val="006D25FC"/>
    <w:rsid w:val="008350D7"/>
    <w:rsid w:val="00905698"/>
    <w:rsid w:val="00922B2E"/>
    <w:rsid w:val="009925F5"/>
    <w:rsid w:val="00A01763"/>
    <w:rsid w:val="00A71B1A"/>
    <w:rsid w:val="00A76E55"/>
    <w:rsid w:val="00A93727"/>
    <w:rsid w:val="00B3018D"/>
    <w:rsid w:val="00B86525"/>
    <w:rsid w:val="00B96A1B"/>
    <w:rsid w:val="00BA468E"/>
    <w:rsid w:val="00BB5D7A"/>
    <w:rsid w:val="00D17048"/>
    <w:rsid w:val="00D336E4"/>
    <w:rsid w:val="00D76F6B"/>
    <w:rsid w:val="00DA34ED"/>
    <w:rsid w:val="00DA35B3"/>
    <w:rsid w:val="00DC34C8"/>
    <w:rsid w:val="00DC52EF"/>
    <w:rsid w:val="00E00C33"/>
    <w:rsid w:val="00E905F0"/>
    <w:rsid w:val="00EA28B7"/>
    <w:rsid w:val="00EF67BB"/>
    <w:rsid w:val="00F73A69"/>
    <w:rsid w:val="00F80419"/>
    <w:rsid w:val="00FB261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CFCD0"/>
  <w15:docId w15:val="{84FCD414-1ABA-4DD4-B0CD-0018D13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76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05698"/>
    <w:pPr>
      <w:keepNext/>
      <w:keepLines/>
      <w:spacing w:before="240"/>
      <w:outlineLvl w:val="0"/>
    </w:pPr>
    <w:rPr>
      <w:rFonts w:eastAsiaTheme="majorEastAsia" w:cstheme="majorBidi"/>
      <w:szCs w:val="20"/>
      <w:lang w:val="sl-SI"/>
    </w:rPr>
  </w:style>
  <w:style w:type="paragraph" w:styleId="Naslov2">
    <w:name w:val="heading 2"/>
    <w:basedOn w:val="Navaden"/>
    <w:next w:val="Navaden"/>
    <w:link w:val="Naslov2Znak"/>
    <w:autoRedefine/>
    <w:qFormat/>
    <w:rsid w:val="00905698"/>
    <w:pPr>
      <w:keepNext/>
      <w:spacing w:after="60"/>
      <w:ind w:left="576" w:hanging="576"/>
      <w:jc w:val="both"/>
      <w:outlineLvl w:val="1"/>
    </w:pPr>
    <w:rPr>
      <w:rFonts w:cs="Arial"/>
      <w:bCs/>
      <w:iCs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DC52EF"/>
    <w:pPr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GB"/>
    </w:rPr>
  </w:style>
  <w:style w:type="paragraph" w:styleId="Naslov6">
    <w:name w:val="heading 6"/>
    <w:basedOn w:val="Navaden"/>
    <w:next w:val="Navaden"/>
    <w:link w:val="Naslov6Znak"/>
    <w:qFormat/>
    <w:rsid w:val="00DC52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Naslov7">
    <w:name w:val="heading 7"/>
    <w:basedOn w:val="Navaden"/>
    <w:next w:val="Navaden"/>
    <w:link w:val="Naslov7Znak"/>
    <w:qFormat/>
    <w:rsid w:val="00DC52EF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lang w:val="en-GB"/>
    </w:rPr>
  </w:style>
  <w:style w:type="paragraph" w:styleId="Naslov8">
    <w:name w:val="heading 8"/>
    <w:basedOn w:val="Navaden"/>
    <w:next w:val="Navaden"/>
    <w:link w:val="Naslov8Znak"/>
    <w:qFormat/>
    <w:rsid w:val="00DC52E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DC52EF"/>
    <w:pPr>
      <w:numPr>
        <w:ilvl w:val="8"/>
        <w:numId w:val="5"/>
      </w:numPr>
      <w:spacing w:before="240" w:after="60" w:line="240" w:lineRule="auto"/>
      <w:outlineLvl w:val="8"/>
    </w:pPr>
    <w:rPr>
      <w:rFonts w:cs="Arial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17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017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A017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1763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A017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atumtevilka">
    <w:name w:val="datum številka"/>
    <w:basedOn w:val="Navaden"/>
    <w:qFormat/>
    <w:rsid w:val="00FB261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B26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B2612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nhideWhenUsed/>
    <w:rsid w:val="00A9372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905698"/>
    <w:rPr>
      <w:rFonts w:ascii="Arial" w:eastAsia="Times New Roman" w:hAnsi="Arial" w:cs="Arial"/>
      <w:bCs/>
      <w:i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DC52EF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Naslov6Znak">
    <w:name w:val="Naslov 6 Znak"/>
    <w:basedOn w:val="Privzetapisavaodstavka"/>
    <w:link w:val="Naslov6"/>
    <w:rsid w:val="00DC52E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Znak">
    <w:name w:val="Naslov 7 Znak"/>
    <w:basedOn w:val="Privzetapisavaodstavka"/>
    <w:link w:val="Naslov7"/>
    <w:rsid w:val="00DC52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Znak">
    <w:name w:val="Naslov 8 Znak"/>
    <w:basedOn w:val="Privzetapisavaodstavka"/>
    <w:link w:val="Naslov8"/>
    <w:rsid w:val="00DC52E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Znak">
    <w:name w:val="Naslov 9 Znak"/>
    <w:basedOn w:val="Privzetapisavaodstavka"/>
    <w:link w:val="Naslov9"/>
    <w:rsid w:val="00DC52EF"/>
    <w:rPr>
      <w:rFonts w:ascii="Arial" w:eastAsia="Times New Roman" w:hAnsi="Arial" w:cs="Arial"/>
      <w:lang w:val="en-GB"/>
    </w:rPr>
  </w:style>
  <w:style w:type="paragraph" w:styleId="Oznaenseznam">
    <w:name w:val="List Bullet"/>
    <w:basedOn w:val="Navaden"/>
    <w:rsid w:val="00905698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paragraph" w:styleId="Brezrazmikov">
    <w:name w:val="No Spacing"/>
    <w:uiPriority w:val="1"/>
    <w:qFormat/>
    <w:rsid w:val="0090569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05698"/>
    <w:rPr>
      <w:rFonts w:ascii="Arial" w:eastAsiaTheme="majorEastAsia" w:hAnsi="Arial" w:cstheme="majorBidi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396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396E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3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F824E0-1B6B-4B5D-A1A3-8AA25E97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Dolinsek</dc:creator>
  <cp:lastModifiedBy>Neža Sautet</cp:lastModifiedBy>
  <cp:revision>2</cp:revision>
  <dcterms:created xsi:type="dcterms:W3CDTF">2023-07-09T21:41:00Z</dcterms:created>
  <dcterms:modified xsi:type="dcterms:W3CDTF">2023-07-09T21:41:00Z</dcterms:modified>
</cp:coreProperties>
</file>