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8E0" w:rsidRDefault="009228E0" w:rsidP="009228E0">
      <w:pPr>
        <w:pStyle w:val="Odstavekseznama"/>
        <w:ind w:left="0"/>
        <w:rPr>
          <w:rFonts w:ascii="Arial" w:hAnsi="Arial" w:cs="Arial"/>
          <w:b/>
          <w:sz w:val="20"/>
        </w:rPr>
      </w:pPr>
      <w:r w:rsidRPr="00461131">
        <w:rPr>
          <w:rFonts w:ascii="Arial" w:hAnsi="Arial" w:cs="Arial"/>
          <w:szCs w:val="17"/>
          <w:lang w:eastAsia="x-none"/>
        </w:rPr>
        <w:t>Priloga 7:</w:t>
      </w:r>
      <w:r>
        <w:rPr>
          <w:rFonts w:ascii="Arial" w:hAnsi="Arial" w:cs="Arial"/>
          <w:szCs w:val="17"/>
          <w:lang w:eastAsia="x-none"/>
        </w:rPr>
        <w:t xml:space="preserve"> </w:t>
      </w:r>
      <w:r w:rsidRPr="00DE2422">
        <w:rPr>
          <w:rFonts w:ascii="Arial" w:hAnsi="Arial" w:cs="Arial"/>
          <w:b/>
          <w:sz w:val="20"/>
        </w:rPr>
        <w:t>METODOLOGIJA ZA RAZDELITEV FINANČNIH SREDSTEV LOKALNIM AKCIJSKIM SKUPINAM ZA RIBIŠTVO ZA IZVAJANJE UKREPA LOKALNI RAZVOJ, KI GA VODI SKUPNOST</w:t>
      </w:r>
      <w:r>
        <w:rPr>
          <w:rFonts w:ascii="Arial" w:hAnsi="Arial" w:cs="Arial"/>
          <w:b/>
          <w:sz w:val="20"/>
        </w:rPr>
        <w:t>–</w:t>
      </w:r>
      <w:r w:rsidRPr="00DE2422">
        <w:rPr>
          <w:rFonts w:ascii="Arial" w:hAnsi="Arial" w:cs="Arial"/>
          <w:b/>
          <w:sz w:val="20"/>
        </w:rPr>
        <w:t xml:space="preserve"> CLLD 2021</w:t>
      </w:r>
      <w:r>
        <w:rPr>
          <w:rFonts w:ascii="Arial" w:hAnsi="Arial" w:cs="Arial"/>
          <w:b/>
          <w:sz w:val="20"/>
        </w:rPr>
        <w:t>–</w:t>
      </w:r>
      <w:r w:rsidRPr="00DE2422">
        <w:rPr>
          <w:rFonts w:ascii="Arial" w:hAnsi="Arial" w:cs="Arial"/>
          <w:b/>
          <w:sz w:val="20"/>
        </w:rPr>
        <w:t>2027</w:t>
      </w:r>
    </w:p>
    <w:p w:rsidR="009228E0" w:rsidRDefault="009228E0" w:rsidP="009228E0">
      <w:pPr>
        <w:pStyle w:val="Odstavekseznama"/>
        <w:ind w:left="0"/>
        <w:rPr>
          <w:rFonts w:ascii="Arial" w:hAnsi="Arial" w:cs="Arial"/>
          <w:b/>
          <w:sz w:val="20"/>
        </w:rPr>
      </w:pPr>
      <w:bookmarkStart w:id="0" w:name="_GoBack"/>
      <w:bookmarkEnd w:id="0"/>
    </w:p>
    <w:p w:rsidR="009228E0" w:rsidRPr="00DE2422" w:rsidRDefault="009228E0" w:rsidP="009228E0">
      <w:pPr>
        <w:pStyle w:val="Odstavekseznama"/>
        <w:ind w:left="0"/>
        <w:rPr>
          <w:rFonts w:ascii="Arial" w:hAnsi="Arial" w:cs="Arial"/>
          <w:b/>
          <w:sz w:val="20"/>
        </w:rPr>
      </w:pPr>
    </w:p>
    <w:p w:rsidR="009228E0" w:rsidRPr="00DE2422" w:rsidRDefault="009228E0" w:rsidP="009228E0">
      <w:pPr>
        <w:spacing w:after="120" w:line="276" w:lineRule="auto"/>
        <w:jc w:val="both"/>
        <w:rPr>
          <w:rFonts w:cs="Arial"/>
          <w:b/>
          <w:szCs w:val="20"/>
        </w:rPr>
      </w:pPr>
      <w:r w:rsidRPr="00DE2422">
        <w:rPr>
          <w:rFonts w:cs="Arial"/>
          <w:b/>
          <w:szCs w:val="20"/>
        </w:rPr>
        <w:br w:type="page"/>
      </w:r>
    </w:p>
    <w:p w:rsidR="009228E0" w:rsidRPr="009228E0" w:rsidRDefault="009228E0" w:rsidP="009228E0">
      <w:pPr>
        <w:pStyle w:val="NaslovTOC"/>
        <w:rPr>
          <w:color w:val="auto"/>
        </w:rPr>
      </w:pPr>
      <w:r w:rsidRPr="009228E0">
        <w:rPr>
          <w:color w:val="auto"/>
        </w:rPr>
        <w:t>VSEBINA</w:t>
      </w:r>
    </w:p>
    <w:p w:rsidR="009228E0" w:rsidRPr="00DE2422" w:rsidRDefault="009228E0" w:rsidP="009228E0">
      <w:pPr>
        <w:rPr>
          <w:rFonts w:cs="Arial"/>
          <w:szCs w:val="20"/>
          <w:lang w:eastAsia="sl-SI"/>
        </w:rPr>
      </w:pPr>
    </w:p>
    <w:p w:rsidR="009228E0" w:rsidRPr="00734935" w:rsidRDefault="009228E0" w:rsidP="009228E0">
      <w:pPr>
        <w:pStyle w:val="Kazalovsebine1"/>
        <w:tabs>
          <w:tab w:val="right" w:leader="dot" w:pos="8488"/>
        </w:tabs>
        <w:rPr>
          <w:rFonts w:ascii="Arial" w:hAnsi="Arial" w:cs="Arial"/>
          <w:b w:val="0"/>
          <w:bCs w:val="0"/>
          <w:caps w:val="0"/>
          <w:noProof/>
          <w:sz w:val="20"/>
          <w:szCs w:val="20"/>
          <w:lang w:eastAsia="sl-SI"/>
        </w:rPr>
      </w:pPr>
      <w:r w:rsidRPr="00E87397">
        <w:rPr>
          <w:rFonts w:ascii="Arial" w:hAnsi="Arial" w:cs="Arial"/>
          <w:bCs w:val="0"/>
          <w:sz w:val="20"/>
          <w:szCs w:val="20"/>
        </w:rPr>
        <w:fldChar w:fldCharType="begin"/>
      </w:r>
      <w:r w:rsidRPr="00E87397">
        <w:rPr>
          <w:rFonts w:ascii="Arial" w:hAnsi="Arial" w:cs="Arial"/>
          <w:bCs w:val="0"/>
          <w:sz w:val="20"/>
          <w:szCs w:val="20"/>
        </w:rPr>
        <w:instrText xml:space="preserve"> TOC \o "1-3" \u </w:instrText>
      </w:r>
      <w:r w:rsidRPr="00E87397">
        <w:rPr>
          <w:rFonts w:ascii="Arial" w:hAnsi="Arial" w:cs="Arial"/>
          <w:bCs w:val="0"/>
          <w:sz w:val="20"/>
          <w:szCs w:val="20"/>
        </w:rPr>
        <w:fldChar w:fldCharType="separate"/>
      </w:r>
      <w:r w:rsidRPr="00E87397">
        <w:rPr>
          <w:rFonts w:ascii="Arial" w:hAnsi="Arial" w:cs="Arial"/>
          <w:noProof/>
          <w:sz w:val="20"/>
          <w:szCs w:val="20"/>
        </w:rPr>
        <w:t>1 Uvod</w:t>
      </w:r>
      <w:r w:rsidRPr="00E87397">
        <w:rPr>
          <w:rFonts w:ascii="Arial" w:hAnsi="Arial" w:cs="Arial"/>
          <w:noProof/>
          <w:sz w:val="20"/>
          <w:szCs w:val="20"/>
        </w:rPr>
        <w:tab/>
      </w:r>
      <w:r>
        <w:rPr>
          <w:rFonts w:ascii="Arial" w:hAnsi="Arial" w:cs="Arial"/>
          <w:noProof/>
          <w:sz w:val="20"/>
          <w:szCs w:val="20"/>
        </w:rPr>
        <w:t>55</w:t>
      </w:r>
    </w:p>
    <w:p w:rsidR="009228E0" w:rsidRPr="00734935" w:rsidRDefault="009228E0" w:rsidP="009228E0">
      <w:pPr>
        <w:pStyle w:val="Kazalovsebine2"/>
        <w:tabs>
          <w:tab w:val="right" w:leader="dot" w:pos="8488"/>
        </w:tabs>
        <w:rPr>
          <w:rFonts w:ascii="Arial" w:hAnsi="Arial" w:cs="Arial"/>
          <w:b w:val="0"/>
          <w:bCs w:val="0"/>
          <w:noProof/>
          <w:lang w:eastAsia="sl-SI"/>
        </w:rPr>
      </w:pPr>
      <w:r w:rsidRPr="00E87397">
        <w:rPr>
          <w:rFonts w:ascii="Arial" w:hAnsi="Arial" w:cs="Arial"/>
          <w:noProof/>
        </w:rPr>
        <w:t>1.1 Pravne podlage</w:t>
      </w:r>
      <w:r w:rsidRPr="00E87397">
        <w:rPr>
          <w:rFonts w:ascii="Arial" w:hAnsi="Arial" w:cs="Arial"/>
          <w:noProof/>
        </w:rPr>
        <w:tab/>
      </w:r>
      <w:r>
        <w:rPr>
          <w:rFonts w:ascii="Arial" w:hAnsi="Arial" w:cs="Arial"/>
          <w:noProof/>
        </w:rPr>
        <w:t>55</w:t>
      </w:r>
    </w:p>
    <w:p w:rsidR="009228E0" w:rsidRPr="00734935" w:rsidRDefault="009228E0" w:rsidP="009228E0">
      <w:pPr>
        <w:pStyle w:val="Kazalovsebine2"/>
        <w:tabs>
          <w:tab w:val="right" w:leader="dot" w:pos="8488"/>
        </w:tabs>
        <w:rPr>
          <w:rFonts w:ascii="Arial" w:hAnsi="Arial" w:cs="Arial"/>
          <w:b w:val="0"/>
          <w:bCs w:val="0"/>
          <w:noProof/>
          <w:lang w:eastAsia="sl-SI"/>
        </w:rPr>
      </w:pPr>
      <w:r w:rsidRPr="00E87397">
        <w:rPr>
          <w:rFonts w:ascii="Arial" w:hAnsi="Arial" w:cs="Arial"/>
          <w:noProof/>
        </w:rPr>
        <w:t>1.2 Predstavitev izbora načina razdelitve sredstev po posameznih LASR</w:t>
      </w:r>
      <w:r w:rsidRPr="00E87397">
        <w:rPr>
          <w:rFonts w:ascii="Arial" w:hAnsi="Arial" w:cs="Arial"/>
          <w:noProof/>
        </w:rPr>
        <w:tab/>
      </w:r>
      <w:r>
        <w:rPr>
          <w:rFonts w:ascii="Arial" w:hAnsi="Arial" w:cs="Arial"/>
          <w:noProof/>
        </w:rPr>
        <w:t>55</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sidRPr="00E87397">
        <w:rPr>
          <w:rFonts w:ascii="Arial" w:hAnsi="Arial" w:cs="Arial"/>
          <w:noProof/>
        </w:rPr>
        <w:t>a.</w:t>
      </w:r>
      <w:r w:rsidRPr="00734935">
        <w:rPr>
          <w:rFonts w:ascii="Arial" w:hAnsi="Arial" w:cs="Arial"/>
          <w:b w:val="0"/>
          <w:bCs w:val="0"/>
          <w:noProof/>
          <w:lang w:eastAsia="sl-SI"/>
        </w:rPr>
        <w:tab/>
      </w:r>
      <w:r w:rsidRPr="00E87397">
        <w:rPr>
          <w:rFonts w:ascii="Arial" w:hAnsi="Arial" w:cs="Arial"/>
          <w:noProof/>
        </w:rPr>
        <w:t>Upoštevanje kriterija števila potrjenih LASR</w:t>
      </w:r>
      <w:r w:rsidRPr="00E87397">
        <w:rPr>
          <w:rFonts w:ascii="Arial" w:hAnsi="Arial" w:cs="Arial"/>
          <w:noProof/>
        </w:rPr>
        <w:tab/>
      </w:r>
      <w:r>
        <w:rPr>
          <w:rFonts w:ascii="Arial" w:hAnsi="Arial" w:cs="Arial"/>
          <w:noProof/>
        </w:rPr>
        <w:t>56</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sidRPr="00E87397">
        <w:rPr>
          <w:rFonts w:ascii="Arial" w:hAnsi="Arial" w:cs="Arial"/>
          <w:noProof/>
        </w:rPr>
        <w:t>b.</w:t>
      </w:r>
      <w:r w:rsidRPr="00734935">
        <w:rPr>
          <w:rFonts w:ascii="Arial" w:hAnsi="Arial" w:cs="Arial"/>
          <w:b w:val="0"/>
          <w:bCs w:val="0"/>
          <w:noProof/>
          <w:lang w:eastAsia="sl-SI"/>
        </w:rPr>
        <w:tab/>
      </w:r>
      <w:r w:rsidRPr="00E87397">
        <w:rPr>
          <w:rFonts w:ascii="Arial" w:hAnsi="Arial" w:cs="Arial"/>
          <w:noProof/>
        </w:rPr>
        <w:t>Upoštevanje kriterija delitve Sektorja za ribištvo na dve podenoti</w:t>
      </w:r>
      <w:r w:rsidRPr="00E87397">
        <w:rPr>
          <w:rFonts w:ascii="Arial" w:hAnsi="Arial" w:cs="Arial"/>
          <w:noProof/>
        </w:rPr>
        <w:tab/>
      </w:r>
      <w:r>
        <w:rPr>
          <w:rFonts w:ascii="Arial" w:hAnsi="Arial" w:cs="Arial"/>
          <w:noProof/>
        </w:rPr>
        <w:t>56</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sidRPr="00E87397">
        <w:rPr>
          <w:rFonts w:ascii="Arial" w:hAnsi="Arial" w:cs="Arial"/>
          <w:noProof/>
        </w:rPr>
        <w:t>c.</w:t>
      </w:r>
      <w:r w:rsidRPr="00734935">
        <w:rPr>
          <w:rFonts w:ascii="Arial" w:hAnsi="Arial" w:cs="Arial"/>
          <w:b w:val="0"/>
          <w:bCs w:val="0"/>
          <w:noProof/>
          <w:lang w:eastAsia="sl-SI"/>
        </w:rPr>
        <w:tab/>
      </w:r>
      <w:r w:rsidRPr="00E87397">
        <w:rPr>
          <w:rFonts w:ascii="Arial" w:hAnsi="Arial" w:cs="Arial"/>
          <w:noProof/>
        </w:rPr>
        <w:t>Upoštevanje kriterija število zaposlenih oseb v Sektorju za ribištvo</w:t>
      </w:r>
      <w:r w:rsidRPr="00E87397">
        <w:rPr>
          <w:rFonts w:ascii="Arial" w:hAnsi="Arial" w:cs="Arial"/>
          <w:noProof/>
        </w:rPr>
        <w:tab/>
      </w:r>
      <w:r>
        <w:rPr>
          <w:rFonts w:ascii="Arial" w:hAnsi="Arial" w:cs="Arial"/>
          <w:noProof/>
        </w:rPr>
        <w:t>56</w:t>
      </w:r>
    </w:p>
    <w:p w:rsidR="009228E0" w:rsidRPr="00734935" w:rsidRDefault="009228E0" w:rsidP="009228E0">
      <w:pPr>
        <w:pStyle w:val="Kazalovsebine1"/>
        <w:tabs>
          <w:tab w:val="right" w:leader="dot" w:pos="8488"/>
        </w:tabs>
        <w:rPr>
          <w:rFonts w:ascii="Arial" w:hAnsi="Arial" w:cs="Arial"/>
          <w:b w:val="0"/>
          <w:bCs w:val="0"/>
          <w:caps w:val="0"/>
          <w:noProof/>
          <w:sz w:val="20"/>
          <w:szCs w:val="20"/>
          <w:lang w:eastAsia="sl-SI"/>
        </w:rPr>
      </w:pPr>
      <w:r w:rsidRPr="00E87397">
        <w:rPr>
          <w:rFonts w:ascii="Arial" w:hAnsi="Arial" w:cs="Arial"/>
          <w:noProof/>
          <w:sz w:val="20"/>
          <w:szCs w:val="20"/>
        </w:rPr>
        <w:t>2 Postopek izračuna dodelitve finančnih sredstev po posameznih LASR</w:t>
      </w:r>
      <w:r w:rsidRPr="00E87397">
        <w:rPr>
          <w:rFonts w:ascii="Arial" w:hAnsi="Arial" w:cs="Arial"/>
          <w:noProof/>
          <w:sz w:val="20"/>
          <w:szCs w:val="20"/>
        </w:rPr>
        <w:tab/>
      </w:r>
      <w:r>
        <w:rPr>
          <w:rFonts w:ascii="Arial" w:hAnsi="Arial" w:cs="Arial"/>
          <w:noProof/>
          <w:sz w:val="20"/>
          <w:szCs w:val="20"/>
        </w:rPr>
        <w:t>57</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sidRPr="00E87397">
        <w:rPr>
          <w:rFonts w:ascii="Arial" w:hAnsi="Arial" w:cs="Arial"/>
          <w:noProof/>
        </w:rPr>
        <w:t>a.</w:t>
      </w:r>
      <w:r w:rsidRPr="00734935">
        <w:rPr>
          <w:rFonts w:ascii="Arial" w:hAnsi="Arial" w:cs="Arial"/>
          <w:b w:val="0"/>
          <w:bCs w:val="0"/>
          <w:noProof/>
          <w:lang w:eastAsia="sl-SI"/>
        </w:rPr>
        <w:tab/>
      </w:r>
      <w:r w:rsidRPr="00E87397">
        <w:rPr>
          <w:rFonts w:ascii="Arial" w:hAnsi="Arial" w:cs="Arial"/>
          <w:noProof/>
        </w:rPr>
        <w:t xml:space="preserve">Osnovna razdelitev podpore </w:t>
      </w:r>
      <w:r>
        <w:rPr>
          <w:rFonts w:ascii="Arial" w:hAnsi="Arial" w:cs="Arial"/>
          <w:noProof/>
        </w:rPr>
        <w:t>i</w:t>
      </w:r>
      <w:r w:rsidRPr="00E87397">
        <w:rPr>
          <w:rFonts w:ascii="Arial" w:hAnsi="Arial" w:cs="Arial"/>
          <w:noProof/>
        </w:rPr>
        <w:t>zvajanje operacij, vključno z dejavnostmi sodelovanja in njihovo pripravo, izbranih v okviru strategije</w:t>
      </w:r>
      <w:r>
        <w:rPr>
          <w:rFonts w:ascii="Arial" w:hAnsi="Arial" w:cs="Arial"/>
          <w:noProof/>
        </w:rPr>
        <w:t>,</w:t>
      </w:r>
      <w:r w:rsidRPr="00E87397">
        <w:rPr>
          <w:rFonts w:ascii="Arial" w:hAnsi="Arial" w:cs="Arial"/>
          <w:noProof/>
        </w:rPr>
        <w:t xml:space="preserve"> in podpore </w:t>
      </w:r>
      <w:r>
        <w:rPr>
          <w:rFonts w:ascii="Arial" w:hAnsi="Arial" w:cs="Arial"/>
          <w:noProof/>
        </w:rPr>
        <w:t>u</w:t>
      </w:r>
      <w:r w:rsidRPr="00E87397">
        <w:rPr>
          <w:rFonts w:ascii="Arial" w:hAnsi="Arial" w:cs="Arial"/>
          <w:noProof/>
        </w:rPr>
        <w:t>pravljanje, spremljanje in vrednotenje strategije ter njene animacije, vključno z olajševanjem izmenjav med deležniki</w:t>
      </w:r>
      <w:r w:rsidRPr="00E87397">
        <w:rPr>
          <w:rFonts w:ascii="Arial" w:hAnsi="Arial" w:cs="Arial"/>
          <w:noProof/>
        </w:rPr>
        <w:tab/>
      </w:r>
      <w:r>
        <w:rPr>
          <w:rFonts w:ascii="Arial" w:hAnsi="Arial" w:cs="Arial"/>
          <w:noProof/>
        </w:rPr>
        <w:t>57</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sidRPr="00E87397">
        <w:rPr>
          <w:rFonts w:ascii="Arial" w:hAnsi="Arial" w:cs="Arial"/>
          <w:noProof/>
        </w:rPr>
        <w:t>b.</w:t>
      </w:r>
      <w:r w:rsidRPr="00734935">
        <w:rPr>
          <w:rFonts w:ascii="Arial" w:hAnsi="Arial" w:cs="Arial"/>
          <w:b w:val="0"/>
          <w:bCs w:val="0"/>
          <w:noProof/>
          <w:lang w:eastAsia="sl-SI"/>
        </w:rPr>
        <w:tab/>
      </w:r>
      <w:r w:rsidRPr="00E87397">
        <w:rPr>
          <w:rFonts w:ascii="Arial" w:hAnsi="Arial" w:cs="Arial"/>
          <w:noProof/>
        </w:rPr>
        <w:t>Osnovna razdelitev sredstev za izvajanje SLR na tri dele: vrednotenje števila zaposlenih v sektorju, vrednotenje sektorja in enotni znesek, ki ga prejmejo vse LASR</w:t>
      </w:r>
      <w:r w:rsidRPr="00E87397">
        <w:rPr>
          <w:rFonts w:ascii="Arial" w:hAnsi="Arial" w:cs="Arial"/>
          <w:noProof/>
        </w:rPr>
        <w:tab/>
      </w:r>
      <w:r>
        <w:rPr>
          <w:rFonts w:ascii="Arial" w:hAnsi="Arial" w:cs="Arial"/>
          <w:noProof/>
        </w:rPr>
        <w:t>57</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sidRPr="00E87397">
        <w:rPr>
          <w:rFonts w:ascii="Arial" w:hAnsi="Arial" w:cs="Arial"/>
          <w:noProof/>
        </w:rPr>
        <w:t>c.</w:t>
      </w:r>
      <w:r w:rsidRPr="00734935">
        <w:rPr>
          <w:rFonts w:ascii="Arial" w:hAnsi="Arial" w:cs="Arial"/>
          <w:b w:val="0"/>
          <w:bCs w:val="0"/>
          <w:noProof/>
          <w:lang w:eastAsia="sl-SI"/>
        </w:rPr>
        <w:tab/>
      </w:r>
      <w:r w:rsidRPr="00E87397">
        <w:rPr>
          <w:rFonts w:ascii="Arial" w:hAnsi="Arial" w:cs="Arial"/>
          <w:noProof/>
        </w:rPr>
        <w:t>Razdelitev sredstev na podlagi števila polno zaposlenih oseb v ribištvu/akvakulturi</w:t>
      </w:r>
      <w:r w:rsidRPr="00E87397">
        <w:rPr>
          <w:rFonts w:ascii="Arial" w:hAnsi="Arial" w:cs="Arial"/>
          <w:noProof/>
        </w:rPr>
        <w:tab/>
      </w:r>
      <w:r>
        <w:rPr>
          <w:rFonts w:ascii="Arial" w:hAnsi="Arial" w:cs="Arial"/>
          <w:noProof/>
        </w:rPr>
        <w:t>57</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Pr>
          <w:rFonts w:ascii="Arial" w:hAnsi="Arial" w:cs="Arial"/>
          <w:noProof/>
        </w:rPr>
        <w:t>č</w:t>
      </w:r>
      <w:r w:rsidRPr="00E87397">
        <w:rPr>
          <w:rFonts w:ascii="Arial" w:hAnsi="Arial" w:cs="Arial"/>
          <w:noProof/>
        </w:rPr>
        <w:t>.</w:t>
      </w:r>
      <w:r w:rsidRPr="00734935">
        <w:rPr>
          <w:rFonts w:ascii="Arial" w:hAnsi="Arial" w:cs="Arial"/>
          <w:b w:val="0"/>
          <w:bCs w:val="0"/>
          <w:noProof/>
          <w:lang w:eastAsia="sl-SI"/>
        </w:rPr>
        <w:tab/>
      </w:r>
      <w:r w:rsidRPr="00E87397">
        <w:rPr>
          <w:rFonts w:ascii="Arial" w:hAnsi="Arial" w:cs="Arial"/>
          <w:noProof/>
        </w:rPr>
        <w:t>Razdelitev sredstev, namenjenih za Sektor za ribištvo</w:t>
      </w:r>
      <w:r w:rsidRPr="00E87397">
        <w:rPr>
          <w:rFonts w:ascii="Arial" w:hAnsi="Arial" w:cs="Arial"/>
          <w:noProof/>
        </w:rPr>
        <w:tab/>
      </w:r>
      <w:r>
        <w:rPr>
          <w:rFonts w:ascii="Arial" w:hAnsi="Arial" w:cs="Arial"/>
          <w:noProof/>
        </w:rPr>
        <w:t>58</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Pr>
          <w:rFonts w:ascii="Arial" w:hAnsi="Arial" w:cs="Arial"/>
          <w:noProof/>
        </w:rPr>
        <w:t>d</w:t>
      </w:r>
      <w:r w:rsidRPr="00E87397">
        <w:rPr>
          <w:rFonts w:ascii="Arial" w:hAnsi="Arial" w:cs="Arial"/>
          <w:noProof/>
        </w:rPr>
        <w:t>.</w:t>
      </w:r>
      <w:r w:rsidRPr="00734935">
        <w:rPr>
          <w:rFonts w:ascii="Arial" w:hAnsi="Arial" w:cs="Arial"/>
          <w:b w:val="0"/>
          <w:bCs w:val="0"/>
          <w:noProof/>
          <w:lang w:eastAsia="sl-SI"/>
        </w:rPr>
        <w:tab/>
      </w:r>
      <w:r w:rsidRPr="00E87397">
        <w:rPr>
          <w:rFonts w:ascii="Arial" w:hAnsi="Arial" w:cs="Arial"/>
          <w:noProof/>
        </w:rPr>
        <w:t>Dodelitev enotnega zneska</w:t>
      </w:r>
      <w:r w:rsidRPr="00E87397">
        <w:rPr>
          <w:rFonts w:ascii="Arial" w:hAnsi="Arial" w:cs="Arial"/>
          <w:noProof/>
        </w:rPr>
        <w:tab/>
      </w:r>
      <w:r>
        <w:rPr>
          <w:rFonts w:ascii="Arial" w:hAnsi="Arial" w:cs="Arial"/>
          <w:noProof/>
        </w:rPr>
        <w:t>58</w:t>
      </w:r>
    </w:p>
    <w:p w:rsidR="009228E0" w:rsidRPr="00734935" w:rsidRDefault="009228E0" w:rsidP="009228E0">
      <w:pPr>
        <w:pStyle w:val="Kazalovsebine2"/>
        <w:tabs>
          <w:tab w:val="left" w:pos="400"/>
          <w:tab w:val="right" w:leader="dot" w:pos="8488"/>
        </w:tabs>
        <w:rPr>
          <w:rFonts w:ascii="Arial" w:hAnsi="Arial" w:cs="Arial"/>
          <w:b w:val="0"/>
          <w:bCs w:val="0"/>
          <w:noProof/>
          <w:lang w:eastAsia="sl-SI"/>
        </w:rPr>
      </w:pPr>
      <w:r>
        <w:rPr>
          <w:rFonts w:ascii="Arial" w:hAnsi="Arial" w:cs="Arial"/>
          <w:noProof/>
        </w:rPr>
        <w:t>e</w:t>
      </w:r>
      <w:r w:rsidRPr="00E87397">
        <w:rPr>
          <w:rFonts w:ascii="Arial" w:hAnsi="Arial" w:cs="Arial"/>
          <w:noProof/>
        </w:rPr>
        <w:t>.</w:t>
      </w:r>
      <w:r w:rsidRPr="00734935">
        <w:rPr>
          <w:rFonts w:ascii="Arial" w:hAnsi="Arial" w:cs="Arial"/>
          <w:b w:val="0"/>
          <w:bCs w:val="0"/>
          <w:noProof/>
          <w:lang w:eastAsia="sl-SI"/>
        </w:rPr>
        <w:tab/>
      </w:r>
      <w:r w:rsidRPr="00E87397">
        <w:rPr>
          <w:rFonts w:ascii="Arial" w:hAnsi="Arial" w:cs="Arial"/>
          <w:noProof/>
        </w:rPr>
        <w:t>Skupni finančni okvir za posamezno LASR</w:t>
      </w:r>
      <w:r w:rsidRPr="00E87397">
        <w:rPr>
          <w:rFonts w:ascii="Arial" w:hAnsi="Arial" w:cs="Arial"/>
          <w:noProof/>
        </w:rPr>
        <w:tab/>
      </w:r>
      <w:r>
        <w:rPr>
          <w:rFonts w:ascii="Arial" w:hAnsi="Arial" w:cs="Arial"/>
          <w:noProof/>
        </w:rPr>
        <w:t>58</w:t>
      </w:r>
    </w:p>
    <w:p w:rsidR="009228E0" w:rsidRPr="00734935" w:rsidRDefault="009228E0" w:rsidP="009228E0">
      <w:pPr>
        <w:pStyle w:val="Kazalovsebine1"/>
        <w:tabs>
          <w:tab w:val="right" w:leader="dot" w:pos="8488"/>
        </w:tabs>
        <w:rPr>
          <w:rFonts w:ascii="Arial" w:hAnsi="Arial" w:cs="Arial"/>
          <w:b w:val="0"/>
          <w:bCs w:val="0"/>
          <w:caps w:val="0"/>
          <w:noProof/>
          <w:sz w:val="20"/>
          <w:szCs w:val="20"/>
          <w:lang w:eastAsia="sl-SI"/>
        </w:rPr>
      </w:pPr>
      <w:r w:rsidRPr="00E87397">
        <w:rPr>
          <w:rFonts w:ascii="Arial" w:hAnsi="Arial" w:cs="Arial"/>
          <w:noProof/>
          <w:sz w:val="20"/>
          <w:szCs w:val="20"/>
        </w:rPr>
        <w:t xml:space="preserve">Priloga 1: Tabela 1: Prikaz izračuna delitve sredstev posameznim LASR ob upoštevanju potrditve </w:t>
      </w:r>
      <w:r>
        <w:rPr>
          <w:rFonts w:ascii="Arial" w:hAnsi="Arial" w:cs="Arial"/>
          <w:noProof/>
          <w:sz w:val="20"/>
          <w:szCs w:val="20"/>
        </w:rPr>
        <w:t>šestIH</w:t>
      </w:r>
      <w:r w:rsidRPr="00E87397">
        <w:rPr>
          <w:rFonts w:ascii="Arial" w:hAnsi="Arial" w:cs="Arial"/>
          <w:noProof/>
          <w:sz w:val="20"/>
          <w:szCs w:val="20"/>
        </w:rPr>
        <w:t xml:space="preserve"> LASR</w:t>
      </w:r>
      <w:r w:rsidRPr="00E87397">
        <w:rPr>
          <w:rFonts w:ascii="Arial" w:hAnsi="Arial" w:cs="Arial"/>
          <w:noProof/>
          <w:sz w:val="20"/>
          <w:szCs w:val="20"/>
        </w:rPr>
        <w:tab/>
      </w:r>
      <w:r>
        <w:rPr>
          <w:rFonts w:ascii="Arial" w:hAnsi="Arial" w:cs="Arial"/>
          <w:noProof/>
          <w:sz w:val="20"/>
          <w:szCs w:val="20"/>
        </w:rPr>
        <w:t>59</w:t>
      </w:r>
    </w:p>
    <w:p w:rsidR="009228E0" w:rsidRPr="009228E0" w:rsidRDefault="009228E0" w:rsidP="009228E0">
      <w:pPr>
        <w:rPr>
          <w:rFonts w:cs="Arial"/>
          <w:szCs w:val="20"/>
          <w:lang w:val="sl-SI"/>
        </w:rPr>
      </w:pPr>
      <w:r w:rsidRPr="00E87397">
        <w:rPr>
          <w:rFonts w:cs="Arial"/>
          <w:bCs/>
          <w:szCs w:val="20"/>
        </w:rPr>
        <w:fldChar w:fldCharType="end"/>
      </w:r>
    </w:p>
    <w:p w:rsidR="009228E0" w:rsidRPr="00DE2422" w:rsidRDefault="009228E0" w:rsidP="009228E0">
      <w:pPr>
        <w:pStyle w:val="Naslov1"/>
      </w:pPr>
      <w:r w:rsidRPr="00DE2422">
        <w:br w:type="page"/>
      </w:r>
      <w:bookmarkStart w:id="1" w:name="_Toc126240639"/>
      <w:bookmarkStart w:id="2" w:name="_Toc129953980"/>
      <w:r w:rsidRPr="00DE2422">
        <w:t>1 Uvod</w:t>
      </w:r>
      <w:bookmarkEnd w:id="1"/>
      <w:bookmarkEnd w:id="2"/>
    </w:p>
    <w:p w:rsidR="009228E0" w:rsidRPr="00DE2422" w:rsidRDefault="009228E0" w:rsidP="009228E0">
      <w:pPr>
        <w:spacing w:line="300" w:lineRule="exact"/>
        <w:jc w:val="both"/>
        <w:rPr>
          <w:rFonts w:cs="Arial"/>
          <w:b/>
          <w:szCs w:val="20"/>
        </w:rPr>
      </w:pPr>
    </w:p>
    <w:p w:rsidR="009228E0" w:rsidRPr="00DE2422" w:rsidRDefault="009228E0" w:rsidP="009228E0">
      <w:pPr>
        <w:pStyle w:val="Naslov2"/>
      </w:pPr>
      <w:bookmarkStart w:id="3" w:name="_Toc126240640"/>
      <w:bookmarkStart w:id="4" w:name="_Toc129953981"/>
      <w:r w:rsidRPr="00DE2422">
        <w:t>1.1 Pravne podlage</w:t>
      </w:r>
      <w:bookmarkEnd w:id="3"/>
      <w:bookmarkEnd w:id="4"/>
    </w:p>
    <w:p w:rsidR="009228E0" w:rsidRPr="00DE2422" w:rsidRDefault="009228E0" w:rsidP="009228E0">
      <w:pPr>
        <w:spacing w:line="300" w:lineRule="exact"/>
        <w:jc w:val="both"/>
        <w:rPr>
          <w:rFonts w:cs="Arial"/>
          <w:szCs w:val="20"/>
        </w:rPr>
      </w:pPr>
    </w:p>
    <w:p w:rsidR="009228E0" w:rsidRPr="00DE2422" w:rsidRDefault="009228E0" w:rsidP="009228E0">
      <w:pPr>
        <w:numPr>
          <w:ilvl w:val="0"/>
          <w:numId w:val="14"/>
        </w:numPr>
        <w:spacing w:line="300" w:lineRule="exact"/>
        <w:jc w:val="both"/>
        <w:rPr>
          <w:rFonts w:cs="Arial"/>
          <w:szCs w:val="20"/>
        </w:rPr>
      </w:pPr>
      <w:r w:rsidRPr="00DE2422">
        <w:rPr>
          <w:rFonts w:cs="Arial"/>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Pr>
          <w:rFonts w:cs="Arial"/>
          <w:szCs w:val="20"/>
        </w:rPr>
        <w:t>,</w:t>
      </w:r>
    </w:p>
    <w:p w:rsidR="009228E0" w:rsidRPr="00DE2422" w:rsidRDefault="009228E0" w:rsidP="009228E0">
      <w:pPr>
        <w:numPr>
          <w:ilvl w:val="0"/>
          <w:numId w:val="14"/>
        </w:numPr>
        <w:spacing w:before="120" w:line="300" w:lineRule="exact"/>
        <w:ind w:left="714" w:hanging="357"/>
        <w:jc w:val="both"/>
        <w:rPr>
          <w:rFonts w:cs="Arial"/>
          <w:szCs w:val="20"/>
        </w:rPr>
      </w:pPr>
      <w:r w:rsidRPr="00DE2422">
        <w:rPr>
          <w:rFonts w:cs="Arial"/>
          <w:szCs w:val="20"/>
        </w:rPr>
        <w:t>UREDBA (EU) 2021/1139 EVROPSKEGA PARLAMENTA IN SVETA z dne 7. julija 2021 o vzpostavitvi Evropskega sklada za pomorstvo, ribištvo in akvakulturo ter spremembi Uredbe (EU) 2017/1004</w:t>
      </w:r>
      <w:r>
        <w:rPr>
          <w:rFonts w:cs="Arial"/>
          <w:szCs w:val="20"/>
        </w:rPr>
        <w:t>,</w:t>
      </w:r>
    </w:p>
    <w:p w:rsidR="009228E0" w:rsidRPr="00DE2422" w:rsidRDefault="009228E0" w:rsidP="009228E0">
      <w:pPr>
        <w:numPr>
          <w:ilvl w:val="0"/>
          <w:numId w:val="14"/>
        </w:numPr>
        <w:spacing w:before="120" w:line="300" w:lineRule="exact"/>
        <w:ind w:left="714" w:hanging="357"/>
        <w:jc w:val="both"/>
        <w:rPr>
          <w:rFonts w:cs="Arial"/>
          <w:szCs w:val="20"/>
        </w:rPr>
      </w:pPr>
      <w:r w:rsidRPr="00DE2422">
        <w:rPr>
          <w:rFonts w:cs="Arial"/>
          <w:szCs w:val="20"/>
        </w:rPr>
        <w:t>Uredba o izvajanju lokalnega razvoja, ki ga vodi skupnost iz Evropskega sklada za pomorstvo, ribištvo in akvakulturo v programskem obdobju 2021</w:t>
      </w:r>
      <w:r>
        <w:rPr>
          <w:rFonts w:cs="Arial"/>
          <w:szCs w:val="20"/>
        </w:rPr>
        <w:t>–</w:t>
      </w:r>
      <w:r w:rsidRPr="00DE2422">
        <w:rPr>
          <w:rFonts w:cs="Arial"/>
          <w:szCs w:val="20"/>
        </w:rPr>
        <w:t>2027</w:t>
      </w:r>
      <w:r>
        <w:rPr>
          <w:rFonts w:cs="Arial"/>
          <w:szCs w:val="20"/>
        </w:rPr>
        <w:t>.</w:t>
      </w:r>
    </w:p>
    <w:p w:rsidR="009228E0" w:rsidRPr="00DE2422" w:rsidRDefault="009228E0" w:rsidP="009228E0">
      <w:pPr>
        <w:spacing w:line="300" w:lineRule="exact"/>
        <w:jc w:val="both"/>
        <w:rPr>
          <w:rFonts w:cs="Arial"/>
          <w:szCs w:val="20"/>
        </w:rPr>
      </w:pPr>
    </w:p>
    <w:p w:rsidR="009228E0" w:rsidRPr="00DE2422" w:rsidRDefault="009228E0" w:rsidP="009228E0">
      <w:pPr>
        <w:pStyle w:val="Naslov2"/>
      </w:pPr>
      <w:bookmarkStart w:id="5" w:name="_Toc126240641"/>
      <w:bookmarkStart w:id="6" w:name="_Toc129953982"/>
      <w:r w:rsidRPr="00DE2422">
        <w:t>1.2 Predstavitev izbora načina razdelitve sredstev po posameznih LASR</w:t>
      </w:r>
      <w:bookmarkEnd w:id="5"/>
      <w:bookmarkEnd w:id="6"/>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Republika Slovenija se je</w:t>
      </w:r>
      <w:r w:rsidRPr="00DE2422">
        <w:rPr>
          <w:rFonts w:cs="Arial"/>
          <w:b/>
          <w:szCs w:val="20"/>
        </w:rPr>
        <w:t xml:space="preserve"> </w:t>
      </w:r>
      <w:r>
        <w:rPr>
          <w:rFonts w:cs="Arial"/>
          <w:szCs w:val="20"/>
        </w:rPr>
        <w:t xml:space="preserve">v skladu </w:t>
      </w:r>
      <w:r w:rsidRPr="00DE2422">
        <w:rPr>
          <w:rFonts w:cs="Arial"/>
          <w:szCs w:val="20"/>
        </w:rPr>
        <w:t xml:space="preserve">z 31. členom Uredbe 2021/1060 (EU) in 30. členom Uredbe 2021/1139 (EU) odločila za izvajanje ukrepa </w:t>
      </w:r>
      <w:r>
        <w:rPr>
          <w:rFonts w:cs="Arial"/>
          <w:szCs w:val="20"/>
        </w:rPr>
        <w:t>l</w:t>
      </w:r>
      <w:r w:rsidRPr="00DE2422">
        <w:rPr>
          <w:rFonts w:cs="Arial"/>
          <w:szCs w:val="20"/>
        </w:rPr>
        <w:t xml:space="preserve">okalni razvoj, ki ga vodi skupnost </w:t>
      </w:r>
      <w:r>
        <w:rPr>
          <w:rFonts w:cs="Arial"/>
          <w:szCs w:val="20"/>
        </w:rPr>
        <w:t xml:space="preserve">(v nadaljnjem besedilu: CLLD) </w:t>
      </w:r>
      <w:r w:rsidRPr="00DE2422">
        <w:rPr>
          <w:rFonts w:cs="Arial"/>
          <w:szCs w:val="20"/>
        </w:rPr>
        <w:t>iz Evropskega sklada za pomorstvo, ribištvo in akvakulturo 2021</w:t>
      </w:r>
      <w:r>
        <w:rPr>
          <w:rFonts w:cs="Arial"/>
          <w:szCs w:val="20"/>
        </w:rPr>
        <w:t>–</w:t>
      </w:r>
      <w:r w:rsidRPr="00DE2422">
        <w:rPr>
          <w:rFonts w:cs="Arial"/>
          <w:szCs w:val="20"/>
        </w:rPr>
        <w:t xml:space="preserve">2027. Ukrep se bo izvajal samostojno. Oblikovana bodo </w:t>
      </w:r>
      <w:r>
        <w:rPr>
          <w:rFonts w:cs="Arial"/>
          <w:szCs w:val="20"/>
        </w:rPr>
        <w:t>l</w:t>
      </w:r>
      <w:r w:rsidRPr="00DE2422">
        <w:rPr>
          <w:rFonts w:cs="Arial"/>
          <w:szCs w:val="20"/>
        </w:rPr>
        <w:t xml:space="preserve">okalna partnerstva (LASR), ki bodo izvajala aktivnosti </w:t>
      </w:r>
      <w:r>
        <w:rPr>
          <w:rFonts w:cs="Arial"/>
          <w:szCs w:val="20"/>
        </w:rPr>
        <w:t xml:space="preserve">v skladu </w:t>
      </w:r>
      <w:r w:rsidRPr="00DE2422">
        <w:rPr>
          <w:rFonts w:cs="Arial"/>
          <w:szCs w:val="20"/>
        </w:rPr>
        <w:t xml:space="preserve">s potrjenimi </w:t>
      </w:r>
      <w:r>
        <w:rPr>
          <w:rFonts w:cs="Arial"/>
          <w:szCs w:val="20"/>
        </w:rPr>
        <w:t>s</w:t>
      </w:r>
      <w:r w:rsidRPr="00DE2422">
        <w:rPr>
          <w:rFonts w:cs="Arial"/>
          <w:szCs w:val="20"/>
        </w:rPr>
        <w:t xml:space="preserve">trategijami lokalnega razvoja. Izbranih in potrjenih bo največ </w:t>
      </w:r>
      <w:r>
        <w:rPr>
          <w:rFonts w:cs="Arial"/>
          <w:szCs w:val="20"/>
        </w:rPr>
        <w:t>šest</w:t>
      </w:r>
      <w:r w:rsidRPr="00DE2422">
        <w:rPr>
          <w:rFonts w:cs="Arial"/>
          <w:szCs w:val="20"/>
        </w:rPr>
        <w:t xml:space="preserve"> LASR, od tega ena na obali in </w:t>
      </w:r>
      <w:r>
        <w:rPr>
          <w:rFonts w:cs="Arial"/>
          <w:szCs w:val="20"/>
        </w:rPr>
        <w:t>pet</w:t>
      </w:r>
      <w:r w:rsidRPr="00DE2422">
        <w:rPr>
          <w:rFonts w:cs="Arial"/>
          <w:szCs w:val="20"/>
        </w:rPr>
        <w:t xml:space="preserve"> na celinskem območju Republike Slovenije. Za izvajanje operacij, izbranih v okviru strategije lokalnega razvoja, vključno z operacijami sodelovanja, upravljanja, spremljanja in vrednotenja strategije ter njene animacije, je v Programu za izvajanje Evropskega sklada za pomorstvo, ribištvo in akvakulturo 2021</w:t>
      </w:r>
      <w:r>
        <w:rPr>
          <w:rFonts w:cs="Arial"/>
          <w:szCs w:val="20"/>
        </w:rPr>
        <w:t>–</w:t>
      </w:r>
      <w:r w:rsidRPr="00DE2422">
        <w:rPr>
          <w:rFonts w:cs="Arial"/>
          <w:szCs w:val="20"/>
        </w:rPr>
        <w:t>2027 (v nadalj</w:t>
      </w:r>
      <w:r>
        <w:rPr>
          <w:rFonts w:cs="Arial"/>
          <w:szCs w:val="20"/>
        </w:rPr>
        <w:t>njem besedilu</w:t>
      </w:r>
      <w:r w:rsidRPr="00DE2422">
        <w:rPr>
          <w:rFonts w:cs="Arial"/>
          <w:szCs w:val="20"/>
        </w:rPr>
        <w:t xml:space="preserve">: </w:t>
      </w:r>
      <w:r>
        <w:rPr>
          <w:rFonts w:cs="Arial"/>
          <w:szCs w:val="20"/>
        </w:rPr>
        <w:t>program</w:t>
      </w:r>
      <w:r w:rsidRPr="00DE2422">
        <w:rPr>
          <w:rFonts w:cs="Arial"/>
          <w:szCs w:val="20"/>
        </w:rPr>
        <w:t xml:space="preserve"> ESPRA 2021</w:t>
      </w:r>
      <w:r>
        <w:rPr>
          <w:rFonts w:cs="Arial"/>
          <w:szCs w:val="20"/>
        </w:rPr>
        <w:t>–</w:t>
      </w:r>
      <w:r w:rsidRPr="00DE2422">
        <w:rPr>
          <w:rFonts w:cs="Arial"/>
          <w:szCs w:val="20"/>
        </w:rPr>
        <w:t xml:space="preserve">2027) predvidenih 12.131.062 </w:t>
      </w:r>
      <w:r>
        <w:rPr>
          <w:rFonts w:cs="Arial"/>
          <w:szCs w:val="20"/>
        </w:rPr>
        <w:t xml:space="preserve">eurov </w:t>
      </w:r>
      <w:r w:rsidRPr="00DE2422">
        <w:rPr>
          <w:rFonts w:cs="Arial"/>
          <w:szCs w:val="20"/>
        </w:rPr>
        <w:t xml:space="preserve">skupnih javnih sredstev, od tega 8.491.743,40 </w:t>
      </w:r>
      <w:r>
        <w:rPr>
          <w:rFonts w:cs="Arial"/>
          <w:szCs w:val="20"/>
        </w:rPr>
        <w:t>eura</w:t>
      </w:r>
      <w:r w:rsidRPr="00DE2422">
        <w:rPr>
          <w:rFonts w:cs="Arial"/>
          <w:szCs w:val="20"/>
        </w:rPr>
        <w:t xml:space="preserve"> sredstev</w:t>
      </w:r>
      <w:r>
        <w:rPr>
          <w:rFonts w:cs="Arial"/>
          <w:szCs w:val="20"/>
        </w:rPr>
        <w:t xml:space="preserve"> Evropske unije</w:t>
      </w:r>
      <w:r w:rsidRPr="00DE2422">
        <w:rPr>
          <w:rFonts w:cs="Arial"/>
          <w:szCs w:val="20"/>
        </w:rPr>
        <w:t xml:space="preserve">. </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Na podlagi 34. člena Uredbe 2021/1060 (EU) je država članica, ki izvaja CLLD</w:t>
      </w:r>
      <w:r>
        <w:rPr>
          <w:rFonts w:cs="Arial"/>
          <w:szCs w:val="20"/>
        </w:rPr>
        <w:t>,</w:t>
      </w:r>
      <w:r w:rsidRPr="00DE2422">
        <w:rPr>
          <w:rFonts w:cs="Arial"/>
          <w:szCs w:val="20"/>
        </w:rPr>
        <w:t xml:space="preserve"> dolžna zagotoviti finančno podporo za izvajanje ukrepa CLLD, ki zajema: </w:t>
      </w:r>
    </w:p>
    <w:p w:rsidR="009228E0" w:rsidRPr="00DE2422" w:rsidRDefault="009228E0" w:rsidP="009228E0">
      <w:pPr>
        <w:pStyle w:val="Odstavekseznama"/>
        <w:numPr>
          <w:ilvl w:val="0"/>
          <w:numId w:val="13"/>
        </w:numPr>
        <w:spacing w:before="120" w:line="300" w:lineRule="exact"/>
        <w:ind w:left="714" w:hanging="357"/>
        <w:rPr>
          <w:rFonts w:ascii="Arial" w:hAnsi="Arial" w:cs="Arial"/>
          <w:sz w:val="20"/>
        </w:rPr>
      </w:pPr>
      <w:r>
        <w:rPr>
          <w:rFonts w:ascii="Arial" w:hAnsi="Arial" w:cs="Arial"/>
          <w:sz w:val="20"/>
        </w:rPr>
        <w:t>k</w:t>
      </w:r>
      <w:r w:rsidRPr="00DE2422">
        <w:rPr>
          <w:rFonts w:ascii="Arial" w:hAnsi="Arial" w:cs="Arial"/>
          <w:sz w:val="20"/>
        </w:rPr>
        <w:t>repitev zmogljivosti in pripravljalne ukrepe v podporo oblikovanju in prihodnjemu izvajanju strategije (pripravljalna podpora)</w:t>
      </w:r>
      <w:r>
        <w:rPr>
          <w:rFonts w:ascii="Arial" w:hAnsi="Arial" w:cs="Arial"/>
          <w:sz w:val="20"/>
        </w:rPr>
        <w:t>,</w:t>
      </w:r>
    </w:p>
    <w:p w:rsidR="009228E0" w:rsidRPr="00DE2422" w:rsidRDefault="009228E0" w:rsidP="009228E0">
      <w:pPr>
        <w:pStyle w:val="Odstavekseznama"/>
        <w:numPr>
          <w:ilvl w:val="0"/>
          <w:numId w:val="13"/>
        </w:numPr>
        <w:spacing w:before="120" w:line="300" w:lineRule="exact"/>
        <w:ind w:left="714" w:hanging="357"/>
        <w:contextualSpacing w:val="0"/>
        <w:rPr>
          <w:rFonts w:ascii="Arial" w:hAnsi="Arial" w:cs="Arial"/>
          <w:sz w:val="20"/>
        </w:rPr>
      </w:pPr>
      <w:r>
        <w:rPr>
          <w:rFonts w:ascii="Arial" w:hAnsi="Arial" w:cs="Arial"/>
          <w:sz w:val="20"/>
        </w:rPr>
        <w:t>i</w:t>
      </w:r>
      <w:r w:rsidRPr="00DE2422">
        <w:rPr>
          <w:rFonts w:ascii="Arial" w:hAnsi="Arial" w:cs="Arial"/>
          <w:sz w:val="20"/>
        </w:rPr>
        <w:t>zvajanje operacij, vključno z dejavnostmi sodelovanja in njihovo pripravo, izbranih v okviru strategije</w:t>
      </w:r>
      <w:r>
        <w:rPr>
          <w:rFonts w:ascii="Arial" w:hAnsi="Arial" w:cs="Arial"/>
          <w:sz w:val="20"/>
        </w:rPr>
        <w:t>,</w:t>
      </w:r>
    </w:p>
    <w:p w:rsidR="009228E0" w:rsidRPr="00DE2422" w:rsidRDefault="009228E0" w:rsidP="009228E0">
      <w:pPr>
        <w:pStyle w:val="Odstavekseznama"/>
        <w:numPr>
          <w:ilvl w:val="0"/>
          <w:numId w:val="13"/>
        </w:numPr>
        <w:spacing w:before="120" w:line="300" w:lineRule="exact"/>
        <w:ind w:left="714" w:hanging="357"/>
        <w:contextualSpacing w:val="0"/>
        <w:rPr>
          <w:rFonts w:ascii="Arial" w:hAnsi="Arial" w:cs="Arial"/>
          <w:sz w:val="20"/>
        </w:rPr>
      </w:pPr>
      <w:r>
        <w:rPr>
          <w:rFonts w:ascii="Arial" w:hAnsi="Arial" w:cs="Arial"/>
          <w:sz w:val="20"/>
        </w:rPr>
        <w:t>u</w:t>
      </w:r>
      <w:r w:rsidRPr="00DE2422">
        <w:rPr>
          <w:rFonts w:ascii="Arial" w:hAnsi="Arial" w:cs="Arial"/>
          <w:sz w:val="20"/>
        </w:rPr>
        <w:t>pravljanje, spremljanje in vrednotenje strategije ter njene animacije, vključno z olajševanjem izmenjav med deležniki.</w:t>
      </w:r>
    </w:p>
    <w:p w:rsidR="009228E0" w:rsidRPr="009228E0" w:rsidRDefault="009228E0" w:rsidP="009228E0">
      <w:pPr>
        <w:spacing w:line="300" w:lineRule="exact"/>
        <w:jc w:val="both"/>
        <w:rPr>
          <w:rFonts w:cs="Arial"/>
          <w:szCs w:val="20"/>
          <w:lang w:val="sl-SI"/>
        </w:rPr>
      </w:pPr>
    </w:p>
    <w:p w:rsidR="009228E0" w:rsidRPr="009228E0" w:rsidRDefault="009228E0" w:rsidP="009228E0">
      <w:pPr>
        <w:spacing w:line="300" w:lineRule="exact"/>
        <w:jc w:val="both"/>
        <w:rPr>
          <w:rFonts w:cs="Arial"/>
          <w:szCs w:val="20"/>
          <w:lang w:val="sl-SI"/>
        </w:rPr>
      </w:pPr>
      <w:r w:rsidRPr="009228E0">
        <w:rPr>
          <w:rFonts w:cs="Arial"/>
          <w:szCs w:val="20"/>
          <w:lang w:val="sl-SI"/>
        </w:rPr>
        <w:t>Dokument predstavlja način razdelitve oziroma metodologijo za dodelitev finančnih sredstev iz programa ESPRA 2021–2027 za izvajanje operacij, vključno z dejavnostmi sodelovanja in njihovo pripravo, izbranih v okviru strategije, ter upravljanje, spremljanje in vrednotenje strategije in njene animacije, vključno z olajševanjem izmenjav med deležniki, za izbrane in potrjene posamezne LASR.</w:t>
      </w:r>
    </w:p>
    <w:p w:rsidR="009228E0" w:rsidRPr="009228E0" w:rsidRDefault="009228E0" w:rsidP="009228E0">
      <w:pPr>
        <w:spacing w:line="300" w:lineRule="exact"/>
        <w:jc w:val="both"/>
        <w:rPr>
          <w:rFonts w:cs="Arial"/>
          <w:szCs w:val="20"/>
          <w:lang w:val="sl-SI"/>
        </w:rPr>
      </w:pPr>
      <w:r w:rsidRPr="009228E0">
        <w:rPr>
          <w:rFonts w:cs="Arial"/>
          <w:szCs w:val="20"/>
          <w:lang w:val="sl-SI"/>
        </w:rPr>
        <w:t>Pri tem je izvzeta podpora za krepitev zmogljivosti in pripravljalne ukrepe v podporo oblikovanju in prihodnjemu izvajanju strategije (pripravljalna podpora), za katero je bila predhodno že izdelana ločena metodologija za dodelitev sredstev.</w:t>
      </w:r>
    </w:p>
    <w:p w:rsidR="009228E0" w:rsidRPr="009228E0" w:rsidRDefault="009228E0" w:rsidP="009228E0">
      <w:pPr>
        <w:spacing w:line="300" w:lineRule="exact"/>
        <w:jc w:val="both"/>
        <w:rPr>
          <w:rFonts w:cs="Arial"/>
          <w:szCs w:val="20"/>
          <w:lang w:val="sl-SI"/>
        </w:rPr>
      </w:pPr>
    </w:p>
    <w:p w:rsidR="009228E0" w:rsidRPr="009228E0" w:rsidRDefault="009228E0" w:rsidP="009228E0">
      <w:pPr>
        <w:spacing w:line="300" w:lineRule="exact"/>
        <w:jc w:val="both"/>
        <w:rPr>
          <w:rFonts w:cs="Arial"/>
          <w:szCs w:val="20"/>
          <w:lang w:val="sl-SI"/>
        </w:rPr>
      </w:pPr>
      <w:r w:rsidRPr="009228E0">
        <w:rPr>
          <w:rFonts w:cs="Arial"/>
          <w:szCs w:val="20"/>
          <w:lang w:val="sl-SI"/>
        </w:rPr>
        <w:t xml:space="preserve">Pri pripravi in izboru metodologije za izdelavo finančnega okvira za posamezno LASR za dodelitev finančnih sredstev so bili upoštevani naslednji izhodiščni kriteriji: </w:t>
      </w:r>
    </w:p>
    <w:p w:rsidR="009228E0" w:rsidRPr="00DE2422" w:rsidRDefault="009228E0" w:rsidP="009228E0">
      <w:pPr>
        <w:pStyle w:val="Odstavekseznama"/>
        <w:numPr>
          <w:ilvl w:val="0"/>
          <w:numId w:val="17"/>
        </w:numPr>
        <w:spacing w:before="120" w:line="300" w:lineRule="exact"/>
        <w:contextualSpacing w:val="0"/>
        <w:rPr>
          <w:rFonts w:ascii="Arial" w:hAnsi="Arial" w:cs="Arial"/>
          <w:sz w:val="20"/>
        </w:rPr>
      </w:pPr>
      <w:r w:rsidRPr="00DE2422">
        <w:rPr>
          <w:rFonts w:ascii="Arial" w:hAnsi="Arial" w:cs="Arial"/>
          <w:sz w:val="20"/>
        </w:rPr>
        <w:t>predvidena višina skupnih javnih sredstev za izvajanje ukrepa CLLD iz ESPRA 2021</w:t>
      </w:r>
      <w:r>
        <w:rPr>
          <w:rFonts w:ascii="Arial" w:hAnsi="Arial" w:cs="Arial"/>
          <w:sz w:val="20"/>
        </w:rPr>
        <w:t>–</w:t>
      </w:r>
      <w:r w:rsidRPr="00DE2422">
        <w:rPr>
          <w:rFonts w:ascii="Arial" w:hAnsi="Arial" w:cs="Arial"/>
          <w:sz w:val="20"/>
        </w:rPr>
        <w:t>2027 je 12.131.062,00</w:t>
      </w:r>
      <w:r w:rsidRPr="00DE2422">
        <w:rPr>
          <w:rStyle w:val="Pripombasklic"/>
          <w:sz w:val="20"/>
        </w:rPr>
        <w:t/>
      </w:r>
      <w:r w:rsidRPr="00DE2422">
        <w:rPr>
          <w:rFonts w:ascii="Arial" w:hAnsi="Arial" w:cs="Arial"/>
          <w:sz w:val="20"/>
        </w:rPr>
        <w:t xml:space="preserve"> </w:t>
      </w:r>
      <w:r>
        <w:rPr>
          <w:rFonts w:ascii="Arial" w:hAnsi="Arial" w:cs="Arial"/>
          <w:sz w:val="20"/>
        </w:rPr>
        <w:t>eura</w:t>
      </w:r>
      <w:r w:rsidRPr="00DE2422">
        <w:rPr>
          <w:rFonts w:ascii="Arial" w:hAnsi="Arial" w:cs="Arial"/>
          <w:sz w:val="20"/>
        </w:rPr>
        <w:t xml:space="preserve"> skupnih javnih sredstev; </w:t>
      </w:r>
    </w:p>
    <w:p w:rsidR="009228E0" w:rsidRPr="00DE2422" w:rsidRDefault="009228E0" w:rsidP="009228E0">
      <w:pPr>
        <w:pStyle w:val="Odstavekseznama"/>
        <w:numPr>
          <w:ilvl w:val="0"/>
          <w:numId w:val="17"/>
        </w:numPr>
        <w:spacing w:before="120" w:line="300" w:lineRule="exact"/>
        <w:contextualSpacing w:val="0"/>
        <w:rPr>
          <w:rFonts w:ascii="Arial" w:hAnsi="Arial" w:cs="Arial"/>
          <w:sz w:val="20"/>
        </w:rPr>
      </w:pPr>
      <w:r w:rsidRPr="00DE2422">
        <w:rPr>
          <w:rFonts w:ascii="Arial" w:hAnsi="Arial" w:cs="Arial"/>
          <w:sz w:val="20"/>
        </w:rPr>
        <w:t xml:space="preserve">odločitev </w:t>
      </w:r>
      <w:r>
        <w:rPr>
          <w:rFonts w:ascii="Arial" w:hAnsi="Arial" w:cs="Arial"/>
          <w:sz w:val="20"/>
        </w:rPr>
        <w:t>o</w:t>
      </w:r>
      <w:r w:rsidRPr="00DE2422">
        <w:rPr>
          <w:rFonts w:ascii="Arial" w:hAnsi="Arial" w:cs="Arial"/>
          <w:sz w:val="20"/>
        </w:rPr>
        <w:t>rgana upravljanja, da se bo glede na predvidena sredstva na ozemlju Republike Slovenije v programskem obdobju 2021</w:t>
      </w:r>
      <w:r>
        <w:rPr>
          <w:rFonts w:ascii="Arial" w:hAnsi="Arial" w:cs="Arial"/>
          <w:sz w:val="20"/>
        </w:rPr>
        <w:t>–</w:t>
      </w:r>
      <w:r w:rsidRPr="00DE2422">
        <w:rPr>
          <w:rFonts w:ascii="Arial" w:hAnsi="Arial" w:cs="Arial"/>
          <w:sz w:val="20"/>
        </w:rPr>
        <w:t xml:space="preserve">2027 potrdilo največ </w:t>
      </w:r>
      <w:r>
        <w:rPr>
          <w:rFonts w:ascii="Arial" w:hAnsi="Arial" w:cs="Arial"/>
          <w:sz w:val="20"/>
        </w:rPr>
        <w:t>šest</w:t>
      </w:r>
      <w:r w:rsidRPr="00DE2422">
        <w:rPr>
          <w:rFonts w:ascii="Arial" w:hAnsi="Arial" w:cs="Arial"/>
          <w:sz w:val="20"/>
        </w:rPr>
        <w:t xml:space="preserve"> LASR; </w:t>
      </w:r>
    </w:p>
    <w:p w:rsidR="009228E0" w:rsidRPr="00AF46A4" w:rsidRDefault="009228E0" w:rsidP="009228E0">
      <w:pPr>
        <w:pStyle w:val="Pripombabesedilo"/>
        <w:numPr>
          <w:ilvl w:val="0"/>
          <w:numId w:val="17"/>
        </w:numPr>
        <w:overflowPunct/>
        <w:autoSpaceDE/>
        <w:autoSpaceDN/>
        <w:adjustRightInd/>
        <w:spacing w:before="120" w:line="300" w:lineRule="exact"/>
        <w:textAlignment w:val="auto"/>
        <w:rPr>
          <w:rFonts w:ascii="Arial" w:hAnsi="Arial" w:cs="Arial"/>
        </w:rPr>
      </w:pPr>
      <w:r w:rsidRPr="00AF46A4">
        <w:rPr>
          <w:rFonts w:ascii="Arial" w:hAnsi="Arial" w:cs="Arial"/>
        </w:rPr>
        <w:t xml:space="preserve">skupno število polno zaposlenih oseb v </w:t>
      </w:r>
      <w:r>
        <w:rPr>
          <w:rFonts w:ascii="Arial" w:hAnsi="Arial" w:cs="Arial"/>
        </w:rPr>
        <w:t>s</w:t>
      </w:r>
      <w:r w:rsidRPr="00AF46A4">
        <w:rPr>
          <w:rFonts w:ascii="Arial" w:hAnsi="Arial" w:cs="Arial"/>
        </w:rPr>
        <w:t>ektorju ribištva za zadnje koledarsko leto 2021 (podatki SURS, vir: https://www.stat.si/StatWeb/News/Index/10488);</w:t>
      </w:r>
    </w:p>
    <w:p w:rsidR="009228E0" w:rsidRPr="00DE2422" w:rsidRDefault="009228E0" w:rsidP="009228E0">
      <w:pPr>
        <w:pStyle w:val="Odstavekseznama"/>
        <w:numPr>
          <w:ilvl w:val="0"/>
          <w:numId w:val="17"/>
        </w:numPr>
        <w:spacing w:before="120" w:line="300" w:lineRule="exact"/>
        <w:contextualSpacing w:val="0"/>
        <w:rPr>
          <w:rFonts w:ascii="Arial" w:hAnsi="Arial" w:cs="Arial"/>
          <w:sz w:val="20"/>
        </w:rPr>
      </w:pPr>
      <w:r w:rsidRPr="00DE2422">
        <w:rPr>
          <w:rFonts w:ascii="Arial" w:hAnsi="Arial" w:cs="Arial"/>
          <w:sz w:val="20"/>
        </w:rPr>
        <w:t>vrednotenje oz</w:t>
      </w:r>
      <w:r>
        <w:rPr>
          <w:rFonts w:ascii="Arial" w:hAnsi="Arial" w:cs="Arial"/>
          <w:sz w:val="20"/>
        </w:rPr>
        <w:t>iroma</w:t>
      </w:r>
      <w:r w:rsidRPr="00DE2422">
        <w:rPr>
          <w:rFonts w:ascii="Arial" w:hAnsi="Arial" w:cs="Arial"/>
          <w:sz w:val="20"/>
        </w:rPr>
        <w:t xml:space="preserve"> razdelitev Sektorja za ribištvo na podlagi dveh podenot (akvakultura in morsko ribištvo).</w:t>
      </w:r>
    </w:p>
    <w:p w:rsidR="009228E0" w:rsidRPr="009228E0" w:rsidRDefault="009228E0" w:rsidP="009228E0">
      <w:pPr>
        <w:spacing w:line="300" w:lineRule="exact"/>
        <w:jc w:val="both"/>
        <w:rPr>
          <w:rFonts w:cs="Arial"/>
          <w:szCs w:val="20"/>
          <w:lang w:val="sl-SI"/>
        </w:rPr>
      </w:pPr>
    </w:p>
    <w:p w:rsidR="009228E0" w:rsidRPr="00932BB1" w:rsidRDefault="009228E0" w:rsidP="009228E0">
      <w:pPr>
        <w:pStyle w:val="Podnaslov"/>
        <w:keepNext/>
        <w:numPr>
          <w:ilvl w:val="0"/>
          <w:numId w:val="15"/>
        </w:numPr>
        <w:spacing w:before="240" w:after="60" w:line="260" w:lineRule="atLeast"/>
        <w:jc w:val="both"/>
        <w:outlineLvl w:val="1"/>
        <w:rPr>
          <w:rFonts w:cs="Arial"/>
          <w:color w:val="000000"/>
          <w:sz w:val="20"/>
          <w:szCs w:val="20"/>
        </w:rPr>
      </w:pPr>
      <w:bookmarkStart w:id="7" w:name="_Toc126240642"/>
      <w:bookmarkStart w:id="8" w:name="_Toc129953983"/>
      <w:r w:rsidRPr="00932BB1">
        <w:rPr>
          <w:rFonts w:cs="Arial"/>
          <w:color w:val="000000"/>
          <w:sz w:val="20"/>
          <w:szCs w:val="20"/>
        </w:rPr>
        <w:t>Upoštevanje kriterija števila potrjenih LASR</w:t>
      </w:r>
      <w:bookmarkEnd w:id="7"/>
      <w:bookmarkEnd w:id="8"/>
      <w:r w:rsidRPr="00932BB1">
        <w:rPr>
          <w:rFonts w:cs="Arial"/>
          <w:color w:val="000000"/>
          <w:sz w:val="20"/>
          <w:szCs w:val="20"/>
        </w:rPr>
        <w:t xml:space="preserve"> </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Upoštevali smo kriterij, da bo v prihodnj</w:t>
      </w:r>
      <w:r>
        <w:rPr>
          <w:rFonts w:cs="Arial"/>
          <w:szCs w:val="20"/>
        </w:rPr>
        <w:t>em</w:t>
      </w:r>
      <w:r w:rsidRPr="00DE2422">
        <w:rPr>
          <w:rFonts w:cs="Arial"/>
          <w:szCs w:val="20"/>
        </w:rPr>
        <w:t xml:space="preserve"> finančn</w:t>
      </w:r>
      <w:r>
        <w:rPr>
          <w:rFonts w:cs="Arial"/>
          <w:szCs w:val="20"/>
        </w:rPr>
        <w:t>em</w:t>
      </w:r>
      <w:r w:rsidRPr="00DE2422">
        <w:rPr>
          <w:rFonts w:cs="Arial"/>
          <w:szCs w:val="20"/>
        </w:rPr>
        <w:t xml:space="preserve"> </w:t>
      </w:r>
      <w:r>
        <w:rPr>
          <w:rFonts w:cs="Arial"/>
          <w:szCs w:val="20"/>
        </w:rPr>
        <w:t>obdobju</w:t>
      </w:r>
      <w:r w:rsidRPr="00DE2422">
        <w:rPr>
          <w:rFonts w:cs="Arial"/>
          <w:szCs w:val="20"/>
        </w:rPr>
        <w:t xml:space="preserve"> 2021–2027 za izvajanje CLLD skupno potrjenih največ </w:t>
      </w:r>
      <w:r>
        <w:rPr>
          <w:rFonts w:cs="Arial"/>
          <w:szCs w:val="20"/>
        </w:rPr>
        <w:t>šest</w:t>
      </w:r>
      <w:r w:rsidRPr="00DE2422">
        <w:rPr>
          <w:rFonts w:cs="Arial"/>
          <w:szCs w:val="20"/>
        </w:rPr>
        <w:t xml:space="preserve"> LASR, od tega </w:t>
      </w:r>
      <w:r>
        <w:rPr>
          <w:rFonts w:cs="Arial"/>
          <w:szCs w:val="20"/>
        </w:rPr>
        <w:t>pet</w:t>
      </w:r>
      <w:r w:rsidRPr="00DE2422">
        <w:rPr>
          <w:rFonts w:cs="Arial"/>
          <w:szCs w:val="20"/>
        </w:rPr>
        <w:t xml:space="preserve"> na celinskem območju </w:t>
      </w:r>
      <w:r>
        <w:rPr>
          <w:rFonts w:cs="Arial"/>
          <w:szCs w:val="20"/>
        </w:rPr>
        <w:t>in ena</w:t>
      </w:r>
      <w:r w:rsidRPr="00DE2422">
        <w:rPr>
          <w:rFonts w:cs="Arial"/>
          <w:szCs w:val="20"/>
        </w:rPr>
        <w:t xml:space="preserve"> na obalnem. </w:t>
      </w:r>
    </w:p>
    <w:p w:rsidR="009228E0" w:rsidRPr="00DE2422" w:rsidRDefault="009228E0" w:rsidP="009228E0">
      <w:pPr>
        <w:spacing w:line="300" w:lineRule="exact"/>
        <w:jc w:val="both"/>
        <w:rPr>
          <w:rFonts w:cs="Arial"/>
          <w:szCs w:val="20"/>
        </w:rPr>
      </w:pPr>
    </w:p>
    <w:p w:rsidR="009228E0" w:rsidRPr="00932BB1" w:rsidRDefault="009228E0" w:rsidP="009228E0">
      <w:pPr>
        <w:pStyle w:val="Podnaslov"/>
        <w:keepNext/>
        <w:numPr>
          <w:ilvl w:val="0"/>
          <w:numId w:val="15"/>
        </w:numPr>
        <w:spacing w:before="240" w:after="60" w:line="260" w:lineRule="atLeast"/>
        <w:jc w:val="both"/>
        <w:outlineLvl w:val="1"/>
        <w:rPr>
          <w:rFonts w:cs="Arial"/>
          <w:color w:val="000000"/>
          <w:sz w:val="20"/>
          <w:szCs w:val="20"/>
        </w:rPr>
      </w:pPr>
      <w:bookmarkStart w:id="9" w:name="_Toc126240643"/>
      <w:bookmarkStart w:id="10" w:name="_Toc129953984"/>
      <w:r w:rsidRPr="00932BB1">
        <w:rPr>
          <w:rFonts w:cs="Arial"/>
          <w:color w:val="000000"/>
          <w:sz w:val="20"/>
          <w:szCs w:val="20"/>
        </w:rPr>
        <w:t>Upoštevanje kriterija delitve Sektorja za ribištvo na dve podenoti</w:t>
      </w:r>
      <w:bookmarkEnd w:id="9"/>
      <w:bookmarkEnd w:id="10"/>
    </w:p>
    <w:p w:rsidR="009228E0" w:rsidRPr="009228E0" w:rsidRDefault="009228E0" w:rsidP="009228E0">
      <w:pPr>
        <w:spacing w:before="120" w:line="300" w:lineRule="exact"/>
        <w:jc w:val="both"/>
        <w:rPr>
          <w:rFonts w:cs="Arial"/>
          <w:szCs w:val="20"/>
          <w:lang w:val="sl-SI"/>
        </w:rPr>
      </w:pPr>
      <w:r w:rsidRPr="009228E0">
        <w:rPr>
          <w:rFonts w:cs="Arial"/>
          <w:szCs w:val="20"/>
          <w:lang w:val="sl-SI"/>
        </w:rPr>
        <w:t>– Podenota morski gospodarski ribolov in marikultura/akvakultura (obalna LASR),</w:t>
      </w:r>
    </w:p>
    <w:p w:rsidR="009228E0" w:rsidRPr="009228E0" w:rsidRDefault="009228E0" w:rsidP="009228E0">
      <w:pPr>
        <w:spacing w:before="120" w:line="300" w:lineRule="exact"/>
        <w:jc w:val="both"/>
        <w:rPr>
          <w:rFonts w:cs="Arial"/>
          <w:szCs w:val="20"/>
          <w:lang w:val="sl-SI"/>
        </w:rPr>
      </w:pPr>
      <w:r w:rsidRPr="009228E0">
        <w:rPr>
          <w:rFonts w:cs="Arial"/>
          <w:szCs w:val="20"/>
          <w:lang w:val="sl-SI"/>
        </w:rPr>
        <w:t>– podenota akvakultura (celinske LASR).</w:t>
      </w:r>
    </w:p>
    <w:p w:rsidR="009228E0" w:rsidRPr="009228E0" w:rsidRDefault="009228E0" w:rsidP="009228E0">
      <w:pPr>
        <w:spacing w:line="300" w:lineRule="exact"/>
        <w:jc w:val="both"/>
        <w:rPr>
          <w:rFonts w:cs="Arial"/>
          <w:szCs w:val="20"/>
          <w:lang w:val="sl-SI"/>
        </w:rPr>
      </w:pPr>
    </w:p>
    <w:p w:rsidR="009228E0" w:rsidRPr="00932BB1" w:rsidRDefault="009228E0" w:rsidP="009228E0">
      <w:pPr>
        <w:pStyle w:val="Podnaslov"/>
        <w:keepNext/>
        <w:numPr>
          <w:ilvl w:val="0"/>
          <w:numId w:val="15"/>
        </w:numPr>
        <w:spacing w:before="240" w:after="60" w:line="260" w:lineRule="atLeast"/>
        <w:jc w:val="both"/>
        <w:outlineLvl w:val="1"/>
        <w:rPr>
          <w:rFonts w:cs="Arial"/>
          <w:color w:val="000000"/>
          <w:sz w:val="20"/>
          <w:szCs w:val="20"/>
        </w:rPr>
      </w:pPr>
      <w:bookmarkStart w:id="11" w:name="_Toc126240644"/>
      <w:bookmarkStart w:id="12" w:name="_Toc129953985"/>
      <w:r w:rsidRPr="00932BB1">
        <w:rPr>
          <w:rFonts w:cs="Arial"/>
          <w:color w:val="000000"/>
          <w:sz w:val="20"/>
          <w:szCs w:val="20"/>
        </w:rPr>
        <w:t>Upoštevanje kriterija število zaposlenih oseb v Sektorju za ribištvo</w:t>
      </w:r>
      <w:bookmarkEnd w:id="11"/>
      <w:bookmarkEnd w:id="12"/>
    </w:p>
    <w:p w:rsidR="009228E0" w:rsidRPr="00DE2422" w:rsidRDefault="009228E0" w:rsidP="009228E0">
      <w:pPr>
        <w:pStyle w:val="Pripombabesedilo"/>
        <w:spacing w:line="300" w:lineRule="exact"/>
        <w:rPr>
          <w:rFonts w:cs="Arial"/>
        </w:rPr>
      </w:pPr>
    </w:p>
    <w:p w:rsidR="009228E0" w:rsidRPr="00AF46A4" w:rsidRDefault="009228E0" w:rsidP="009228E0">
      <w:pPr>
        <w:pStyle w:val="Pripombabesedilo"/>
        <w:spacing w:line="300" w:lineRule="exact"/>
        <w:rPr>
          <w:rFonts w:ascii="Arial" w:hAnsi="Arial" w:cs="Arial"/>
        </w:rPr>
      </w:pPr>
      <w:r w:rsidRPr="00AF46A4">
        <w:rPr>
          <w:rFonts w:ascii="Arial" w:hAnsi="Arial" w:cs="Arial"/>
        </w:rPr>
        <w:t>Upoštevalo se je skupno število polno zaposlenih oseb v Sektorju za ribištvo za zadnje koledarsko leto (SURS, 2021 vir: https://www.stat.si/StatWeb/News/Index/10488), ki je 276. Od tega je 124 zaposlenih v sektorju morskega gospodarskega ribolova in marikulture ter 152 v sektorju celinske (sladkovodne) akvakulture.</w:t>
      </w:r>
    </w:p>
    <w:p w:rsidR="009228E0" w:rsidRPr="009228E0" w:rsidRDefault="009228E0" w:rsidP="009228E0">
      <w:pPr>
        <w:spacing w:line="300" w:lineRule="exact"/>
        <w:jc w:val="both"/>
        <w:rPr>
          <w:rFonts w:cs="Arial"/>
          <w:szCs w:val="20"/>
          <w:lang w:val="sl-SI"/>
        </w:rPr>
      </w:pPr>
    </w:p>
    <w:p w:rsidR="009228E0" w:rsidRPr="00DE2422" w:rsidRDefault="009228E0" w:rsidP="009228E0">
      <w:pPr>
        <w:pStyle w:val="Naslov1"/>
      </w:pPr>
      <w:r w:rsidRPr="00DE2422">
        <w:br w:type="page"/>
      </w:r>
      <w:bookmarkStart w:id="13" w:name="_Toc126240645"/>
      <w:bookmarkStart w:id="14" w:name="_Toc129953986"/>
      <w:r w:rsidRPr="00DE2422">
        <w:t>2. Postopek izračuna dodelitve finančnih sredstev po posameznih LASR</w:t>
      </w:r>
      <w:bookmarkEnd w:id="13"/>
      <w:bookmarkEnd w:id="14"/>
      <w:r w:rsidRPr="00DE2422">
        <w:t xml:space="preserve"> </w:t>
      </w:r>
    </w:p>
    <w:p w:rsidR="009228E0" w:rsidRPr="00DE2422" w:rsidRDefault="009228E0" w:rsidP="009228E0">
      <w:pPr>
        <w:spacing w:line="300" w:lineRule="exact"/>
        <w:jc w:val="both"/>
        <w:rPr>
          <w:rFonts w:cs="Arial"/>
          <w:b/>
          <w:szCs w:val="20"/>
        </w:rPr>
      </w:pPr>
    </w:p>
    <w:p w:rsidR="009228E0" w:rsidRPr="00932BB1" w:rsidRDefault="009228E0" w:rsidP="009228E0">
      <w:pPr>
        <w:pStyle w:val="Podnaslov"/>
        <w:keepNext/>
        <w:numPr>
          <w:ilvl w:val="0"/>
          <w:numId w:val="16"/>
        </w:numPr>
        <w:spacing w:before="240" w:after="60" w:line="260" w:lineRule="atLeast"/>
        <w:jc w:val="both"/>
        <w:outlineLvl w:val="1"/>
        <w:rPr>
          <w:rFonts w:cs="Arial"/>
          <w:color w:val="000000"/>
          <w:sz w:val="20"/>
          <w:szCs w:val="20"/>
        </w:rPr>
      </w:pPr>
      <w:bookmarkStart w:id="15" w:name="_Toc126240646"/>
      <w:bookmarkStart w:id="16" w:name="_Toc129953987"/>
      <w:r w:rsidRPr="00932BB1">
        <w:rPr>
          <w:rFonts w:cs="Arial"/>
          <w:color w:val="000000"/>
          <w:sz w:val="20"/>
          <w:szCs w:val="20"/>
        </w:rPr>
        <w:t>Osnovna razdelitev podpore izvajanje operacij, vključno z dejavnostmi sodelovanja in njihovo pripravo, izbranih v okviru strategije, in podpore upravljanje, spremljanje in vrednotenje strategije ter njene animacije, vključno z olajševanjem izmenjav med deležniki</w:t>
      </w:r>
      <w:bookmarkEnd w:id="15"/>
      <w:bookmarkEnd w:id="16"/>
    </w:p>
    <w:p w:rsidR="009228E0" w:rsidRPr="00932BB1" w:rsidRDefault="009228E0" w:rsidP="009228E0">
      <w:pPr>
        <w:spacing w:line="300" w:lineRule="exact"/>
        <w:jc w:val="both"/>
        <w:rPr>
          <w:rFonts w:cs="Arial"/>
          <w:color w:val="000000"/>
          <w:szCs w:val="20"/>
        </w:rPr>
      </w:pPr>
    </w:p>
    <w:p w:rsidR="009228E0" w:rsidRPr="00DE2422" w:rsidRDefault="009228E0" w:rsidP="009228E0">
      <w:pPr>
        <w:spacing w:line="300" w:lineRule="exact"/>
        <w:jc w:val="both"/>
        <w:rPr>
          <w:rFonts w:cs="Arial"/>
          <w:szCs w:val="20"/>
        </w:rPr>
      </w:pPr>
      <w:r w:rsidRPr="00DE2422">
        <w:rPr>
          <w:rFonts w:cs="Arial"/>
          <w:szCs w:val="20"/>
        </w:rPr>
        <w:t xml:space="preserve">Pri določanju metodologije za izračun sredstev smo izhajali iz </w:t>
      </w:r>
      <w:r>
        <w:rPr>
          <w:rFonts w:cs="Arial"/>
          <w:szCs w:val="20"/>
        </w:rPr>
        <w:t>domneve</w:t>
      </w:r>
      <w:r w:rsidRPr="00DE2422">
        <w:rPr>
          <w:rFonts w:cs="Arial"/>
          <w:szCs w:val="20"/>
        </w:rPr>
        <w:t>, da imamo v prihodnj</w:t>
      </w:r>
      <w:r>
        <w:rPr>
          <w:rFonts w:cs="Arial"/>
          <w:szCs w:val="20"/>
        </w:rPr>
        <w:t>em</w:t>
      </w:r>
      <w:r w:rsidRPr="00DE2422">
        <w:rPr>
          <w:rFonts w:cs="Arial"/>
          <w:szCs w:val="20"/>
        </w:rPr>
        <w:t xml:space="preserve"> finančn</w:t>
      </w:r>
      <w:r>
        <w:rPr>
          <w:rFonts w:cs="Arial"/>
          <w:szCs w:val="20"/>
        </w:rPr>
        <w:t>em</w:t>
      </w:r>
      <w:r w:rsidRPr="00DE2422">
        <w:rPr>
          <w:rFonts w:cs="Arial"/>
          <w:szCs w:val="20"/>
        </w:rPr>
        <w:t xml:space="preserve"> </w:t>
      </w:r>
      <w:r>
        <w:rPr>
          <w:rFonts w:cs="Arial"/>
          <w:szCs w:val="20"/>
        </w:rPr>
        <w:t xml:space="preserve">obdobju </w:t>
      </w:r>
      <w:r w:rsidRPr="00DE2422">
        <w:rPr>
          <w:rFonts w:cs="Arial"/>
          <w:szCs w:val="20"/>
        </w:rPr>
        <w:t>za izvajanje ukrepov CLLD, brez pripravljalne podpore, na voljo skupno 12.131.062,00</w:t>
      </w:r>
      <w:r w:rsidRPr="00DE2422">
        <w:rPr>
          <w:rStyle w:val="Pripombasklic"/>
          <w:szCs w:val="20"/>
        </w:rPr>
        <w:t/>
      </w:r>
      <w:r w:rsidRPr="00DE2422">
        <w:rPr>
          <w:rFonts w:cs="Arial"/>
          <w:szCs w:val="20"/>
        </w:rPr>
        <w:t xml:space="preserve"> </w:t>
      </w:r>
      <w:r>
        <w:rPr>
          <w:rFonts w:cs="Arial"/>
          <w:szCs w:val="20"/>
        </w:rPr>
        <w:t>eura</w:t>
      </w:r>
      <w:r w:rsidRPr="00DE2422">
        <w:rPr>
          <w:rFonts w:cs="Arial"/>
          <w:szCs w:val="20"/>
        </w:rPr>
        <w:t xml:space="preserve"> skupnih javnih sredstev, od tega 8.491.743,40 </w:t>
      </w:r>
      <w:r>
        <w:rPr>
          <w:rFonts w:cs="Arial"/>
          <w:szCs w:val="20"/>
        </w:rPr>
        <w:t>eura</w:t>
      </w:r>
      <w:r w:rsidRPr="00DE2422">
        <w:rPr>
          <w:rFonts w:cs="Arial"/>
          <w:szCs w:val="20"/>
        </w:rPr>
        <w:t xml:space="preserve"> sredstev</w:t>
      </w:r>
      <w:r>
        <w:rPr>
          <w:rFonts w:cs="Arial"/>
          <w:szCs w:val="20"/>
        </w:rPr>
        <w:t xml:space="preserve"> Evropske unije</w:t>
      </w:r>
      <w:r w:rsidRPr="00DE2422">
        <w:rPr>
          <w:rFonts w:cs="Arial"/>
          <w:szCs w:val="20"/>
        </w:rPr>
        <w:t xml:space="preserve">. Predvidena finančna sredstva se najprej razdelijo tako, da se </w:t>
      </w:r>
      <w:r>
        <w:rPr>
          <w:rFonts w:cs="Arial"/>
          <w:szCs w:val="20"/>
        </w:rPr>
        <w:t xml:space="preserve">jih </w:t>
      </w:r>
      <w:r w:rsidRPr="00DE2422">
        <w:rPr>
          <w:rFonts w:cs="Arial"/>
          <w:szCs w:val="20"/>
        </w:rPr>
        <w:t xml:space="preserve">80 </w:t>
      </w:r>
      <w:r>
        <w:rPr>
          <w:rFonts w:cs="Arial"/>
          <w:szCs w:val="20"/>
        </w:rPr>
        <w:t>odstotkov</w:t>
      </w:r>
      <w:r w:rsidRPr="00DE2422">
        <w:rPr>
          <w:rFonts w:cs="Arial"/>
          <w:szCs w:val="20"/>
        </w:rPr>
        <w:t xml:space="preserve"> nameni za izvajanje operacij, vključno z dejavnostmi sodelovanja in njihovo pripravo, izbranih v okviru strategije upravljanje, spremljanje in vrednotenje strategije ter njene animacije, vključno z olajševanjem izmenjav med deležniki, kar znaša </w:t>
      </w:r>
      <w:r w:rsidRPr="00DE2422">
        <w:rPr>
          <w:rFonts w:cs="Arial"/>
          <w:b/>
          <w:szCs w:val="20"/>
        </w:rPr>
        <w:t>9.704.850,00</w:t>
      </w:r>
      <w:r w:rsidRPr="00DE2422" w:rsidDel="009E4C5A">
        <w:rPr>
          <w:rFonts w:cs="Arial"/>
          <w:b/>
          <w:szCs w:val="20"/>
        </w:rPr>
        <w:t xml:space="preserve"> </w:t>
      </w:r>
      <w:r>
        <w:rPr>
          <w:rFonts w:cs="Arial"/>
          <w:b/>
          <w:szCs w:val="20"/>
        </w:rPr>
        <w:t>eura</w:t>
      </w:r>
      <w:r w:rsidRPr="007D0694">
        <w:rPr>
          <w:rFonts w:cs="Arial"/>
          <w:szCs w:val="20"/>
        </w:rPr>
        <w:t xml:space="preserve">, </w:t>
      </w:r>
      <w:r w:rsidRPr="00DE2422">
        <w:rPr>
          <w:rFonts w:cs="Arial"/>
          <w:szCs w:val="20"/>
        </w:rPr>
        <w:t xml:space="preserve">ter vsaj 20 </w:t>
      </w:r>
      <w:r>
        <w:rPr>
          <w:rFonts w:cs="Arial"/>
          <w:szCs w:val="20"/>
        </w:rPr>
        <w:t>odstotkov</w:t>
      </w:r>
      <w:r w:rsidRPr="00DE2422">
        <w:rPr>
          <w:rFonts w:cs="Arial"/>
          <w:szCs w:val="20"/>
        </w:rPr>
        <w:t xml:space="preserve"> za upravljanje, spremljanje in vrednotenje strategije ter njene animacije, vključno z olajševanjem izmenjav med deležniki, za kar smo namenili </w:t>
      </w:r>
      <w:r w:rsidRPr="00DE2422">
        <w:rPr>
          <w:rFonts w:cs="Arial"/>
          <w:b/>
          <w:szCs w:val="20"/>
        </w:rPr>
        <w:t>2.426.212,00</w:t>
      </w:r>
      <w:r w:rsidRPr="00DE2422" w:rsidDel="009E4C5A">
        <w:rPr>
          <w:rFonts w:cs="Arial"/>
          <w:b/>
          <w:szCs w:val="20"/>
        </w:rPr>
        <w:t xml:space="preserve"> </w:t>
      </w:r>
      <w:r>
        <w:rPr>
          <w:rFonts w:cs="Arial"/>
          <w:b/>
          <w:szCs w:val="20"/>
        </w:rPr>
        <w:t>eura</w:t>
      </w:r>
      <w:r w:rsidRPr="00DE2422">
        <w:rPr>
          <w:rFonts w:cs="Arial"/>
          <w:szCs w:val="20"/>
        </w:rPr>
        <w:t xml:space="preserve">. </w:t>
      </w:r>
    </w:p>
    <w:p w:rsidR="009228E0" w:rsidRPr="00DE2422" w:rsidRDefault="009228E0" w:rsidP="009228E0">
      <w:pPr>
        <w:spacing w:line="300" w:lineRule="exact"/>
        <w:jc w:val="both"/>
        <w:rPr>
          <w:rFonts w:cs="Arial"/>
          <w:szCs w:val="20"/>
        </w:rPr>
      </w:pPr>
      <w:r>
        <w:rPr>
          <w:rFonts w:cs="Arial"/>
          <w:szCs w:val="20"/>
        </w:rPr>
        <w:t xml:space="preserve">V skladu </w:t>
      </w:r>
      <w:r w:rsidRPr="00DE2422">
        <w:rPr>
          <w:rFonts w:cs="Arial"/>
          <w:szCs w:val="20"/>
        </w:rPr>
        <w:t xml:space="preserve">z </w:t>
      </w:r>
      <w:r>
        <w:rPr>
          <w:rFonts w:cs="Arial"/>
          <w:szCs w:val="20"/>
        </w:rPr>
        <w:t>drugim</w:t>
      </w:r>
      <w:r w:rsidRPr="00DE2422">
        <w:rPr>
          <w:rFonts w:cs="Arial"/>
          <w:szCs w:val="20"/>
        </w:rPr>
        <w:t xml:space="preserve"> odstavkom 34. člena Uredbe 2021/1060/EU podpora za upravljanje, spremljanje in vrednotenje strategije ter njene animacije, vključno z olajševanjem izmenjav med deležniki</w:t>
      </w:r>
      <w:r>
        <w:rPr>
          <w:rFonts w:cs="Arial"/>
          <w:szCs w:val="20"/>
        </w:rPr>
        <w:t>,</w:t>
      </w:r>
      <w:r w:rsidRPr="00DE2422">
        <w:rPr>
          <w:rFonts w:cs="Arial"/>
          <w:szCs w:val="20"/>
        </w:rPr>
        <w:t xml:space="preserve"> ne presega 25 </w:t>
      </w:r>
      <w:r>
        <w:rPr>
          <w:rFonts w:cs="Arial"/>
          <w:szCs w:val="20"/>
        </w:rPr>
        <w:t>odstotkov</w:t>
      </w:r>
      <w:r w:rsidRPr="00DE2422">
        <w:rPr>
          <w:rFonts w:cs="Arial"/>
          <w:szCs w:val="20"/>
        </w:rPr>
        <w:t xml:space="preserve"> skupnega javnega prispevka k strategiji.</w:t>
      </w:r>
    </w:p>
    <w:p w:rsidR="009228E0" w:rsidRPr="00DE2422" w:rsidRDefault="009228E0" w:rsidP="009228E0">
      <w:pPr>
        <w:spacing w:line="300" w:lineRule="exact"/>
        <w:jc w:val="both"/>
        <w:rPr>
          <w:rFonts w:cs="Arial"/>
          <w:szCs w:val="20"/>
        </w:rPr>
      </w:pPr>
    </w:p>
    <w:p w:rsidR="009228E0" w:rsidRPr="00932BB1" w:rsidRDefault="009228E0" w:rsidP="009228E0">
      <w:pPr>
        <w:pStyle w:val="Podnaslov"/>
        <w:keepNext/>
        <w:numPr>
          <w:ilvl w:val="0"/>
          <w:numId w:val="15"/>
        </w:numPr>
        <w:spacing w:before="240" w:after="60" w:line="260" w:lineRule="atLeast"/>
        <w:jc w:val="both"/>
        <w:outlineLvl w:val="1"/>
        <w:rPr>
          <w:rFonts w:cs="Arial"/>
          <w:color w:val="000000"/>
          <w:sz w:val="20"/>
          <w:szCs w:val="20"/>
        </w:rPr>
      </w:pPr>
      <w:bookmarkStart w:id="17" w:name="_Toc126240647"/>
      <w:bookmarkStart w:id="18" w:name="_Toc129953988"/>
      <w:r w:rsidRPr="00932BB1">
        <w:rPr>
          <w:rFonts w:cs="Arial"/>
          <w:color w:val="000000"/>
          <w:sz w:val="20"/>
          <w:szCs w:val="20"/>
        </w:rPr>
        <w:t>Osnovna razdelitev sredstev za izvajanje SLR na tri dele: vrednotenje števila zaposlenih v sektorju, vrednotenje sektorja in enotni znesek, ki ga prejmejo vse LASR</w:t>
      </w:r>
      <w:bookmarkEnd w:id="17"/>
      <w:bookmarkEnd w:id="18"/>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Pr>
          <w:rFonts w:cs="Arial"/>
          <w:szCs w:val="20"/>
        </w:rPr>
        <w:t>Poleg tega</w:t>
      </w:r>
      <w:r w:rsidRPr="00DE2422">
        <w:rPr>
          <w:rFonts w:cs="Arial"/>
          <w:szCs w:val="20"/>
        </w:rPr>
        <w:t xml:space="preserve"> smo sredstva za izvajanje operacij SLR (9.704.850</w:t>
      </w:r>
      <w:r>
        <w:rPr>
          <w:rFonts w:cs="Arial"/>
          <w:szCs w:val="20"/>
        </w:rPr>
        <w:t>,00 eura</w:t>
      </w:r>
      <w:r w:rsidRPr="00DE2422">
        <w:rPr>
          <w:rFonts w:cs="Arial"/>
          <w:szCs w:val="20"/>
        </w:rPr>
        <w:t xml:space="preserve">) razdelili v </w:t>
      </w:r>
      <w:r>
        <w:rPr>
          <w:rFonts w:cs="Arial"/>
          <w:szCs w:val="20"/>
        </w:rPr>
        <w:t xml:space="preserve">naslednjem </w:t>
      </w:r>
      <w:r w:rsidRPr="00DE2422">
        <w:rPr>
          <w:rFonts w:cs="Arial"/>
          <w:szCs w:val="20"/>
        </w:rPr>
        <w:t>razmerju</w:t>
      </w:r>
      <w:r>
        <w:rPr>
          <w:rFonts w:cs="Arial"/>
          <w:szCs w:val="20"/>
        </w:rPr>
        <w:t>:</w:t>
      </w:r>
      <w:r w:rsidRPr="00DE2422">
        <w:rPr>
          <w:rFonts w:cs="Arial"/>
          <w:szCs w:val="20"/>
        </w:rPr>
        <w:t xml:space="preserve"> 33 </w:t>
      </w:r>
      <w:r>
        <w:rPr>
          <w:rFonts w:cs="Arial"/>
          <w:szCs w:val="20"/>
        </w:rPr>
        <w:t>odstotkov</w:t>
      </w:r>
      <w:r w:rsidRPr="00DE2422">
        <w:rPr>
          <w:rFonts w:cs="Arial"/>
          <w:szCs w:val="20"/>
        </w:rPr>
        <w:t xml:space="preserve"> </w:t>
      </w:r>
      <w:r>
        <w:rPr>
          <w:rFonts w:cs="Arial"/>
          <w:szCs w:val="20"/>
        </w:rPr>
        <w:t>z</w:t>
      </w:r>
      <w:r w:rsidRPr="00DE2422">
        <w:rPr>
          <w:rFonts w:cs="Arial"/>
          <w:szCs w:val="20"/>
        </w:rPr>
        <w:t xml:space="preserve">a zaposlene v Sektorju za ribištvo, kar je 3.202.600,50 </w:t>
      </w:r>
      <w:r>
        <w:rPr>
          <w:rFonts w:cs="Arial"/>
          <w:szCs w:val="20"/>
        </w:rPr>
        <w:t>eura</w:t>
      </w:r>
      <w:r w:rsidRPr="00DE2422">
        <w:rPr>
          <w:rFonts w:cs="Arial"/>
          <w:szCs w:val="20"/>
        </w:rPr>
        <w:t xml:space="preserve">, 33 </w:t>
      </w:r>
      <w:r>
        <w:rPr>
          <w:rFonts w:cs="Arial"/>
          <w:szCs w:val="20"/>
        </w:rPr>
        <w:t>odstotkov</w:t>
      </w:r>
      <w:r w:rsidRPr="00DE2422">
        <w:rPr>
          <w:rFonts w:cs="Arial"/>
          <w:szCs w:val="20"/>
        </w:rPr>
        <w:t xml:space="preserve"> </w:t>
      </w:r>
      <w:r>
        <w:rPr>
          <w:rFonts w:cs="Arial"/>
          <w:szCs w:val="20"/>
        </w:rPr>
        <w:t>z</w:t>
      </w:r>
      <w:r w:rsidRPr="00DE2422">
        <w:rPr>
          <w:rFonts w:cs="Arial"/>
          <w:szCs w:val="20"/>
        </w:rPr>
        <w:t xml:space="preserve">a sam sektor, kar je 3.202.600,50 </w:t>
      </w:r>
      <w:r>
        <w:rPr>
          <w:rFonts w:cs="Arial"/>
          <w:szCs w:val="20"/>
        </w:rPr>
        <w:t>eura</w:t>
      </w:r>
      <w:r w:rsidRPr="00DE2422">
        <w:rPr>
          <w:rFonts w:cs="Arial"/>
          <w:szCs w:val="20"/>
        </w:rPr>
        <w:t xml:space="preserve">, </w:t>
      </w:r>
      <w:r>
        <w:rPr>
          <w:rFonts w:cs="Arial"/>
          <w:szCs w:val="20"/>
        </w:rPr>
        <w:t>in</w:t>
      </w:r>
      <w:r w:rsidRPr="00DE2422">
        <w:rPr>
          <w:rFonts w:cs="Arial"/>
          <w:szCs w:val="20"/>
        </w:rPr>
        <w:t xml:space="preserve"> 34 </w:t>
      </w:r>
      <w:r>
        <w:rPr>
          <w:rFonts w:cs="Arial"/>
          <w:szCs w:val="20"/>
        </w:rPr>
        <w:t>odstotkov</w:t>
      </w:r>
      <w:r w:rsidRPr="00DE2422">
        <w:rPr>
          <w:rFonts w:cs="Arial"/>
          <w:szCs w:val="20"/>
        </w:rPr>
        <w:t xml:space="preserve"> za enotni znesek, ki ga bodo prejele vse potrjene LASR</w:t>
      </w:r>
      <w:r>
        <w:rPr>
          <w:rFonts w:cs="Arial"/>
          <w:szCs w:val="20"/>
        </w:rPr>
        <w:t>,</w:t>
      </w:r>
      <w:r w:rsidRPr="00DE2422">
        <w:rPr>
          <w:rFonts w:cs="Arial"/>
          <w:szCs w:val="20"/>
        </w:rPr>
        <w:t xml:space="preserve"> kar je 3.299.649,00 </w:t>
      </w:r>
      <w:r>
        <w:rPr>
          <w:rFonts w:cs="Arial"/>
          <w:szCs w:val="20"/>
        </w:rPr>
        <w:t>eura</w:t>
      </w:r>
      <w:r w:rsidRPr="00DE2422">
        <w:rPr>
          <w:rFonts w:cs="Arial"/>
          <w:szCs w:val="20"/>
        </w:rPr>
        <w:t xml:space="preserve">. </w:t>
      </w:r>
    </w:p>
    <w:p w:rsidR="009228E0" w:rsidRPr="00DE2422" w:rsidRDefault="009228E0" w:rsidP="009228E0">
      <w:pPr>
        <w:spacing w:line="300" w:lineRule="exact"/>
        <w:jc w:val="both"/>
        <w:rPr>
          <w:rFonts w:cs="Arial"/>
          <w:szCs w:val="20"/>
        </w:rPr>
      </w:pPr>
    </w:p>
    <w:p w:rsidR="009228E0" w:rsidRPr="00932BB1" w:rsidRDefault="009228E0" w:rsidP="009228E0">
      <w:pPr>
        <w:pStyle w:val="Podnaslov"/>
        <w:keepNext/>
        <w:numPr>
          <w:ilvl w:val="0"/>
          <w:numId w:val="15"/>
        </w:numPr>
        <w:spacing w:before="240" w:after="60" w:line="260" w:lineRule="atLeast"/>
        <w:jc w:val="both"/>
        <w:outlineLvl w:val="1"/>
        <w:rPr>
          <w:rFonts w:cs="Arial"/>
          <w:color w:val="000000"/>
          <w:sz w:val="20"/>
          <w:szCs w:val="20"/>
        </w:rPr>
      </w:pPr>
      <w:bookmarkStart w:id="19" w:name="_Toc126240648"/>
      <w:bookmarkStart w:id="20" w:name="_Toc129953989"/>
      <w:r w:rsidRPr="00932BB1">
        <w:rPr>
          <w:rFonts w:cs="Arial"/>
          <w:color w:val="000000"/>
          <w:sz w:val="20"/>
          <w:szCs w:val="20"/>
        </w:rPr>
        <w:t>Razdelitev sredstev na podlagi števila polno zaposlenih oseb v ribištvu/akvakulturi</w:t>
      </w:r>
      <w:bookmarkEnd w:id="19"/>
      <w:bookmarkEnd w:id="20"/>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 xml:space="preserve">Pri vrednotenju kriterija za zaposlene osebe za posamezne LASR smo upoštevali skupno število vseh polno zaposlenih v </w:t>
      </w:r>
      <w:r>
        <w:rPr>
          <w:rFonts w:cs="Arial"/>
          <w:szCs w:val="20"/>
        </w:rPr>
        <w:t>s</w:t>
      </w:r>
      <w:r w:rsidRPr="00DE2422">
        <w:rPr>
          <w:rFonts w:cs="Arial"/>
          <w:szCs w:val="20"/>
        </w:rPr>
        <w:t xml:space="preserve">ektorju ribištva, kar po podatkih SURS za leto 2021 znaša 276 oseb. Od tega je na območju obalne LASR zaposlenih 124 oseb (skupno morski gospodarski ribolov in akvakultura – marikultura) in na celini 152 (akvakultura). To smo pretvorili v </w:t>
      </w:r>
      <w:r>
        <w:rPr>
          <w:rFonts w:cs="Arial"/>
          <w:szCs w:val="20"/>
        </w:rPr>
        <w:t>odstotke</w:t>
      </w:r>
      <w:r w:rsidRPr="00DE2422">
        <w:rPr>
          <w:rFonts w:cs="Arial"/>
          <w:szCs w:val="20"/>
        </w:rPr>
        <w:t xml:space="preserve"> in tako je razmerje med vsemi polno zaposlenimi </w:t>
      </w:r>
      <w:r>
        <w:rPr>
          <w:rFonts w:cs="Arial"/>
          <w:szCs w:val="20"/>
        </w:rPr>
        <w:t xml:space="preserve">na </w:t>
      </w:r>
      <w:r w:rsidRPr="00DE2422">
        <w:rPr>
          <w:rFonts w:cs="Arial"/>
          <w:szCs w:val="20"/>
        </w:rPr>
        <w:t>celin</w:t>
      </w:r>
      <w:r>
        <w:rPr>
          <w:rFonts w:cs="Arial"/>
          <w:szCs w:val="20"/>
        </w:rPr>
        <w:t xml:space="preserve">i in </w:t>
      </w:r>
      <w:r w:rsidRPr="00DE2422">
        <w:rPr>
          <w:rFonts w:cs="Arial"/>
          <w:szCs w:val="20"/>
        </w:rPr>
        <w:t>obal</w:t>
      </w:r>
      <w:r>
        <w:rPr>
          <w:rFonts w:cs="Arial"/>
          <w:szCs w:val="20"/>
        </w:rPr>
        <w:t>i</w:t>
      </w:r>
      <w:r w:rsidRPr="00DE2422">
        <w:rPr>
          <w:rFonts w:cs="Arial"/>
          <w:szCs w:val="20"/>
        </w:rPr>
        <w:t xml:space="preserve"> </w:t>
      </w:r>
      <w:r>
        <w:rPr>
          <w:rFonts w:cs="Arial"/>
          <w:szCs w:val="20"/>
        </w:rPr>
        <w:t>približno</w:t>
      </w:r>
      <w:r w:rsidRPr="00DE2422">
        <w:rPr>
          <w:rFonts w:cs="Arial"/>
          <w:szCs w:val="20"/>
        </w:rPr>
        <w:t xml:space="preserve"> 55 </w:t>
      </w:r>
      <w:r>
        <w:rPr>
          <w:rFonts w:cs="Arial"/>
          <w:szCs w:val="20"/>
        </w:rPr>
        <w:t>odstotkov</w:t>
      </w:r>
      <w:r w:rsidRPr="00DE2422">
        <w:rPr>
          <w:rFonts w:cs="Arial"/>
          <w:szCs w:val="20"/>
        </w:rPr>
        <w:t xml:space="preserve"> (celina) proti </w:t>
      </w:r>
      <w:r>
        <w:rPr>
          <w:rFonts w:cs="Arial"/>
          <w:szCs w:val="20"/>
        </w:rPr>
        <w:t xml:space="preserve">približno </w:t>
      </w:r>
      <w:r w:rsidRPr="00DE2422">
        <w:rPr>
          <w:rFonts w:cs="Arial"/>
          <w:szCs w:val="20"/>
        </w:rPr>
        <w:t xml:space="preserve">45 </w:t>
      </w:r>
      <w:r>
        <w:rPr>
          <w:rFonts w:cs="Arial"/>
          <w:szCs w:val="20"/>
        </w:rPr>
        <w:t>odstotkom</w:t>
      </w:r>
      <w:r w:rsidRPr="00DE2422">
        <w:rPr>
          <w:rFonts w:cs="Arial"/>
          <w:szCs w:val="20"/>
        </w:rPr>
        <w:t xml:space="preserve"> (obala). </w:t>
      </w:r>
    </w:p>
    <w:p w:rsidR="009228E0" w:rsidRPr="00DE2422" w:rsidRDefault="009228E0" w:rsidP="009228E0">
      <w:pPr>
        <w:spacing w:line="300" w:lineRule="exact"/>
        <w:jc w:val="both"/>
        <w:rPr>
          <w:rFonts w:cs="Arial"/>
          <w:szCs w:val="20"/>
        </w:rPr>
      </w:pPr>
      <w:r w:rsidRPr="00DE2422">
        <w:rPr>
          <w:rFonts w:cs="Arial"/>
          <w:szCs w:val="20"/>
        </w:rPr>
        <w:t xml:space="preserve">Na </w:t>
      </w:r>
      <w:r>
        <w:rPr>
          <w:rFonts w:cs="Arial"/>
          <w:szCs w:val="20"/>
        </w:rPr>
        <w:t xml:space="preserve">podlagi </w:t>
      </w:r>
      <w:r w:rsidRPr="00DE2422">
        <w:rPr>
          <w:rFonts w:cs="Arial"/>
          <w:szCs w:val="20"/>
        </w:rPr>
        <w:t xml:space="preserve">tega smo razdelili sredstva na podlagi osnovne razdelitve za polno zaposlene (3.202.600,50 </w:t>
      </w:r>
      <w:r>
        <w:rPr>
          <w:rFonts w:cs="Arial"/>
          <w:szCs w:val="20"/>
        </w:rPr>
        <w:t>eura</w:t>
      </w:r>
      <w:r w:rsidRPr="00DE2422">
        <w:rPr>
          <w:rFonts w:cs="Arial"/>
          <w:szCs w:val="20"/>
        </w:rPr>
        <w:t xml:space="preserve">) na 1.441.170,00 </w:t>
      </w:r>
      <w:r>
        <w:rPr>
          <w:rFonts w:cs="Arial"/>
          <w:szCs w:val="20"/>
        </w:rPr>
        <w:t>eura</w:t>
      </w:r>
      <w:r w:rsidRPr="00DE2422">
        <w:rPr>
          <w:rFonts w:cs="Arial"/>
          <w:szCs w:val="20"/>
        </w:rPr>
        <w:t xml:space="preserve">, kar je 45 </w:t>
      </w:r>
      <w:r>
        <w:rPr>
          <w:rFonts w:cs="Arial"/>
          <w:szCs w:val="20"/>
        </w:rPr>
        <w:t>odstotkov,</w:t>
      </w:r>
      <w:r w:rsidRPr="00DE2422">
        <w:rPr>
          <w:rFonts w:cs="Arial"/>
          <w:szCs w:val="20"/>
        </w:rPr>
        <w:t xml:space="preserve"> in 1.761.430,00 </w:t>
      </w:r>
      <w:r>
        <w:rPr>
          <w:rFonts w:cs="Arial"/>
          <w:szCs w:val="20"/>
        </w:rPr>
        <w:t>eura</w:t>
      </w:r>
      <w:r w:rsidRPr="00DE2422">
        <w:rPr>
          <w:rFonts w:cs="Arial"/>
          <w:szCs w:val="20"/>
        </w:rPr>
        <w:t xml:space="preserve">, kar je 55 </w:t>
      </w:r>
      <w:r>
        <w:rPr>
          <w:rFonts w:cs="Arial"/>
          <w:szCs w:val="20"/>
        </w:rPr>
        <w:t>odstotkov</w:t>
      </w:r>
      <w:r w:rsidRPr="00DE2422">
        <w:rPr>
          <w:rFonts w:cs="Arial"/>
          <w:szCs w:val="20"/>
        </w:rPr>
        <w:t>.</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 xml:space="preserve">Izhajali smo iz </w:t>
      </w:r>
      <w:r>
        <w:rPr>
          <w:rFonts w:cs="Arial"/>
          <w:szCs w:val="20"/>
        </w:rPr>
        <w:t>domnev</w:t>
      </w:r>
      <w:r w:rsidRPr="00DE2422">
        <w:rPr>
          <w:rFonts w:cs="Arial"/>
          <w:szCs w:val="20"/>
        </w:rPr>
        <w:t xml:space="preserve">e, da bo na celini potrjenih največ </w:t>
      </w:r>
      <w:r>
        <w:rPr>
          <w:rFonts w:cs="Arial"/>
          <w:szCs w:val="20"/>
        </w:rPr>
        <w:t>pet</w:t>
      </w:r>
      <w:r w:rsidRPr="00DE2422">
        <w:rPr>
          <w:rFonts w:cs="Arial"/>
          <w:szCs w:val="20"/>
        </w:rPr>
        <w:t xml:space="preserve"> LASR, zato smo izračunani skupni znesek za celino, ki je 1.761.430,00 </w:t>
      </w:r>
      <w:r>
        <w:rPr>
          <w:rFonts w:cs="Arial"/>
          <w:szCs w:val="20"/>
        </w:rPr>
        <w:t>eura</w:t>
      </w:r>
      <w:r w:rsidRPr="00DE2422">
        <w:rPr>
          <w:rFonts w:cs="Arial"/>
          <w:szCs w:val="20"/>
        </w:rPr>
        <w:t xml:space="preserve"> oz</w:t>
      </w:r>
      <w:r>
        <w:rPr>
          <w:rFonts w:cs="Arial"/>
          <w:szCs w:val="20"/>
        </w:rPr>
        <w:t>iroma</w:t>
      </w:r>
      <w:r w:rsidRPr="00DE2422">
        <w:rPr>
          <w:rFonts w:cs="Arial"/>
          <w:szCs w:val="20"/>
        </w:rPr>
        <w:t xml:space="preserve"> 55 </w:t>
      </w:r>
      <w:r>
        <w:rPr>
          <w:rFonts w:cs="Arial"/>
          <w:szCs w:val="20"/>
        </w:rPr>
        <w:t>odstotkov</w:t>
      </w:r>
      <w:r w:rsidRPr="00DE2422">
        <w:rPr>
          <w:rFonts w:cs="Arial"/>
          <w:szCs w:val="20"/>
        </w:rPr>
        <w:t xml:space="preserve">, razdelili na </w:t>
      </w:r>
      <w:r>
        <w:rPr>
          <w:rFonts w:cs="Arial"/>
          <w:szCs w:val="20"/>
        </w:rPr>
        <w:t>pet</w:t>
      </w:r>
      <w:r w:rsidRPr="00DE2422">
        <w:rPr>
          <w:rFonts w:cs="Arial"/>
          <w:szCs w:val="20"/>
        </w:rPr>
        <w:t xml:space="preserve"> enakih delov, en del tako znaša 352.286,00 </w:t>
      </w:r>
      <w:r>
        <w:rPr>
          <w:rFonts w:cs="Arial"/>
          <w:szCs w:val="20"/>
        </w:rPr>
        <w:t>eura</w:t>
      </w:r>
      <w:r w:rsidRPr="00DE2422">
        <w:rPr>
          <w:rFonts w:cs="Arial"/>
          <w:szCs w:val="20"/>
        </w:rPr>
        <w:t xml:space="preserve"> (zaokroženo). </w:t>
      </w:r>
    </w:p>
    <w:p w:rsidR="009228E0" w:rsidRPr="00DE2422" w:rsidRDefault="009228E0" w:rsidP="009228E0">
      <w:pPr>
        <w:spacing w:line="300" w:lineRule="exact"/>
        <w:jc w:val="both"/>
        <w:rPr>
          <w:rFonts w:cs="Arial"/>
          <w:szCs w:val="20"/>
        </w:rPr>
      </w:pPr>
      <w:r w:rsidRPr="00DE2422">
        <w:rPr>
          <w:rFonts w:cs="Arial"/>
          <w:szCs w:val="20"/>
        </w:rPr>
        <w:t>Ker bo na obalnem območju potrjen</w:t>
      </w:r>
      <w:r>
        <w:rPr>
          <w:rFonts w:cs="Arial"/>
          <w:szCs w:val="20"/>
        </w:rPr>
        <w:t>a</w:t>
      </w:r>
      <w:r w:rsidRPr="00DE2422">
        <w:rPr>
          <w:rFonts w:cs="Arial"/>
          <w:szCs w:val="20"/>
        </w:rPr>
        <w:t xml:space="preserve"> samo </w:t>
      </w:r>
      <w:r>
        <w:rPr>
          <w:rFonts w:cs="Arial"/>
          <w:szCs w:val="20"/>
        </w:rPr>
        <w:t>ena</w:t>
      </w:r>
      <w:r w:rsidRPr="00DE2422">
        <w:rPr>
          <w:rFonts w:cs="Arial"/>
          <w:szCs w:val="20"/>
        </w:rPr>
        <w:t xml:space="preserve"> LASR, je preostalih 45 </w:t>
      </w:r>
      <w:r>
        <w:rPr>
          <w:rFonts w:cs="Arial"/>
          <w:szCs w:val="20"/>
        </w:rPr>
        <w:t>odstotkov</w:t>
      </w:r>
      <w:r w:rsidRPr="00DE2422">
        <w:rPr>
          <w:rFonts w:cs="Arial"/>
          <w:szCs w:val="20"/>
        </w:rPr>
        <w:t xml:space="preserve"> sredstev, kar je</w:t>
      </w:r>
      <w:r>
        <w:rPr>
          <w:rFonts w:cs="Arial"/>
          <w:szCs w:val="20"/>
        </w:rPr>
        <w:t xml:space="preserve"> zaokroženo na</w:t>
      </w:r>
      <w:r w:rsidRPr="00DE2422">
        <w:rPr>
          <w:rFonts w:cs="Arial"/>
          <w:szCs w:val="20"/>
        </w:rPr>
        <w:t xml:space="preserve"> 1.441.170</w:t>
      </w:r>
      <w:r>
        <w:rPr>
          <w:rFonts w:cs="Arial"/>
          <w:szCs w:val="20"/>
        </w:rPr>
        <w:t>,00</w:t>
      </w:r>
      <w:r w:rsidRPr="00DE2422">
        <w:rPr>
          <w:rFonts w:cs="Arial"/>
          <w:szCs w:val="20"/>
        </w:rPr>
        <w:t xml:space="preserve"> </w:t>
      </w:r>
      <w:r>
        <w:rPr>
          <w:rFonts w:cs="Arial"/>
          <w:szCs w:val="20"/>
        </w:rPr>
        <w:t>eurov</w:t>
      </w:r>
      <w:r w:rsidRPr="00DE2422">
        <w:rPr>
          <w:rFonts w:cs="Arial"/>
          <w:szCs w:val="20"/>
        </w:rPr>
        <w:t>, namenjenih samo za obaln</w:t>
      </w:r>
      <w:r>
        <w:rPr>
          <w:rFonts w:cs="Arial"/>
          <w:szCs w:val="20"/>
        </w:rPr>
        <w:t>o</w:t>
      </w:r>
      <w:r w:rsidRPr="00DE2422">
        <w:rPr>
          <w:rFonts w:cs="Arial"/>
          <w:szCs w:val="20"/>
        </w:rPr>
        <w:t xml:space="preserve"> LASR. </w:t>
      </w:r>
    </w:p>
    <w:p w:rsidR="009228E0" w:rsidRPr="00DE2422" w:rsidRDefault="009228E0" w:rsidP="009228E0">
      <w:pPr>
        <w:spacing w:line="300" w:lineRule="exact"/>
        <w:jc w:val="both"/>
        <w:rPr>
          <w:rFonts w:cs="Arial"/>
          <w:szCs w:val="20"/>
        </w:rPr>
      </w:pPr>
    </w:p>
    <w:p w:rsidR="009228E0" w:rsidRPr="00932BB1" w:rsidRDefault="009228E0" w:rsidP="009228E0">
      <w:pPr>
        <w:pStyle w:val="Podnaslov"/>
        <w:keepNext/>
        <w:numPr>
          <w:ilvl w:val="0"/>
          <w:numId w:val="0"/>
        </w:numPr>
        <w:spacing w:before="240" w:after="60" w:line="260" w:lineRule="atLeast"/>
        <w:ind w:left="720"/>
        <w:jc w:val="both"/>
        <w:outlineLvl w:val="1"/>
        <w:rPr>
          <w:rFonts w:cs="Arial"/>
          <w:color w:val="000000"/>
          <w:sz w:val="20"/>
          <w:szCs w:val="20"/>
        </w:rPr>
      </w:pPr>
      <w:bookmarkStart w:id="21" w:name="_Toc126240649"/>
      <w:bookmarkStart w:id="22" w:name="_Toc129953990"/>
      <w:r w:rsidRPr="00932BB1">
        <w:rPr>
          <w:rFonts w:cs="Arial"/>
          <w:color w:val="000000"/>
          <w:sz w:val="20"/>
          <w:szCs w:val="20"/>
        </w:rPr>
        <w:t>č. Razdelitev sredstev, namenjenih za Sektor za ribištvo</w:t>
      </w:r>
      <w:bookmarkEnd w:id="21"/>
      <w:bookmarkEnd w:id="22"/>
    </w:p>
    <w:p w:rsidR="009228E0" w:rsidRPr="00DE2422" w:rsidRDefault="009228E0" w:rsidP="009228E0">
      <w:pPr>
        <w:spacing w:line="300" w:lineRule="exact"/>
        <w:jc w:val="both"/>
        <w:rPr>
          <w:rFonts w:cs="Arial"/>
          <w:b/>
          <w:szCs w:val="20"/>
        </w:rPr>
      </w:pPr>
    </w:p>
    <w:p w:rsidR="009228E0" w:rsidRPr="00A06981" w:rsidRDefault="009228E0" w:rsidP="009228E0">
      <w:pPr>
        <w:spacing w:line="300" w:lineRule="exact"/>
        <w:jc w:val="both"/>
        <w:rPr>
          <w:rFonts w:cs="Arial"/>
          <w:szCs w:val="20"/>
        </w:rPr>
      </w:pPr>
      <w:r w:rsidRPr="00DE2422">
        <w:rPr>
          <w:rFonts w:cs="Arial"/>
          <w:szCs w:val="20"/>
        </w:rPr>
        <w:t xml:space="preserve">33 </w:t>
      </w:r>
      <w:r>
        <w:rPr>
          <w:rFonts w:cs="Arial"/>
          <w:szCs w:val="20"/>
        </w:rPr>
        <w:t>odstotkov</w:t>
      </w:r>
      <w:r w:rsidRPr="00DE2422">
        <w:rPr>
          <w:rFonts w:cs="Arial"/>
          <w:szCs w:val="20"/>
        </w:rPr>
        <w:t xml:space="preserve"> vseh finančnih sredstev, predvidenih za celoten Sektor za ribištvo, kar je 3.202.600,50 </w:t>
      </w:r>
      <w:r>
        <w:rPr>
          <w:rFonts w:cs="Arial"/>
          <w:szCs w:val="20"/>
        </w:rPr>
        <w:t>eura</w:t>
      </w:r>
      <w:r w:rsidRPr="00DE2422">
        <w:rPr>
          <w:rFonts w:cs="Arial"/>
          <w:szCs w:val="20"/>
        </w:rPr>
        <w:t xml:space="preserve">, smo razdelili na podlagi predhodne </w:t>
      </w:r>
      <w:r>
        <w:rPr>
          <w:rFonts w:cs="Arial"/>
          <w:szCs w:val="20"/>
        </w:rPr>
        <w:t>opredelitv</w:t>
      </w:r>
      <w:r w:rsidRPr="00DE2422">
        <w:rPr>
          <w:rFonts w:cs="Arial"/>
          <w:szCs w:val="20"/>
        </w:rPr>
        <w:t xml:space="preserve">e </w:t>
      </w:r>
      <w:r w:rsidRPr="00DE2422">
        <w:rPr>
          <w:rFonts w:cs="Arial"/>
          <w:b/>
          <w:szCs w:val="20"/>
        </w:rPr>
        <w:t>podenot</w:t>
      </w:r>
      <w:r w:rsidRPr="00A06981">
        <w:rPr>
          <w:rFonts w:cs="Arial"/>
          <w:szCs w:val="20"/>
        </w:rPr>
        <w:t xml:space="preserve">. </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 xml:space="preserve">Ob upoštevanju, da je LASR na obalnem območju sestavljena iz dveh podenot, to je morskega gospodarskega ribolova </w:t>
      </w:r>
      <w:r>
        <w:rPr>
          <w:rFonts w:cs="Arial"/>
          <w:szCs w:val="20"/>
        </w:rPr>
        <w:t>in</w:t>
      </w:r>
      <w:r w:rsidRPr="00DE2422">
        <w:rPr>
          <w:rFonts w:cs="Arial"/>
          <w:szCs w:val="20"/>
        </w:rPr>
        <w:t xml:space="preserve"> akvakulture/(marikulture), </w:t>
      </w:r>
      <w:r>
        <w:rPr>
          <w:rFonts w:cs="Arial"/>
          <w:szCs w:val="20"/>
        </w:rPr>
        <w:t xml:space="preserve">in da je </w:t>
      </w:r>
      <w:r w:rsidRPr="00DE2422">
        <w:rPr>
          <w:rFonts w:cs="Arial"/>
          <w:szCs w:val="20"/>
        </w:rPr>
        <w:t>na celini prisoten samo sektor akvakulture, smo skup</w:t>
      </w:r>
      <w:r>
        <w:rPr>
          <w:rFonts w:cs="Arial"/>
          <w:szCs w:val="20"/>
        </w:rPr>
        <w:t>ni</w:t>
      </w:r>
      <w:r w:rsidRPr="00DE2422">
        <w:rPr>
          <w:rFonts w:cs="Arial"/>
          <w:szCs w:val="20"/>
        </w:rPr>
        <w:t xml:space="preserve"> delež finančnih sredstev, namenjen za Sektor za ribištvo (3.202.600,50 </w:t>
      </w:r>
      <w:r>
        <w:rPr>
          <w:rFonts w:cs="Arial"/>
          <w:szCs w:val="20"/>
        </w:rPr>
        <w:t>eura</w:t>
      </w:r>
      <w:r w:rsidRPr="00DE2422">
        <w:rPr>
          <w:rFonts w:cs="Arial"/>
          <w:szCs w:val="20"/>
        </w:rPr>
        <w:t xml:space="preserve">), razdelili na </w:t>
      </w:r>
      <w:r>
        <w:rPr>
          <w:rFonts w:cs="Arial"/>
          <w:szCs w:val="20"/>
        </w:rPr>
        <w:t>sedem</w:t>
      </w:r>
      <w:r w:rsidRPr="00DE2422">
        <w:rPr>
          <w:rFonts w:cs="Arial"/>
          <w:szCs w:val="20"/>
        </w:rPr>
        <w:t xml:space="preserve"> enakih delov (</w:t>
      </w:r>
      <w:r>
        <w:rPr>
          <w:rFonts w:cs="Arial"/>
          <w:szCs w:val="20"/>
        </w:rPr>
        <w:t>pet</w:t>
      </w:r>
      <w:r w:rsidRPr="00DE2422">
        <w:rPr>
          <w:rFonts w:cs="Arial"/>
          <w:szCs w:val="20"/>
        </w:rPr>
        <w:t xml:space="preserve"> celinski</w:t>
      </w:r>
      <w:r>
        <w:rPr>
          <w:rFonts w:cs="Arial"/>
          <w:szCs w:val="20"/>
        </w:rPr>
        <w:t>h</w:t>
      </w:r>
      <w:r w:rsidRPr="00DE2422">
        <w:rPr>
          <w:rFonts w:cs="Arial"/>
          <w:szCs w:val="20"/>
        </w:rPr>
        <w:t xml:space="preserve"> LASR </w:t>
      </w:r>
      <w:r>
        <w:rPr>
          <w:rFonts w:cs="Arial"/>
          <w:szCs w:val="20"/>
        </w:rPr>
        <w:t>ena</w:t>
      </w:r>
      <w:r w:rsidRPr="00DE2422">
        <w:rPr>
          <w:rFonts w:cs="Arial"/>
          <w:szCs w:val="20"/>
        </w:rPr>
        <w:t xml:space="preserve"> podenota in </w:t>
      </w:r>
      <w:r>
        <w:rPr>
          <w:rFonts w:cs="Arial"/>
          <w:szCs w:val="20"/>
        </w:rPr>
        <w:t>ena</w:t>
      </w:r>
      <w:r w:rsidRPr="00DE2422">
        <w:rPr>
          <w:rFonts w:cs="Arial"/>
          <w:szCs w:val="20"/>
        </w:rPr>
        <w:t xml:space="preserve"> obalna LASR </w:t>
      </w:r>
      <w:r>
        <w:rPr>
          <w:rFonts w:cs="Arial"/>
          <w:szCs w:val="20"/>
        </w:rPr>
        <w:t>dve</w:t>
      </w:r>
      <w:r w:rsidRPr="00DE2422">
        <w:rPr>
          <w:rFonts w:cs="Arial"/>
          <w:szCs w:val="20"/>
        </w:rPr>
        <w:t xml:space="preserve"> podenoti</w:t>
      </w:r>
      <w:r>
        <w:rPr>
          <w:rFonts w:cs="Arial"/>
          <w:szCs w:val="20"/>
        </w:rPr>
        <w:t>)</w:t>
      </w:r>
      <w:r w:rsidRPr="00DE2422">
        <w:rPr>
          <w:rFonts w:cs="Arial"/>
          <w:szCs w:val="20"/>
        </w:rPr>
        <w:t xml:space="preserve">. Iz tega sledi, da ena podenota </w:t>
      </w:r>
      <w:r>
        <w:rPr>
          <w:rFonts w:cs="Arial"/>
          <w:szCs w:val="20"/>
        </w:rPr>
        <w:t>dobi</w:t>
      </w:r>
      <w:r w:rsidRPr="00DE2422">
        <w:rPr>
          <w:rFonts w:cs="Arial"/>
          <w:szCs w:val="20"/>
        </w:rPr>
        <w:t xml:space="preserve"> 457.515,00 </w:t>
      </w:r>
      <w:r>
        <w:rPr>
          <w:rFonts w:cs="Arial"/>
          <w:szCs w:val="20"/>
        </w:rPr>
        <w:t>eura</w:t>
      </w:r>
      <w:r w:rsidRPr="00DE2422">
        <w:rPr>
          <w:rFonts w:cs="Arial"/>
          <w:szCs w:val="20"/>
        </w:rPr>
        <w:t xml:space="preserve">. </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Na podlagi tega je LASR na obali prejel</w:t>
      </w:r>
      <w:r>
        <w:rPr>
          <w:rFonts w:cs="Arial"/>
          <w:szCs w:val="20"/>
        </w:rPr>
        <w:t>a</w:t>
      </w:r>
      <w:r w:rsidRPr="00DE2422">
        <w:rPr>
          <w:rFonts w:cs="Arial"/>
          <w:szCs w:val="20"/>
        </w:rPr>
        <w:t xml:space="preserve"> sredstva za </w:t>
      </w:r>
      <w:r>
        <w:rPr>
          <w:rFonts w:cs="Arial"/>
          <w:szCs w:val="20"/>
        </w:rPr>
        <w:t>dve</w:t>
      </w:r>
      <w:r w:rsidRPr="00DE2422">
        <w:rPr>
          <w:rFonts w:cs="Arial"/>
          <w:szCs w:val="20"/>
        </w:rPr>
        <w:t xml:space="preserve"> podenoti (2 x 457.515,00 </w:t>
      </w:r>
      <w:r>
        <w:rPr>
          <w:rFonts w:cs="Arial"/>
          <w:szCs w:val="20"/>
        </w:rPr>
        <w:t>eura</w:t>
      </w:r>
      <w:r w:rsidRPr="00DE2422">
        <w:rPr>
          <w:rFonts w:cs="Arial"/>
          <w:szCs w:val="20"/>
        </w:rPr>
        <w:t xml:space="preserve">), </w:t>
      </w:r>
      <w:r>
        <w:rPr>
          <w:rFonts w:cs="Arial"/>
          <w:szCs w:val="20"/>
        </w:rPr>
        <w:t>pre</w:t>
      </w:r>
      <w:r w:rsidRPr="00DE2422">
        <w:rPr>
          <w:rFonts w:cs="Arial"/>
          <w:szCs w:val="20"/>
        </w:rPr>
        <w:t>ostal</w:t>
      </w:r>
      <w:r>
        <w:rPr>
          <w:rFonts w:cs="Arial"/>
          <w:szCs w:val="20"/>
        </w:rPr>
        <w:t>e</w:t>
      </w:r>
      <w:r w:rsidRPr="00DE2422">
        <w:rPr>
          <w:rFonts w:cs="Arial"/>
          <w:szCs w:val="20"/>
        </w:rPr>
        <w:t xml:space="preserve"> LASR na celini pa sredstva za </w:t>
      </w:r>
      <w:r>
        <w:rPr>
          <w:rFonts w:cs="Arial"/>
          <w:szCs w:val="20"/>
        </w:rPr>
        <w:t>eno</w:t>
      </w:r>
      <w:r w:rsidRPr="00DE2422">
        <w:rPr>
          <w:rFonts w:cs="Arial"/>
          <w:szCs w:val="20"/>
        </w:rPr>
        <w:t xml:space="preserve"> podenoto (457.515,00</w:t>
      </w:r>
      <w:r>
        <w:rPr>
          <w:rFonts w:cs="Arial"/>
          <w:szCs w:val="20"/>
        </w:rPr>
        <w:t xml:space="preserve"> eura</w:t>
      </w:r>
      <w:r w:rsidRPr="00DE2422">
        <w:rPr>
          <w:rFonts w:cs="Arial"/>
          <w:szCs w:val="20"/>
        </w:rPr>
        <w:t xml:space="preserve">). </w:t>
      </w:r>
    </w:p>
    <w:p w:rsidR="009228E0" w:rsidRPr="00DE2422" w:rsidRDefault="009228E0" w:rsidP="009228E0">
      <w:pPr>
        <w:spacing w:line="300" w:lineRule="exact"/>
        <w:jc w:val="both"/>
        <w:rPr>
          <w:rFonts w:cs="Arial"/>
          <w:szCs w:val="20"/>
        </w:rPr>
      </w:pPr>
    </w:p>
    <w:p w:rsidR="009228E0" w:rsidRPr="00932BB1" w:rsidRDefault="009228E0" w:rsidP="009228E0">
      <w:pPr>
        <w:pStyle w:val="Podnaslov"/>
        <w:keepNext/>
        <w:numPr>
          <w:ilvl w:val="0"/>
          <w:numId w:val="0"/>
        </w:numPr>
        <w:spacing w:before="240" w:after="60" w:line="260" w:lineRule="atLeast"/>
        <w:ind w:left="720"/>
        <w:jc w:val="both"/>
        <w:outlineLvl w:val="1"/>
        <w:rPr>
          <w:rFonts w:cs="Arial"/>
          <w:color w:val="000000"/>
          <w:sz w:val="20"/>
          <w:szCs w:val="20"/>
        </w:rPr>
      </w:pPr>
      <w:bookmarkStart w:id="23" w:name="_Toc126240650"/>
      <w:bookmarkStart w:id="24" w:name="_Toc129953991"/>
      <w:r w:rsidRPr="00932BB1">
        <w:rPr>
          <w:rFonts w:cs="Arial"/>
          <w:color w:val="000000"/>
          <w:sz w:val="20"/>
          <w:szCs w:val="20"/>
        </w:rPr>
        <w:t>d. Dodelitev enotnega zneska</w:t>
      </w:r>
      <w:bookmarkEnd w:id="23"/>
      <w:bookmarkEnd w:id="24"/>
      <w:r w:rsidRPr="00932BB1">
        <w:rPr>
          <w:rFonts w:cs="Arial"/>
          <w:color w:val="000000"/>
          <w:sz w:val="20"/>
          <w:szCs w:val="20"/>
        </w:rPr>
        <w:t xml:space="preserve"> </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Pri dodelitvi enotnega zneska posamezni LASR smo določili kriterij, da vsak</w:t>
      </w:r>
      <w:r>
        <w:rPr>
          <w:rFonts w:cs="Arial"/>
          <w:szCs w:val="20"/>
        </w:rPr>
        <w:t>a</w:t>
      </w:r>
      <w:r w:rsidRPr="00DE2422">
        <w:rPr>
          <w:rFonts w:cs="Arial"/>
          <w:szCs w:val="20"/>
        </w:rPr>
        <w:t xml:space="preserve"> LASR prejme enak znesek. Skupni delež sredstev, namenjenih za osnovne zneske, ki je 3.299.649,00 </w:t>
      </w:r>
      <w:r>
        <w:rPr>
          <w:rFonts w:cs="Arial"/>
          <w:szCs w:val="20"/>
        </w:rPr>
        <w:t>eura</w:t>
      </w:r>
      <w:r w:rsidRPr="00DE2422">
        <w:rPr>
          <w:rFonts w:cs="Arial"/>
          <w:szCs w:val="20"/>
        </w:rPr>
        <w:t xml:space="preserve">, smo torej razdelili na </w:t>
      </w:r>
      <w:r>
        <w:rPr>
          <w:rFonts w:cs="Arial"/>
          <w:szCs w:val="20"/>
        </w:rPr>
        <w:t>šest</w:t>
      </w:r>
      <w:r w:rsidRPr="00DE2422">
        <w:rPr>
          <w:rFonts w:cs="Arial"/>
          <w:szCs w:val="20"/>
        </w:rPr>
        <w:t xml:space="preserve"> enakih delov, posamezni osnovni znesek je tako 550.000,00 </w:t>
      </w:r>
      <w:r>
        <w:rPr>
          <w:rFonts w:cs="Arial"/>
          <w:szCs w:val="20"/>
        </w:rPr>
        <w:t>eura</w:t>
      </w:r>
      <w:r w:rsidRPr="00DE2422">
        <w:rPr>
          <w:rFonts w:cs="Arial"/>
          <w:szCs w:val="20"/>
        </w:rPr>
        <w:t>.</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Pri odločitvi za dodelitev enotnega zneska smo se zgledovali na primeru dobre prakse iz Avstrije in sklada EKSRP, kjer so se odločili, da bo enotni znesek, ki ga prejme vsak</w:t>
      </w:r>
      <w:r>
        <w:rPr>
          <w:rFonts w:cs="Arial"/>
          <w:szCs w:val="20"/>
        </w:rPr>
        <w:t>a</w:t>
      </w:r>
      <w:r w:rsidRPr="00DE2422">
        <w:rPr>
          <w:rFonts w:cs="Arial"/>
          <w:szCs w:val="20"/>
        </w:rPr>
        <w:t xml:space="preserve"> LAS</w:t>
      </w:r>
      <w:r>
        <w:rPr>
          <w:rFonts w:cs="Arial"/>
          <w:szCs w:val="20"/>
        </w:rPr>
        <w:t>R,</w:t>
      </w:r>
      <w:r w:rsidRPr="00DE2422">
        <w:rPr>
          <w:rFonts w:cs="Arial"/>
          <w:szCs w:val="20"/>
        </w:rPr>
        <w:t xml:space="preserve"> znašal 25 </w:t>
      </w:r>
      <w:r>
        <w:rPr>
          <w:rFonts w:cs="Arial"/>
          <w:szCs w:val="20"/>
        </w:rPr>
        <w:t>odstotkov</w:t>
      </w:r>
      <w:r w:rsidRPr="00DE2422">
        <w:rPr>
          <w:rFonts w:cs="Arial"/>
          <w:szCs w:val="20"/>
        </w:rPr>
        <w:t xml:space="preserve"> od skupnih dodeljenih sredstev na območje. </w:t>
      </w:r>
    </w:p>
    <w:p w:rsidR="009228E0" w:rsidRPr="00DE2422" w:rsidRDefault="009228E0" w:rsidP="009228E0">
      <w:pPr>
        <w:spacing w:line="300" w:lineRule="exact"/>
        <w:jc w:val="both"/>
        <w:rPr>
          <w:rFonts w:cs="Arial"/>
          <w:szCs w:val="20"/>
        </w:rPr>
      </w:pPr>
    </w:p>
    <w:p w:rsidR="009228E0" w:rsidRPr="00932BB1" w:rsidRDefault="009228E0" w:rsidP="009228E0">
      <w:pPr>
        <w:pStyle w:val="Podnaslov"/>
        <w:keepNext/>
        <w:numPr>
          <w:ilvl w:val="0"/>
          <w:numId w:val="0"/>
        </w:numPr>
        <w:spacing w:before="240" w:after="60" w:line="260" w:lineRule="atLeast"/>
        <w:ind w:left="720"/>
        <w:jc w:val="both"/>
        <w:outlineLvl w:val="1"/>
        <w:rPr>
          <w:rFonts w:cs="Arial"/>
          <w:color w:val="000000"/>
          <w:sz w:val="20"/>
          <w:szCs w:val="20"/>
        </w:rPr>
      </w:pPr>
      <w:bookmarkStart w:id="25" w:name="_Toc129953992"/>
      <w:r w:rsidRPr="00932BB1">
        <w:rPr>
          <w:rFonts w:cs="Arial"/>
          <w:color w:val="000000"/>
          <w:sz w:val="20"/>
          <w:szCs w:val="20"/>
        </w:rPr>
        <w:t>e. Skupni finančni okvir za posamezno LASR</w:t>
      </w:r>
      <w:bookmarkEnd w:id="25"/>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Pr>
          <w:rFonts w:cs="Arial"/>
          <w:szCs w:val="20"/>
        </w:rPr>
        <w:t xml:space="preserve">V skladu </w:t>
      </w:r>
      <w:r w:rsidRPr="00DE2422">
        <w:rPr>
          <w:rFonts w:cs="Arial"/>
          <w:szCs w:val="20"/>
        </w:rPr>
        <w:t xml:space="preserve">z </w:t>
      </w:r>
      <w:r>
        <w:rPr>
          <w:rFonts w:cs="Arial"/>
          <w:szCs w:val="20"/>
        </w:rPr>
        <w:t>drugim</w:t>
      </w:r>
      <w:r w:rsidRPr="00DE2422">
        <w:rPr>
          <w:rFonts w:cs="Arial"/>
          <w:szCs w:val="20"/>
        </w:rPr>
        <w:t xml:space="preserve"> odstavkom 34. člena Uredbe 2021/1060/EU podpora za upravljanje, spremljanje in vrednotenje strategije ter njene animacije, vključno z olajševanjem izmenjav med deležniki</w:t>
      </w:r>
      <w:r>
        <w:rPr>
          <w:rFonts w:cs="Arial"/>
          <w:szCs w:val="20"/>
        </w:rPr>
        <w:t>,</w:t>
      </w:r>
      <w:r w:rsidRPr="00DE2422">
        <w:rPr>
          <w:rFonts w:cs="Arial"/>
          <w:szCs w:val="20"/>
        </w:rPr>
        <w:t xml:space="preserve"> ne presega 25 </w:t>
      </w:r>
      <w:r>
        <w:rPr>
          <w:rFonts w:cs="Arial"/>
          <w:szCs w:val="20"/>
        </w:rPr>
        <w:t>odstotkov</w:t>
      </w:r>
      <w:r w:rsidRPr="00DE2422">
        <w:rPr>
          <w:rFonts w:cs="Arial"/>
          <w:szCs w:val="20"/>
        </w:rPr>
        <w:t xml:space="preserve"> skupnega javnega prispevka k strategiji.</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Podpori za izvajanje operacij, vključno z dejavnostmi sodelovanja</w:t>
      </w:r>
      <w:r>
        <w:rPr>
          <w:rFonts w:cs="Arial"/>
          <w:szCs w:val="20"/>
        </w:rPr>
        <w:t>,</w:t>
      </w:r>
      <w:r w:rsidRPr="00DE2422">
        <w:rPr>
          <w:rFonts w:cs="Arial"/>
          <w:szCs w:val="20"/>
        </w:rPr>
        <w:t xml:space="preserve"> </w:t>
      </w:r>
      <w:r>
        <w:rPr>
          <w:rFonts w:cs="Arial"/>
          <w:szCs w:val="20"/>
        </w:rPr>
        <w:t>izbranimi</w:t>
      </w:r>
      <w:r w:rsidRPr="00DE2422">
        <w:rPr>
          <w:rFonts w:cs="Arial"/>
          <w:szCs w:val="20"/>
        </w:rPr>
        <w:t xml:space="preserve"> v okviru strategije</w:t>
      </w:r>
      <w:r>
        <w:rPr>
          <w:rFonts w:cs="Arial"/>
          <w:szCs w:val="20"/>
        </w:rPr>
        <w:t>,</w:t>
      </w:r>
      <w:r w:rsidRPr="00DE2422">
        <w:rPr>
          <w:rFonts w:cs="Arial"/>
          <w:szCs w:val="20"/>
        </w:rPr>
        <w:t xml:space="preserve"> in njihovo pripravo, smo dodali še do 25 </w:t>
      </w:r>
      <w:r>
        <w:rPr>
          <w:rFonts w:cs="Arial"/>
          <w:szCs w:val="20"/>
        </w:rPr>
        <w:t>odstotkov</w:t>
      </w:r>
      <w:r w:rsidRPr="00DE2422">
        <w:rPr>
          <w:rFonts w:cs="Arial"/>
          <w:szCs w:val="20"/>
        </w:rPr>
        <w:t xml:space="preserve"> podpore za upravljanje, spremljanje in vrednotenje strategije ter njene animacije, vključno z olajševanjem izmenjav med deležniki</w:t>
      </w:r>
      <w:r>
        <w:rPr>
          <w:rFonts w:cs="Arial"/>
          <w:szCs w:val="20"/>
        </w:rPr>
        <w:t>,</w:t>
      </w:r>
      <w:r w:rsidRPr="00DE2422">
        <w:rPr>
          <w:rFonts w:cs="Arial"/>
          <w:szCs w:val="20"/>
        </w:rPr>
        <w:t xml:space="preserve"> in tako dobili skupni finančni okvir za posamezno LASR.</w:t>
      </w:r>
    </w:p>
    <w:p w:rsidR="009228E0" w:rsidRPr="00DE2422"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Pr>
          <w:rFonts w:cs="Arial"/>
          <w:szCs w:val="20"/>
        </w:rPr>
        <w:t>Če</w:t>
      </w:r>
      <w:r w:rsidRPr="00DE2422">
        <w:rPr>
          <w:rFonts w:cs="Arial"/>
          <w:szCs w:val="20"/>
        </w:rPr>
        <w:t xml:space="preserve"> bo izbranih in potrjenih manj LASR, se bodo sredstva razdelila na enak način</w:t>
      </w:r>
      <w:r>
        <w:rPr>
          <w:rFonts w:cs="Arial"/>
          <w:szCs w:val="20"/>
        </w:rPr>
        <w:t>, kot je predstavljeno v tem dokumentu.</w:t>
      </w:r>
      <w:r w:rsidRPr="00DE2422">
        <w:rPr>
          <w:rFonts w:cs="Arial"/>
          <w:szCs w:val="20"/>
        </w:rPr>
        <w:t xml:space="preserve"> </w:t>
      </w:r>
    </w:p>
    <w:p w:rsidR="009228E0" w:rsidRPr="00DE2422" w:rsidRDefault="009228E0" w:rsidP="009228E0">
      <w:pPr>
        <w:spacing w:line="300" w:lineRule="exact"/>
        <w:jc w:val="both"/>
        <w:rPr>
          <w:rFonts w:cs="Arial"/>
          <w:szCs w:val="20"/>
        </w:rPr>
      </w:pPr>
    </w:p>
    <w:p w:rsidR="009228E0" w:rsidRDefault="009228E0" w:rsidP="009228E0">
      <w:pPr>
        <w:spacing w:line="300" w:lineRule="exact"/>
        <w:jc w:val="both"/>
        <w:rPr>
          <w:rFonts w:cs="Arial"/>
          <w:szCs w:val="20"/>
        </w:rPr>
      </w:pPr>
    </w:p>
    <w:p w:rsidR="009228E0" w:rsidRPr="00DE2422" w:rsidRDefault="009228E0" w:rsidP="009228E0">
      <w:pPr>
        <w:spacing w:line="300" w:lineRule="exact"/>
        <w:jc w:val="both"/>
        <w:rPr>
          <w:rFonts w:cs="Arial"/>
          <w:szCs w:val="20"/>
        </w:rPr>
      </w:pPr>
      <w:r w:rsidRPr="00DE2422">
        <w:rPr>
          <w:rFonts w:cs="Arial"/>
          <w:szCs w:val="20"/>
        </w:rPr>
        <w:t xml:space="preserve">Ob upoštevanju vseh navedenih </w:t>
      </w:r>
      <w:r>
        <w:rPr>
          <w:rFonts w:cs="Arial"/>
          <w:szCs w:val="20"/>
        </w:rPr>
        <w:t xml:space="preserve">domnev </w:t>
      </w:r>
      <w:r w:rsidRPr="00DE2422">
        <w:rPr>
          <w:rFonts w:cs="Arial"/>
          <w:szCs w:val="20"/>
        </w:rPr>
        <w:t xml:space="preserve">podatkov, kriterijev in izračunov smo sredstva posameznim LASR (ob upoštevanju, da jih bo potrjenih </w:t>
      </w:r>
      <w:r>
        <w:rPr>
          <w:rFonts w:cs="Arial"/>
          <w:szCs w:val="20"/>
        </w:rPr>
        <w:t>šest</w:t>
      </w:r>
      <w:r w:rsidRPr="00DE2422">
        <w:rPr>
          <w:rFonts w:cs="Arial"/>
          <w:szCs w:val="20"/>
        </w:rPr>
        <w:t>) razdelili tako, kot je prikazano v tabeli</w:t>
      </w:r>
      <w:r>
        <w:rPr>
          <w:rFonts w:cs="Arial"/>
          <w:szCs w:val="20"/>
        </w:rPr>
        <w:t xml:space="preserve"> 1</w:t>
      </w:r>
    </w:p>
    <w:p w:rsidR="009228E0" w:rsidRPr="00DE2422" w:rsidRDefault="009228E0" w:rsidP="009228E0">
      <w:pPr>
        <w:spacing w:after="120" w:line="276" w:lineRule="auto"/>
        <w:jc w:val="both"/>
        <w:rPr>
          <w:rFonts w:cs="Arial"/>
          <w:szCs w:val="20"/>
        </w:rPr>
      </w:pPr>
    </w:p>
    <w:p w:rsidR="009228E0" w:rsidRPr="00DE2422" w:rsidRDefault="009228E0" w:rsidP="009228E0">
      <w:pPr>
        <w:spacing w:after="120" w:line="276" w:lineRule="auto"/>
        <w:jc w:val="both"/>
        <w:rPr>
          <w:rFonts w:cs="Arial"/>
          <w:b/>
          <w:szCs w:val="20"/>
        </w:rPr>
      </w:pPr>
    </w:p>
    <w:p w:rsidR="009228E0" w:rsidRPr="00DE2422" w:rsidRDefault="009228E0" w:rsidP="009228E0">
      <w:pPr>
        <w:pStyle w:val="Naslov1"/>
      </w:pPr>
      <w:bookmarkStart w:id="26" w:name="_Toc129953993"/>
      <w:r w:rsidRPr="00DE2422">
        <w:t xml:space="preserve">Tabela 1: Prikaz izračuna delitve sredstev posameznim LASR ob upoštevanju potrditve </w:t>
      </w:r>
      <w:r>
        <w:t>šestih</w:t>
      </w:r>
      <w:r w:rsidRPr="00DE2422">
        <w:t xml:space="preserve"> LASR</w:t>
      </w:r>
      <w:bookmarkEnd w:id="26"/>
    </w:p>
    <w:p w:rsidR="009228E0" w:rsidRPr="00DE2422" w:rsidRDefault="009228E0" w:rsidP="009228E0">
      <w:pPr>
        <w:spacing w:after="120" w:line="276" w:lineRule="auto"/>
        <w:jc w:val="both"/>
        <w:rPr>
          <w:rFonts w:cs="Arial"/>
          <w:b/>
          <w:szCs w:val="20"/>
        </w:rPr>
      </w:pPr>
    </w:p>
    <w:bookmarkStart w:id="27" w:name="_MON_1736840436"/>
    <w:bookmarkEnd w:id="27"/>
    <w:p w:rsidR="009228E0" w:rsidRPr="00DE2422" w:rsidRDefault="009228E0" w:rsidP="009228E0">
      <w:pPr>
        <w:spacing w:after="120" w:line="276" w:lineRule="auto"/>
        <w:jc w:val="both"/>
        <w:rPr>
          <w:rFonts w:cs="Arial"/>
          <w:b/>
          <w:szCs w:val="20"/>
        </w:rPr>
      </w:pPr>
      <w:r w:rsidRPr="00DE2422">
        <w:rPr>
          <w:rFonts w:cs="Arial"/>
          <w:b/>
          <w:szCs w:val="20"/>
        </w:rPr>
        <w:object w:dxaOrig="11644" w:dyaOrig="2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8pt;height:153.6pt" o:ole="">
            <v:imagedata r:id="rId8" o:title=""/>
          </v:shape>
          <o:OLEObject Type="Embed" ProgID="Excel.Sheet.12" ShapeID="_x0000_i1025" DrawAspect="Content" ObjectID="_1750451363" r:id="rId9"/>
        </w:object>
      </w:r>
    </w:p>
    <w:p w:rsidR="00DC52EF" w:rsidRPr="00B87532" w:rsidRDefault="00DC52EF" w:rsidP="00B87532"/>
    <w:sectPr w:rsidR="00DC52EF" w:rsidRPr="00B87532" w:rsidSect="00783310">
      <w:headerReference w:type="default"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9E" w:rsidRDefault="0002279E" w:rsidP="00A01763">
      <w:pPr>
        <w:spacing w:line="240" w:lineRule="auto"/>
      </w:pPr>
      <w:r>
        <w:separator/>
      </w:r>
    </w:p>
  </w:endnote>
  <w:endnote w:type="continuationSeparator" w:id="0">
    <w:p w:rsidR="0002279E" w:rsidRDefault="0002279E" w:rsidP="00A01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022851"/>
      <w:docPartObj>
        <w:docPartGallery w:val="Page Numbers (Bottom of Page)"/>
        <w:docPartUnique/>
      </w:docPartObj>
    </w:sdtPr>
    <w:sdtEndPr/>
    <w:sdtContent>
      <w:p w:rsidR="00905698" w:rsidRDefault="00905698">
        <w:pPr>
          <w:pStyle w:val="Noga"/>
          <w:jc w:val="right"/>
        </w:pPr>
        <w:r>
          <w:fldChar w:fldCharType="begin"/>
        </w:r>
        <w:r>
          <w:instrText>PAGE   \* MERGEFORMAT</w:instrText>
        </w:r>
        <w:r>
          <w:fldChar w:fldCharType="separate"/>
        </w:r>
        <w:r w:rsidR="009228E0" w:rsidRPr="009228E0">
          <w:rPr>
            <w:noProof/>
            <w:lang w:val="sl-SI"/>
          </w:rPr>
          <w:t>2</w:t>
        </w:r>
        <w:r>
          <w:fldChar w:fldCharType="end"/>
        </w:r>
      </w:p>
    </w:sdtContent>
  </w:sdt>
  <w:p w:rsidR="00AE28DE" w:rsidRPr="000F5308" w:rsidRDefault="009228E0" w:rsidP="00567981">
    <w:pPr>
      <w:pStyle w:val="Noga"/>
      <w:spacing w:line="240" w:lineRule="auto"/>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8DE" w:rsidRPr="000F5308" w:rsidRDefault="00DA34ED" w:rsidP="005C2FBD">
    <w:pPr>
      <w:pStyle w:val="Noga"/>
      <w:spacing w:line="240" w:lineRule="auto"/>
      <w:rPr>
        <w:szCs w:val="20"/>
        <w:lang w:val="pl-PL"/>
      </w:rPr>
    </w:pPr>
    <w:r w:rsidRPr="000F5308">
      <w:rPr>
        <w:lang w:val="pl-PL"/>
      </w:rPr>
      <w:tab/>
      <w:t xml:space="preserve">        </w:t>
    </w:r>
  </w:p>
  <w:p w:rsidR="00AE28DE" w:rsidRPr="000F5308" w:rsidRDefault="00DA34ED" w:rsidP="00567981">
    <w:pPr>
      <w:pStyle w:val="Noga"/>
      <w:tabs>
        <w:tab w:val="clear" w:pos="4320"/>
        <w:tab w:val="center" w:pos="1985"/>
      </w:tabs>
      <w:spacing w:line="240" w:lineRule="auto"/>
      <w:rPr>
        <w:sz w:val="10"/>
        <w:szCs w:val="10"/>
        <w:lang w:val="sl-SI"/>
      </w:rPr>
    </w:pPr>
    <w:r w:rsidRPr="000F5308">
      <w:rPr>
        <w:color w:val="000000"/>
        <w:spacing w:val="-2"/>
        <w:sz w:val="10"/>
        <w:szCs w:val="10"/>
        <w:lang w:val="pl-PL" w:eastAsia="sl-SI"/>
      </w:rPr>
      <w:t xml:space="preserve">     </w:t>
    </w:r>
    <w:r>
      <w:rPr>
        <w:color w:val="000000"/>
        <w:spacing w:val="-2"/>
        <w:sz w:val="10"/>
        <w:szCs w:val="10"/>
        <w:lang w:val="pl-PL" w:eastAsia="sl-SI"/>
      </w:rPr>
      <w:t xml:space="preserve"> </w:t>
    </w:r>
    <w:r w:rsidRPr="000F5308">
      <w:rPr>
        <w:color w:val="000000"/>
        <w:spacing w:val="-2"/>
        <w:sz w:val="10"/>
        <w:szCs w:val="10"/>
        <w:lang w:val="sl-SI" w:eastAsia="sl-S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9E" w:rsidRDefault="0002279E" w:rsidP="00A01763">
      <w:pPr>
        <w:spacing w:line="240" w:lineRule="auto"/>
      </w:pPr>
      <w:r>
        <w:separator/>
      </w:r>
    </w:p>
  </w:footnote>
  <w:footnote w:type="continuationSeparator" w:id="0">
    <w:p w:rsidR="0002279E" w:rsidRDefault="0002279E" w:rsidP="00A017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56C" w:rsidRPr="00110CBD" w:rsidRDefault="009228E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3356C" w:rsidRPr="008F3500">
      <w:trPr>
        <w:cantSplit/>
        <w:trHeight w:hRule="exact" w:val="847"/>
      </w:trPr>
      <w:tc>
        <w:tcPr>
          <w:tcW w:w="567" w:type="dxa"/>
        </w:tcPr>
        <w:p w:rsidR="00D3356C" w:rsidRDefault="00DA34ED"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p w:rsidR="00D3356C" w:rsidRPr="006D42D9" w:rsidRDefault="009228E0" w:rsidP="006D42D9">
          <w:pPr>
            <w:rPr>
              <w:rFonts w:ascii="Republika" w:hAnsi="Republika"/>
              <w:sz w:val="60"/>
              <w:szCs w:val="60"/>
              <w:lang w:val="sl-SI"/>
            </w:rPr>
          </w:pPr>
        </w:p>
      </w:tc>
    </w:tr>
  </w:tbl>
  <w:p w:rsidR="00D3356C" w:rsidRPr="008F3500" w:rsidRDefault="00A01763"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9264"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5A79" id="Raven povezovalnik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00DA34ED" w:rsidRPr="008F3500">
      <w:rPr>
        <w:rFonts w:ascii="Republika" w:hAnsi="Republika"/>
        <w:lang w:val="sl-SI"/>
      </w:rPr>
      <w:t>REPUBLIKA SLOVENIJA</w:t>
    </w:r>
  </w:p>
  <w:p w:rsidR="005C2FBD" w:rsidRPr="005C2FBD" w:rsidRDefault="00DA34ED" w:rsidP="005C2FBD">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Pr>
        <w:rFonts w:ascii="Republika Bold" w:hAnsi="Republika Bold"/>
        <w:b/>
        <w:caps/>
        <w:lang w:val="sl-SI"/>
      </w:rPr>
      <w:br/>
      <w:t>gozdarstvo in prehrano</w:t>
    </w:r>
  </w:p>
  <w:p w:rsidR="00D3356C" w:rsidRPr="008F3500" w:rsidRDefault="00DA34ED" w:rsidP="005B0517">
    <w:pPr>
      <w:pStyle w:val="Glava"/>
      <w:tabs>
        <w:tab w:val="clear" w:pos="4320"/>
        <w:tab w:val="clear" w:pos="8640"/>
        <w:tab w:val="left" w:pos="5112"/>
      </w:tabs>
      <w:spacing w:before="240" w:line="240" w:lineRule="exact"/>
      <w:rPr>
        <w:rFonts w:cs="Arial"/>
        <w:sz w:val="16"/>
        <w:lang w:val="sl-SI"/>
      </w:rPr>
    </w:pPr>
    <w:r>
      <w:rPr>
        <w:rFonts w:cs="Arial"/>
        <w:sz w:val="16"/>
        <w:lang w:val="sl-SI"/>
      </w:rPr>
      <w:t>Dunajska cesta 22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01 478 90 00</w:t>
    </w:r>
  </w:p>
  <w:p w:rsidR="00D3356C" w:rsidRPr="008F3500" w:rsidRDefault="00DA34ED"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01 478 90 21</w:t>
    </w:r>
    <w:r w:rsidRPr="008F3500">
      <w:rPr>
        <w:rFonts w:cs="Arial"/>
        <w:sz w:val="16"/>
        <w:lang w:val="sl-SI"/>
      </w:rPr>
      <w:t xml:space="preserve"> </w:t>
    </w:r>
  </w:p>
  <w:p w:rsidR="00D3356C" w:rsidRPr="008F3500" w:rsidRDefault="00DA34E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gp.mkgp@gov.si</w:t>
    </w:r>
  </w:p>
  <w:p w:rsidR="00D3356C" w:rsidRPr="008F3500" w:rsidRDefault="00DA34E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E00C33">
      <w:rPr>
        <w:rFonts w:cs="Arial"/>
        <w:sz w:val="16"/>
        <w:lang w:val="sl-SI"/>
      </w:rPr>
      <w:t>www</w:t>
    </w:r>
    <w:r>
      <w:rPr>
        <w:rFonts w:cs="Arial"/>
        <w:sz w:val="16"/>
        <w:lang w:val="sl-SI"/>
      </w:rPr>
      <w:t>.gov.si</w:t>
    </w:r>
  </w:p>
  <w:p w:rsidR="00D3356C" w:rsidRPr="008F3500" w:rsidRDefault="009228E0"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BA9162E"/>
    <w:multiLevelType w:val="hybridMultilevel"/>
    <w:tmpl w:val="A9EAF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CEE46D4"/>
    <w:multiLevelType w:val="hybridMultilevel"/>
    <w:tmpl w:val="ED7405A6"/>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104C6A"/>
    <w:multiLevelType w:val="hybridMultilevel"/>
    <w:tmpl w:val="7CD8E90E"/>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146508E0"/>
    <w:multiLevelType w:val="hybridMultilevel"/>
    <w:tmpl w:val="85E08AC2"/>
    <w:lvl w:ilvl="0" w:tplc="0424000F">
      <w:start w:val="1"/>
      <w:numFmt w:val="decimal"/>
      <w:lvlText w:val="%1."/>
      <w:lvlJc w:val="left"/>
      <w:pPr>
        <w:ind w:left="64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32650E"/>
    <w:multiLevelType w:val="hybridMultilevel"/>
    <w:tmpl w:val="90CA08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63314C"/>
    <w:multiLevelType w:val="hybridMultilevel"/>
    <w:tmpl w:val="F31AC71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47C163C"/>
    <w:multiLevelType w:val="hybridMultilevel"/>
    <w:tmpl w:val="67743FB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574EE4"/>
    <w:multiLevelType w:val="hybridMultilevel"/>
    <w:tmpl w:val="D486C34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CEF3943"/>
    <w:multiLevelType w:val="hybridMultilevel"/>
    <w:tmpl w:val="869465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4673FC3"/>
    <w:multiLevelType w:val="hybridMultilevel"/>
    <w:tmpl w:val="4344D37C"/>
    <w:lvl w:ilvl="0" w:tplc="0424000F">
      <w:start w:val="1"/>
      <w:numFmt w:val="decimal"/>
      <w:lvlText w:val="%1."/>
      <w:lvlJc w:val="left"/>
      <w:pPr>
        <w:ind w:left="64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0B9546E"/>
    <w:multiLevelType w:val="hybridMultilevel"/>
    <w:tmpl w:val="8D50A3E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36C7B19"/>
    <w:multiLevelType w:val="hybridMultilevel"/>
    <w:tmpl w:val="A2F8B34C"/>
    <w:lvl w:ilvl="0" w:tplc="6F7C777E">
      <w:start w:val="1"/>
      <w:numFmt w:val="lowerLetter"/>
      <w:pStyle w:val="Navadensplet"/>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3EA1D38"/>
    <w:multiLevelType w:val="hybridMultilevel"/>
    <w:tmpl w:val="CA56CB30"/>
    <w:lvl w:ilvl="0" w:tplc="FF4CD2C6">
      <w:start w:val="1"/>
      <w:numFmt w:val="bullet"/>
      <w:lvlText w:val="-"/>
      <w:lvlJc w:val="left"/>
      <w:pPr>
        <w:ind w:left="372" w:hanging="360"/>
      </w:pPr>
      <w:rPr>
        <w:rFonts w:ascii="Arial" w:eastAsia="Times New Roman" w:hAnsi="Arial" w:cs="Arial" w:hint="default"/>
      </w:rPr>
    </w:lvl>
    <w:lvl w:ilvl="1" w:tplc="6D4C73D6">
      <w:numFmt w:val="bullet"/>
      <w:lvlText w:val="–"/>
      <w:lvlJc w:val="left"/>
      <w:pPr>
        <w:ind w:left="1092" w:hanging="360"/>
      </w:pPr>
      <w:rPr>
        <w:rFonts w:ascii="Arial" w:eastAsia="Calibri" w:hAnsi="Arial" w:cs="Arial" w:hint="default"/>
      </w:rPr>
    </w:lvl>
    <w:lvl w:ilvl="2" w:tplc="04240005" w:tentative="1">
      <w:start w:val="1"/>
      <w:numFmt w:val="bullet"/>
      <w:lvlText w:val=""/>
      <w:lvlJc w:val="left"/>
      <w:pPr>
        <w:ind w:left="1812" w:hanging="360"/>
      </w:pPr>
      <w:rPr>
        <w:rFonts w:ascii="Wingdings" w:hAnsi="Wingdings" w:hint="default"/>
      </w:rPr>
    </w:lvl>
    <w:lvl w:ilvl="3" w:tplc="04240001" w:tentative="1">
      <w:start w:val="1"/>
      <w:numFmt w:val="bullet"/>
      <w:lvlText w:val=""/>
      <w:lvlJc w:val="left"/>
      <w:pPr>
        <w:ind w:left="2532" w:hanging="360"/>
      </w:pPr>
      <w:rPr>
        <w:rFonts w:ascii="Symbol" w:hAnsi="Symbol" w:hint="default"/>
      </w:rPr>
    </w:lvl>
    <w:lvl w:ilvl="4" w:tplc="04240003" w:tentative="1">
      <w:start w:val="1"/>
      <w:numFmt w:val="bullet"/>
      <w:lvlText w:val="o"/>
      <w:lvlJc w:val="left"/>
      <w:pPr>
        <w:ind w:left="3252" w:hanging="360"/>
      </w:pPr>
      <w:rPr>
        <w:rFonts w:ascii="Courier New" w:hAnsi="Courier New" w:cs="Courier New" w:hint="default"/>
      </w:rPr>
    </w:lvl>
    <w:lvl w:ilvl="5" w:tplc="04240005" w:tentative="1">
      <w:start w:val="1"/>
      <w:numFmt w:val="bullet"/>
      <w:lvlText w:val=""/>
      <w:lvlJc w:val="left"/>
      <w:pPr>
        <w:ind w:left="3972" w:hanging="360"/>
      </w:pPr>
      <w:rPr>
        <w:rFonts w:ascii="Wingdings" w:hAnsi="Wingdings" w:hint="default"/>
      </w:rPr>
    </w:lvl>
    <w:lvl w:ilvl="6" w:tplc="04240001" w:tentative="1">
      <w:start w:val="1"/>
      <w:numFmt w:val="bullet"/>
      <w:lvlText w:val=""/>
      <w:lvlJc w:val="left"/>
      <w:pPr>
        <w:ind w:left="4692" w:hanging="360"/>
      </w:pPr>
      <w:rPr>
        <w:rFonts w:ascii="Symbol" w:hAnsi="Symbol" w:hint="default"/>
      </w:rPr>
    </w:lvl>
    <w:lvl w:ilvl="7" w:tplc="04240003" w:tentative="1">
      <w:start w:val="1"/>
      <w:numFmt w:val="bullet"/>
      <w:lvlText w:val="o"/>
      <w:lvlJc w:val="left"/>
      <w:pPr>
        <w:ind w:left="5412" w:hanging="360"/>
      </w:pPr>
      <w:rPr>
        <w:rFonts w:ascii="Courier New" w:hAnsi="Courier New" w:cs="Courier New" w:hint="default"/>
      </w:rPr>
    </w:lvl>
    <w:lvl w:ilvl="8" w:tplc="04240005" w:tentative="1">
      <w:start w:val="1"/>
      <w:numFmt w:val="bullet"/>
      <w:lvlText w:val=""/>
      <w:lvlJc w:val="left"/>
      <w:pPr>
        <w:ind w:left="6132" w:hanging="360"/>
      </w:pPr>
      <w:rPr>
        <w:rFonts w:ascii="Wingdings" w:hAnsi="Wingdings" w:hint="default"/>
      </w:rPr>
    </w:lvl>
  </w:abstractNum>
  <w:abstractNum w:abstractNumId="15" w15:restartNumberingAfterBreak="0">
    <w:nsid w:val="74B056B1"/>
    <w:multiLevelType w:val="multilevel"/>
    <w:tmpl w:val="31840E76"/>
    <w:lvl w:ilvl="0">
      <w:start w:val="1"/>
      <w:numFmt w:val="decimal"/>
      <w:lvlText w:val="%1"/>
      <w:lvlJc w:val="left"/>
      <w:pPr>
        <w:tabs>
          <w:tab w:val="num" w:pos="612"/>
        </w:tabs>
        <w:ind w:left="612" w:hanging="432"/>
      </w:pPr>
      <w:rPr>
        <w:rFonts w:hint="default"/>
      </w:rPr>
    </w:lvl>
    <w:lvl w:ilvl="1">
      <w:start w:val="1"/>
      <w:numFmt w:val="decimal"/>
      <w:isLgl/>
      <w:lvlText w:val="%2"/>
      <w:lvlJc w:val="left"/>
      <w:pPr>
        <w:tabs>
          <w:tab w:val="num" w:pos="576"/>
        </w:tabs>
        <w:ind w:left="576" w:hanging="576"/>
      </w:pPr>
      <w:rPr>
        <w:rFonts w:hint="default"/>
      </w:rPr>
    </w:lvl>
    <w:lvl w:ilvl="2">
      <w:start w:val="1"/>
      <w:numFmt w:val="ordinal"/>
      <w:lvlText w:val="2.%3"/>
      <w:lvlJc w:val="left"/>
      <w:pPr>
        <w:tabs>
          <w:tab w:val="num" w:pos="720"/>
        </w:tabs>
        <w:ind w:left="720" w:hanging="720"/>
      </w:pPr>
      <w:rPr>
        <w:rFonts w:hint="default"/>
      </w:rPr>
    </w:lvl>
    <w:lvl w:ilvl="3">
      <w:start w:val="1"/>
      <w:numFmt w:val="decimal"/>
      <w:lvlText w:val="2.2.%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num w:numId="1">
    <w:abstractNumId w:val="10"/>
  </w:num>
  <w:num w:numId="2">
    <w:abstractNumId w:val="9"/>
  </w:num>
  <w:num w:numId="3">
    <w:abstractNumId w:val="4"/>
  </w:num>
  <w:num w:numId="4">
    <w:abstractNumId w:val="7"/>
  </w:num>
  <w:num w:numId="5">
    <w:abstractNumId w:val="15"/>
  </w:num>
  <w:num w:numId="6">
    <w:abstractNumId w:val="0"/>
  </w:num>
  <w:num w:numId="7">
    <w:abstractNumId w:val="11"/>
  </w:num>
  <w:num w:numId="8">
    <w:abstractNumId w:val="5"/>
  </w:num>
  <w:num w:numId="9">
    <w:abstractNumId w:val="2"/>
  </w:num>
  <w:num w:numId="10">
    <w:abstractNumId w:val="14"/>
  </w:num>
  <w:num w:numId="11">
    <w:abstractNumId w:val="8"/>
  </w:num>
  <w:num w:numId="12">
    <w:abstractNumId w:val="12"/>
  </w:num>
  <w:num w:numId="13">
    <w:abstractNumId w:val="6"/>
  </w:num>
  <w:num w:numId="14">
    <w:abstractNumId w:val="1"/>
  </w:num>
  <w:num w:numId="15">
    <w:abstractNumId w:val="13"/>
  </w:num>
  <w:num w:numId="16">
    <w:abstractNumId w:val="13"/>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63"/>
    <w:rsid w:val="0002279E"/>
    <w:rsid w:val="000D0FC2"/>
    <w:rsid w:val="00154C8A"/>
    <w:rsid w:val="00200445"/>
    <w:rsid w:val="0021396E"/>
    <w:rsid w:val="002738AD"/>
    <w:rsid w:val="00293989"/>
    <w:rsid w:val="002F4817"/>
    <w:rsid w:val="003D62DE"/>
    <w:rsid w:val="003D7DE8"/>
    <w:rsid w:val="00442610"/>
    <w:rsid w:val="00445B0C"/>
    <w:rsid w:val="004560C6"/>
    <w:rsid w:val="00497AF4"/>
    <w:rsid w:val="004E234E"/>
    <w:rsid w:val="005111C1"/>
    <w:rsid w:val="005748B2"/>
    <w:rsid w:val="006D25FC"/>
    <w:rsid w:val="008350D7"/>
    <w:rsid w:val="00905698"/>
    <w:rsid w:val="009228E0"/>
    <w:rsid w:val="00922B2E"/>
    <w:rsid w:val="009925F5"/>
    <w:rsid w:val="00A01763"/>
    <w:rsid w:val="00A71B1A"/>
    <w:rsid w:val="00A76E55"/>
    <w:rsid w:val="00A93727"/>
    <w:rsid w:val="00B3018D"/>
    <w:rsid w:val="00B86525"/>
    <w:rsid w:val="00B87532"/>
    <w:rsid w:val="00B96A1B"/>
    <w:rsid w:val="00BA468E"/>
    <w:rsid w:val="00BB5D7A"/>
    <w:rsid w:val="00D17048"/>
    <w:rsid w:val="00D336E4"/>
    <w:rsid w:val="00D76F6B"/>
    <w:rsid w:val="00DA34ED"/>
    <w:rsid w:val="00DA35B3"/>
    <w:rsid w:val="00DC34C8"/>
    <w:rsid w:val="00DC52EF"/>
    <w:rsid w:val="00E00C33"/>
    <w:rsid w:val="00E905F0"/>
    <w:rsid w:val="00EA28B7"/>
    <w:rsid w:val="00EF67BB"/>
    <w:rsid w:val="00F73A69"/>
    <w:rsid w:val="00F80419"/>
    <w:rsid w:val="00FB2612"/>
    <w:rsid w:val="00FC51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4FCD414-1ABA-4DD4-B0CD-0018D133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01763"/>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autoRedefine/>
    <w:uiPriority w:val="9"/>
    <w:qFormat/>
    <w:rsid w:val="00905698"/>
    <w:pPr>
      <w:keepNext/>
      <w:keepLines/>
      <w:spacing w:before="240"/>
      <w:outlineLvl w:val="0"/>
    </w:pPr>
    <w:rPr>
      <w:rFonts w:eastAsiaTheme="majorEastAsia" w:cstheme="majorBidi"/>
      <w:szCs w:val="20"/>
      <w:lang w:val="sl-SI"/>
    </w:rPr>
  </w:style>
  <w:style w:type="paragraph" w:styleId="Naslov2">
    <w:name w:val="heading 2"/>
    <w:basedOn w:val="Navaden"/>
    <w:next w:val="Navaden"/>
    <w:link w:val="Naslov2Znak"/>
    <w:autoRedefine/>
    <w:qFormat/>
    <w:rsid w:val="00905698"/>
    <w:pPr>
      <w:keepNext/>
      <w:spacing w:after="60"/>
      <w:ind w:left="576" w:hanging="576"/>
      <w:jc w:val="both"/>
      <w:outlineLvl w:val="1"/>
    </w:pPr>
    <w:rPr>
      <w:rFonts w:cs="Arial"/>
      <w:bCs/>
      <w:iCs/>
      <w:szCs w:val="20"/>
      <w:lang w:val="sl-SI"/>
    </w:rPr>
  </w:style>
  <w:style w:type="paragraph" w:styleId="Naslov5">
    <w:name w:val="heading 5"/>
    <w:basedOn w:val="Navaden"/>
    <w:next w:val="Navaden"/>
    <w:link w:val="Naslov5Znak"/>
    <w:qFormat/>
    <w:rsid w:val="00DC52EF"/>
    <w:pPr>
      <w:numPr>
        <w:ilvl w:val="4"/>
        <w:numId w:val="5"/>
      </w:numPr>
      <w:spacing w:before="240" w:after="60" w:line="240" w:lineRule="auto"/>
      <w:outlineLvl w:val="4"/>
    </w:pPr>
    <w:rPr>
      <w:b/>
      <w:bCs/>
      <w:i/>
      <w:iCs/>
      <w:sz w:val="26"/>
      <w:szCs w:val="26"/>
      <w:lang w:val="en-GB"/>
    </w:rPr>
  </w:style>
  <w:style w:type="paragraph" w:styleId="Naslov6">
    <w:name w:val="heading 6"/>
    <w:basedOn w:val="Navaden"/>
    <w:next w:val="Navaden"/>
    <w:link w:val="Naslov6Znak"/>
    <w:qFormat/>
    <w:rsid w:val="00DC52EF"/>
    <w:pPr>
      <w:numPr>
        <w:ilvl w:val="5"/>
        <w:numId w:val="5"/>
      </w:numPr>
      <w:spacing w:before="240" w:after="60" w:line="240" w:lineRule="auto"/>
      <w:outlineLvl w:val="5"/>
    </w:pPr>
    <w:rPr>
      <w:rFonts w:ascii="Times New Roman" w:hAnsi="Times New Roman"/>
      <w:b/>
      <w:bCs/>
      <w:sz w:val="22"/>
      <w:szCs w:val="22"/>
      <w:lang w:val="en-GB"/>
    </w:rPr>
  </w:style>
  <w:style w:type="paragraph" w:styleId="Naslov7">
    <w:name w:val="heading 7"/>
    <w:basedOn w:val="Navaden"/>
    <w:next w:val="Navaden"/>
    <w:link w:val="Naslov7Znak"/>
    <w:qFormat/>
    <w:rsid w:val="00DC52EF"/>
    <w:pPr>
      <w:numPr>
        <w:ilvl w:val="6"/>
        <w:numId w:val="5"/>
      </w:numPr>
      <w:spacing w:before="240" w:after="60" w:line="240" w:lineRule="auto"/>
      <w:outlineLvl w:val="6"/>
    </w:pPr>
    <w:rPr>
      <w:rFonts w:ascii="Times New Roman" w:hAnsi="Times New Roman"/>
      <w:sz w:val="24"/>
      <w:lang w:val="en-GB"/>
    </w:rPr>
  </w:style>
  <w:style w:type="paragraph" w:styleId="Naslov8">
    <w:name w:val="heading 8"/>
    <w:basedOn w:val="Navaden"/>
    <w:next w:val="Navaden"/>
    <w:link w:val="Naslov8Znak"/>
    <w:qFormat/>
    <w:rsid w:val="00DC52EF"/>
    <w:pPr>
      <w:numPr>
        <w:ilvl w:val="7"/>
        <w:numId w:val="5"/>
      </w:numPr>
      <w:spacing w:before="240" w:after="60" w:line="240" w:lineRule="auto"/>
      <w:outlineLvl w:val="7"/>
    </w:pPr>
    <w:rPr>
      <w:rFonts w:ascii="Times New Roman" w:hAnsi="Times New Roman"/>
      <w:i/>
      <w:iCs/>
      <w:sz w:val="24"/>
      <w:lang w:val="en-GB"/>
    </w:rPr>
  </w:style>
  <w:style w:type="paragraph" w:styleId="Naslov9">
    <w:name w:val="heading 9"/>
    <w:basedOn w:val="Navaden"/>
    <w:next w:val="Navaden"/>
    <w:link w:val="Naslov9Znak"/>
    <w:qFormat/>
    <w:rsid w:val="00DC52EF"/>
    <w:pPr>
      <w:numPr>
        <w:ilvl w:val="8"/>
        <w:numId w:val="5"/>
      </w:numPr>
      <w:spacing w:before="240" w:after="60" w:line="240" w:lineRule="auto"/>
      <w:outlineLvl w:val="8"/>
    </w:pPr>
    <w:rPr>
      <w:rFonts w:cs="Arial"/>
      <w:sz w:val="22"/>
      <w:szCs w:val="22"/>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01763"/>
    <w:pPr>
      <w:tabs>
        <w:tab w:val="center" w:pos="4320"/>
        <w:tab w:val="right" w:pos="8640"/>
      </w:tabs>
    </w:pPr>
  </w:style>
  <w:style w:type="character" w:customStyle="1" w:styleId="GlavaZnak">
    <w:name w:val="Glava Znak"/>
    <w:basedOn w:val="Privzetapisavaodstavka"/>
    <w:link w:val="Glava"/>
    <w:rsid w:val="00A01763"/>
    <w:rPr>
      <w:rFonts w:ascii="Arial" w:eastAsia="Times New Roman" w:hAnsi="Arial" w:cs="Times New Roman"/>
      <w:sz w:val="20"/>
      <w:szCs w:val="24"/>
      <w:lang w:val="en-US"/>
    </w:rPr>
  </w:style>
  <w:style w:type="paragraph" w:styleId="Noga">
    <w:name w:val="footer"/>
    <w:basedOn w:val="Navaden"/>
    <w:link w:val="NogaZnak"/>
    <w:uiPriority w:val="99"/>
    <w:rsid w:val="00A01763"/>
    <w:pPr>
      <w:tabs>
        <w:tab w:val="center" w:pos="4320"/>
        <w:tab w:val="right" w:pos="8640"/>
      </w:tabs>
    </w:pPr>
  </w:style>
  <w:style w:type="character" w:customStyle="1" w:styleId="NogaZnak">
    <w:name w:val="Noga Znak"/>
    <w:basedOn w:val="Privzetapisavaodstavka"/>
    <w:link w:val="Noga"/>
    <w:uiPriority w:val="99"/>
    <w:rsid w:val="00A01763"/>
    <w:rPr>
      <w:rFonts w:ascii="Arial" w:eastAsia="Times New Roman" w:hAnsi="Arial" w:cs="Times New Roman"/>
      <w:sz w:val="20"/>
      <w:szCs w:val="24"/>
      <w:lang w:val="en-US"/>
    </w:rPr>
  </w:style>
  <w:style w:type="character" w:styleId="tevilkastrani">
    <w:name w:val="page number"/>
    <w:basedOn w:val="Privzetapisavaodstavka"/>
    <w:rsid w:val="00A01763"/>
  </w:style>
  <w:style w:type="paragraph" w:styleId="Besedilooblaka">
    <w:name w:val="Balloon Text"/>
    <w:basedOn w:val="Navaden"/>
    <w:link w:val="BesedilooblakaZnak"/>
    <w:uiPriority w:val="99"/>
    <w:semiHidden/>
    <w:unhideWhenUsed/>
    <w:rsid w:val="00A0176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1763"/>
    <w:rPr>
      <w:rFonts w:ascii="Tahoma" w:eastAsia="Times New Roman" w:hAnsi="Tahoma" w:cs="Tahoma"/>
      <w:sz w:val="16"/>
      <w:szCs w:val="16"/>
      <w:lang w:val="en-US"/>
    </w:rPr>
  </w:style>
  <w:style w:type="paragraph" w:customStyle="1" w:styleId="datumtevilka">
    <w:name w:val="datum številka"/>
    <w:basedOn w:val="Navaden"/>
    <w:qFormat/>
    <w:rsid w:val="00FB2612"/>
    <w:pPr>
      <w:tabs>
        <w:tab w:val="left" w:pos="1701"/>
      </w:tabs>
    </w:pPr>
    <w:rPr>
      <w:szCs w:val="20"/>
      <w:lang w:val="sl-SI" w:eastAsia="sl-SI"/>
    </w:rPr>
  </w:style>
  <w:style w:type="paragraph" w:customStyle="1" w:styleId="ZADEVA">
    <w:name w:val="ZADEVA"/>
    <w:basedOn w:val="Navaden"/>
    <w:qFormat/>
    <w:rsid w:val="00FB2612"/>
    <w:pPr>
      <w:tabs>
        <w:tab w:val="left" w:pos="1701"/>
      </w:tabs>
      <w:ind w:left="1701" w:hanging="1701"/>
    </w:pPr>
    <w:rPr>
      <w:b/>
      <w:lang w:val="it-IT"/>
    </w:rPr>
  </w:style>
  <w:style w:type="paragraph" w:customStyle="1" w:styleId="podpisi">
    <w:name w:val="podpisi"/>
    <w:basedOn w:val="Navaden"/>
    <w:qFormat/>
    <w:rsid w:val="00FB2612"/>
    <w:pPr>
      <w:tabs>
        <w:tab w:val="left" w:pos="3402"/>
      </w:tabs>
    </w:pPr>
    <w:rPr>
      <w:lang w:val="it-IT"/>
    </w:rPr>
  </w:style>
  <w:style w:type="character" w:styleId="Hiperpovezava">
    <w:name w:val="Hyperlink"/>
    <w:basedOn w:val="Privzetapisavaodstavka"/>
    <w:unhideWhenUsed/>
    <w:rsid w:val="00A93727"/>
    <w:rPr>
      <w:color w:val="0000FF" w:themeColor="hyperlink"/>
      <w:u w:val="single"/>
    </w:rPr>
  </w:style>
  <w:style w:type="character" w:customStyle="1" w:styleId="Naslov2Znak">
    <w:name w:val="Naslov 2 Znak"/>
    <w:basedOn w:val="Privzetapisavaodstavka"/>
    <w:link w:val="Naslov2"/>
    <w:rsid w:val="00905698"/>
    <w:rPr>
      <w:rFonts w:ascii="Arial" w:eastAsia="Times New Roman" w:hAnsi="Arial" w:cs="Arial"/>
      <w:bCs/>
      <w:iCs/>
      <w:sz w:val="20"/>
      <w:szCs w:val="20"/>
    </w:rPr>
  </w:style>
  <w:style w:type="character" w:customStyle="1" w:styleId="Naslov5Znak">
    <w:name w:val="Naslov 5 Znak"/>
    <w:basedOn w:val="Privzetapisavaodstavka"/>
    <w:link w:val="Naslov5"/>
    <w:rsid w:val="00DC52EF"/>
    <w:rPr>
      <w:rFonts w:ascii="Arial" w:eastAsia="Times New Roman" w:hAnsi="Arial" w:cs="Times New Roman"/>
      <w:b/>
      <w:bCs/>
      <w:i/>
      <w:iCs/>
      <w:sz w:val="26"/>
      <w:szCs w:val="26"/>
      <w:lang w:val="en-GB"/>
    </w:rPr>
  </w:style>
  <w:style w:type="character" w:customStyle="1" w:styleId="Naslov6Znak">
    <w:name w:val="Naslov 6 Znak"/>
    <w:basedOn w:val="Privzetapisavaodstavka"/>
    <w:link w:val="Naslov6"/>
    <w:rsid w:val="00DC52EF"/>
    <w:rPr>
      <w:rFonts w:ascii="Times New Roman" w:eastAsia="Times New Roman" w:hAnsi="Times New Roman" w:cs="Times New Roman"/>
      <w:b/>
      <w:bCs/>
      <w:lang w:val="en-GB"/>
    </w:rPr>
  </w:style>
  <w:style w:type="character" w:customStyle="1" w:styleId="Naslov7Znak">
    <w:name w:val="Naslov 7 Znak"/>
    <w:basedOn w:val="Privzetapisavaodstavka"/>
    <w:link w:val="Naslov7"/>
    <w:rsid w:val="00DC52EF"/>
    <w:rPr>
      <w:rFonts w:ascii="Times New Roman" w:eastAsia="Times New Roman" w:hAnsi="Times New Roman" w:cs="Times New Roman"/>
      <w:sz w:val="24"/>
      <w:szCs w:val="24"/>
      <w:lang w:val="en-GB"/>
    </w:rPr>
  </w:style>
  <w:style w:type="character" w:customStyle="1" w:styleId="Naslov8Znak">
    <w:name w:val="Naslov 8 Znak"/>
    <w:basedOn w:val="Privzetapisavaodstavka"/>
    <w:link w:val="Naslov8"/>
    <w:rsid w:val="00DC52EF"/>
    <w:rPr>
      <w:rFonts w:ascii="Times New Roman" w:eastAsia="Times New Roman" w:hAnsi="Times New Roman" w:cs="Times New Roman"/>
      <w:i/>
      <w:iCs/>
      <w:sz w:val="24"/>
      <w:szCs w:val="24"/>
      <w:lang w:val="en-GB"/>
    </w:rPr>
  </w:style>
  <w:style w:type="character" w:customStyle="1" w:styleId="Naslov9Znak">
    <w:name w:val="Naslov 9 Znak"/>
    <w:basedOn w:val="Privzetapisavaodstavka"/>
    <w:link w:val="Naslov9"/>
    <w:rsid w:val="00DC52EF"/>
    <w:rPr>
      <w:rFonts w:ascii="Arial" w:eastAsia="Times New Roman" w:hAnsi="Arial" w:cs="Arial"/>
      <w:lang w:val="en-GB"/>
    </w:rPr>
  </w:style>
  <w:style w:type="paragraph" w:styleId="Oznaenseznam">
    <w:name w:val="List Bullet"/>
    <w:basedOn w:val="Navaden"/>
    <w:rsid w:val="00905698"/>
    <w:pPr>
      <w:numPr>
        <w:numId w:val="6"/>
      </w:numPr>
      <w:spacing w:before="120" w:after="120" w:line="240" w:lineRule="auto"/>
      <w:jc w:val="both"/>
    </w:pPr>
    <w:rPr>
      <w:rFonts w:ascii="Times New Roman" w:hAnsi="Times New Roman"/>
      <w:sz w:val="24"/>
      <w:lang w:val="sl-SI"/>
    </w:rPr>
  </w:style>
  <w:style w:type="paragraph" w:styleId="Brezrazmikov">
    <w:name w:val="No Spacing"/>
    <w:uiPriority w:val="1"/>
    <w:qFormat/>
    <w:rsid w:val="00905698"/>
    <w:pPr>
      <w:spacing w:after="0" w:line="240" w:lineRule="auto"/>
    </w:pPr>
    <w:rPr>
      <w:rFonts w:ascii="Arial" w:eastAsia="Times New Roman" w:hAnsi="Arial" w:cs="Times New Roman"/>
      <w:sz w:val="20"/>
      <w:szCs w:val="24"/>
      <w:lang w:eastAsia="sl-SI"/>
    </w:rPr>
  </w:style>
  <w:style w:type="character" w:customStyle="1" w:styleId="Naslov1Znak">
    <w:name w:val="Naslov 1 Znak"/>
    <w:basedOn w:val="Privzetapisavaodstavka"/>
    <w:link w:val="Naslov1"/>
    <w:uiPriority w:val="9"/>
    <w:rsid w:val="00905698"/>
    <w:rPr>
      <w:rFonts w:ascii="Arial" w:eastAsiaTheme="majorEastAsia" w:hAnsi="Arial" w:cstheme="majorBidi"/>
      <w:sz w:val="20"/>
      <w:szCs w:val="20"/>
    </w:rPr>
  </w:style>
  <w:style w:type="paragraph" w:styleId="Sprotnaopomba-besedilo">
    <w:name w:val="footnote text"/>
    <w:basedOn w:val="Navaden"/>
    <w:link w:val="Sprotnaopomba-besediloZnak"/>
    <w:uiPriority w:val="99"/>
    <w:semiHidden/>
    <w:unhideWhenUsed/>
    <w:rsid w:val="0021396E"/>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1396E"/>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21396E"/>
    <w:rPr>
      <w:vertAlign w:val="superscript"/>
    </w:rPr>
  </w:style>
  <w:style w:type="paragraph" w:customStyle="1" w:styleId="Brezrazmikov1">
    <w:name w:val="Brez razmikov1"/>
    <w:qFormat/>
    <w:rsid w:val="005111C1"/>
    <w:pPr>
      <w:spacing w:after="0" w:line="240" w:lineRule="auto"/>
    </w:pPr>
    <w:rPr>
      <w:rFonts w:ascii="Times New Roman" w:eastAsia="Calibri" w:hAnsi="Times New Roman" w:cs="Times New Roman"/>
    </w:rPr>
  </w:style>
  <w:style w:type="paragraph" w:customStyle="1" w:styleId="Default">
    <w:name w:val="Default"/>
    <w:rsid w:val="005111C1"/>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paragraph" w:styleId="Navadensplet">
    <w:name w:val="Normal (Web)"/>
    <w:basedOn w:val="Navaden"/>
    <w:uiPriority w:val="99"/>
    <w:rsid w:val="009228E0"/>
    <w:pPr>
      <w:numPr>
        <w:numId w:val="15"/>
      </w:numPr>
      <w:spacing w:after="210" w:line="240" w:lineRule="auto"/>
      <w:ind w:left="0" w:firstLine="0"/>
    </w:pPr>
    <w:rPr>
      <w:rFonts w:ascii="Times New Roman" w:hAnsi="Times New Roman"/>
      <w:color w:val="333333"/>
      <w:sz w:val="18"/>
      <w:szCs w:val="18"/>
      <w:lang w:val="sl-SI" w:eastAsia="sl-SI"/>
    </w:rPr>
  </w:style>
  <w:style w:type="paragraph" w:styleId="Pripombabesedilo">
    <w:name w:val="annotation text"/>
    <w:aliases w:val="Komentar - besedilo"/>
    <w:basedOn w:val="Navaden"/>
    <w:link w:val="PripombabesediloZnak"/>
    <w:uiPriority w:val="99"/>
    <w:rsid w:val="009228E0"/>
    <w:pPr>
      <w:overflowPunct w:val="0"/>
      <w:autoSpaceDE w:val="0"/>
      <w:autoSpaceDN w:val="0"/>
      <w:adjustRightInd w:val="0"/>
      <w:spacing w:line="240" w:lineRule="auto"/>
      <w:jc w:val="both"/>
      <w:textAlignment w:val="baseline"/>
    </w:pPr>
    <w:rPr>
      <w:rFonts w:ascii="Times New Roman" w:hAnsi="Times New Roman"/>
      <w:szCs w:val="20"/>
      <w:lang w:val="sl-SI"/>
    </w:rPr>
  </w:style>
  <w:style w:type="character" w:customStyle="1" w:styleId="PripombabesediloZnak">
    <w:name w:val="Pripomba – besedilo Znak"/>
    <w:basedOn w:val="Privzetapisavaodstavka"/>
    <w:link w:val="Pripombabesedilo"/>
    <w:uiPriority w:val="99"/>
    <w:rsid w:val="009228E0"/>
    <w:rPr>
      <w:rFonts w:ascii="Times New Roman" w:eastAsia="Times New Roman" w:hAnsi="Times New Roman" w:cs="Times New Roman"/>
      <w:sz w:val="20"/>
      <w:szCs w:val="20"/>
    </w:rPr>
  </w:style>
  <w:style w:type="paragraph" w:styleId="Odstavekseznama">
    <w:name w:val="List Paragraph"/>
    <w:basedOn w:val="Navaden"/>
    <w:uiPriority w:val="34"/>
    <w:qFormat/>
    <w:rsid w:val="009228E0"/>
    <w:pPr>
      <w:spacing w:line="240" w:lineRule="auto"/>
      <w:ind w:left="720"/>
      <w:contextualSpacing/>
      <w:jc w:val="both"/>
    </w:pPr>
    <w:rPr>
      <w:rFonts w:ascii="Times New Roman" w:hAnsi="Times New Roman"/>
      <w:sz w:val="22"/>
      <w:szCs w:val="20"/>
      <w:lang w:val="sl-SI" w:eastAsia="sl-SI"/>
    </w:rPr>
  </w:style>
  <w:style w:type="paragraph" w:styleId="Podnaslov">
    <w:name w:val="Subtitle"/>
    <w:basedOn w:val="Navaden"/>
    <w:next w:val="Navaden"/>
    <w:link w:val="PodnaslovZnak"/>
    <w:uiPriority w:val="11"/>
    <w:qFormat/>
    <w:rsid w:val="009228E0"/>
    <w:pPr>
      <w:numPr>
        <w:ilvl w:val="1"/>
      </w:numPr>
      <w:spacing w:line="240" w:lineRule="auto"/>
    </w:pPr>
    <w:rPr>
      <w:rFonts w:ascii="Times New Roman" w:hAnsi="Times New Roman"/>
      <w:i/>
      <w:iCs/>
      <w:color w:val="4F81BD"/>
      <w:spacing w:val="15"/>
      <w:sz w:val="24"/>
      <w:lang w:val="sl-SI"/>
    </w:rPr>
  </w:style>
  <w:style w:type="character" w:customStyle="1" w:styleId="PodnaslovZnak">
    <w:name w:val="Podnaslov Znak"/>
    <w:basedOn w:val="Privzetapisavaodstavka"/>
    <w:link w:val="Podnaslov"/>
    <w:uiPriority w:val="11"/>
    <w:rsid w:val="009228E0"/>
    <w:rPr>
      <w:rFonts w:ascii="Times New Roman" w:eastAsia="Times New Roman" w:hAnsi="Times New Roman" w:cs="Times New Roman"/>
      <w:i/>
      <w:iCs/>
      <w:color w:val="4F81BD"/>
      <w:spacing w:val="15"/>
      <w:sz w:val="24"/>
      <w:szCs w:val="24"/>
    </w:rPr>
  </w:style>
  <w:style w:type="character" w:styleId="Pripombasklic">
    <w:name w:val="annotation reference"/>
    <w:aliases w:val="Komentar - sklic"/>
    <w:uiPriority w:val="99"/>
    <w:semiHidden/>
    <w:rsid w:val="009228E0"/>
    <w:rPr>
      <w:sz w:val="16"/>
      <w:szCs w:val="16"/>
    </w:rPr>
  </w:style>
  <w:style w:type="paragraph" w:styleId="Kazalovsebine2">
    <w:name w:val="toc 2"/>
    <w:basedOn w:val="Navaden"/>
    <w:next w:val="Navaden"/>
    <w:autoRedefine/>
    <w:uiPriority w:val="39"/>
    <w:qFormat/>
    <w:rsid w:val="009228E0"/>
    <w:pPr>
      <w:spacing w:before="240"/>
    </w:pPr>
    <w:rPr>
      <w:rFonts w:ascii="Calibri" w:hAnsi="Calibri" w:cs="Calibri"/>
      <w:b/>
      <w:bCs/>
      <w:szCs w:val="20"/>
      <w:lang w:val="sl-SI"/>
    </w:rPr>
  </w:style>
  <w:style w:type="paragraph" w:styleId="NaslovTOC">
    <w:name w:val="TOC Heading"/>
    <w:basedOn w:val="Naslov1"/>
    <w:next w:val="Navaden"/>
    <w:uiPriority w:val="39"/>
    <w:unhideWhenUsed/>
    <w:qFormat/>
    <w:rsid w:val="009228E0"/>
    <w:pPr>
      <w:spacing w:before="480" w:line="276" w:lineRule="auto"/>
      <w:jc w:val="both"/>
      <w:outlineLvl w:val="9"/>
    </w:pPr>
    <w:rPr>
      <w:rFonts w:ascii="Cambria" w:eastAsia="Times New Roman" w:hAnsi="Cambria" w:cs="Times New Roman"/>
      <w:b/>
      <w:bCs/>
      <w:color w:val="365F91"/>
      <w:sz w:val="22"/>
      <w:szCs w:val="28"/>
      <w:lang w:eastAsia="sl-SI"/>
    </w:rPr>
  </w:style>
  <w:style w:type="paragraph" w:styleId="Kazalovsebine1">
    <w:name w:val="toc 1"/>
    <w:basedOn w:val="Navaden"/>
    <w:next w:val="Navaden"/>
    <w:autoRedefine/>
    <w:uiPriority w:val="39"/>
    <w:unhideWhenUsed/>
    <w:qFormat/>
    <w:rsid w:val="009228E0"/>
    <w:pPr>
      <w:spacing w:before="360"/>
    </w:pPr>
    <w:rPr>
      <w:rFonts w:ascii="Cambria" w:hAnsi="Cambria"/>
      <w:b/>
      <w:bCs/>
      <w:caps/>
      <w:sz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ov_delovni_list.xlsx"/><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0608B8-B13E-4793-BC8D-6D9546B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1703</Words>
  <Characters>9710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Dolinsek</dc:creator>
  <cp:lastModifiedBy>Neža Sautet</cp:lastModifiedBy>
  <cp:revision>3</cp:revision>
  <dcterms:created xsi:type="dcterms:W3CDTF">2023-07-09T21:43:00Z</dcterms:created>
  <dcterms:modified xsi:type="dcterms:W3CDTF">2023-07-09T21:43:00Z</dcterms:modified>
</cp:coreProperties>
</file>