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B7EDE" w14:textId="77777777" w:rsidR="00A77B3E" w:rsidRDefault="00A77B3E"/>
    <w:p w14:paraId="7FAF00CF" w14:textId="77777777" w:rsidR="00A77B3E" w:rsidRPr="00857B1D" w:rsidRDefault="00EE0419">
      <w:pPr>
        <w:jc w:val="center"/>
        <w:rPr>
          <w:color w:val="000000"/>
          <w:sz w:val="32"/>
          <w:lang w:val="it-IT"/>
        </w:rPr>
      </w:pPr>
      <w:r w:rsidRPr="00857B1D">
        <w:rPr>
          <w:color w:val="000000"/>
          <w:sz w:val="32"/>
          <w:lang w:val="it-IT"/>
        </w:rPr>
        <w:t>Program SFC2021 za AMIF, SNV in IUMV</w:t>
      </w:r>
    </w:p>
    <w:p w14:paraId="77BEF032" w14:textId="77777777" w:rsidR="00A77B3E" w:rsidRPr="00857B1D" w:rsidRDefault="00A77B3E">
      <w:pPr>
        <w:jc w:val="center"/>
        <w:rPr>
          <w:color w:val="000000"/>
          <w:sz w:val="32"/>
          <w:lang w:val="it-IT"/>
        </w:rPr>
      </w:pPr>
    </w:p>
    <w:p w14:paraId="731196B0" w14:textId="77777777" w:rsidR="00A77B3E" w:rsidRPr="00857B1D" w:rsidRDefault="00A77B3E">
      <w:pPr>
        <w:jc w:val="center"/>
        <w:rPr>
          <w:color w:val="000000"/>
          <w:sz w:val="3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5120"/>
      </w:tblGrid>
      <w:tr w:rsidR="00EC4D24" w14:paraId="614F5D1F" w14:textId="77777777">
        <w:trPr>
          <w:trHeight w:val="240"/>
        </w:trPr>
        <w:tc>
          <w:tcPr>
            <w:tcW w:w="1667" w:type="pct"/>
            <w:tcMar>
              <w:left w:w="100" w:type="dxa"/>
              <w:right w:w="100" w:type="dxa"/>
            </w:tcMar>
          </w:tcPr>
          <w:p w14:paraId="04CEC6C4" w14:textId="77777777" w:rsidR="00A77B3E" w:rsidRDefault="00EE0419">
            <w:pPr>
              <w:rPr>
                <w:color w:val="000000"/>
              </w:rPr>
            </w:pPr>
            <w:r>
              <w:rPr>
                <w:color w:val="000000"/>
              </w:rPr>
              <w:t>Številka CCI</w:t>
            </w:r>
          </w:p>
        </w:tc>
        <w:tc>
          <w:tcPr>
            <w:tcW w:w="1667" w:type="pct"/>
            <w:tcMar>
              <w:left w:w="100" w:type="dxa"/>
              <w:right w:w="100" w:type="dxa"/>
            </w:tcMar>
          </w:tcPr>
          <w:p w14:paraId="0BAC052E" w14:textId="77777777" w:rsidR="00A77B3E" w:rsidRDefault="00EE0419">
            <w:pPr>
              <w:rPr>
                <w:color w:val="000000"/>
              </w:rPr>
            </w:pPr>
            <w:r>
              <w:rPr>
                <w:color w:val="000000"/>
              </w:rPr>
              <w:t>2021SI65AMPR001</w:t>
            </w:r>
          </w:p>
        </w:tc>
      </w:tr>
      <w:tr w:rsidR="00EC4D24" w14:paraId="267958E5" w14:textId="77777777">
        <w:trPr>
          <w:trHeight w:val="240"/>
        </w:trPr>
        <w:tc>
          <w:tcPr>
            <w:tcW w:w="1667" w:type="pct"/>
            <w:tcMar>
              <w:left w:w="100" w:type="dxa"/>
              <w:right w:w="100" w:type="dxa"/>
            </w:tcMar>
          </w:tcPr>
          <w:p w14:paraId="3CB45CEE" w14:textId="77777777" w:rsidR="00A77B3E" w:rsidRDefault="00EE0419">
            <w:pPr>
              <w:rPr>
                <w:color w:val="000000"/>
              </w:rPr>
            </w:pPr>
            <w:r>
              <w:rPr>
                <w:color w:val="000000"/>
              </w:rPr>
              <w:t>Naslov v angleščini</w:t>
            </w:r>
          </w:p>
        </w:tc>
        <w:tc>
          <w:tcPr>
            <w:tcW w:w="1667" w:type="pct"/>
            <w:tcMar>
              <w:left w:w="100" w:type="dxa"/>
              <w:right w:w="100" w:type="dxa"/>
            </w:tcMar>
          </w:tcPr>
          <w:p w14:paraId="6E5DFB29" w14:textId="77777777" w:rsidR="00A77B3E" w:rsidRDefault="00EE0419">
            <w:pPr>
              <w:rPr>
                <w:color w:val="000000"/>
              </w:rPr>
            </w:pPr>
            <w:r>
              <w:rPr>
                <w:color w:val="000000"/>
              </w:rPr>
              <w:t>Programme Slovenia - AMIF</w:t>
            </w:r>
          </w:p>
        </w:tc>
      </w:tr>
      <w:tr w:rsidR="00EC4D24" w14:paraId="1E34DEF5" w14:textId="77777777">
        <w:trPr>
          <w:trHeight w:val="240"/>
        </w:trPr>
        <w:tc>
          <w:tcPr>
            <w:tcW w:w="1667" w:type="pct"/>
            <w:tcMar>
              <w:left w:w="100" w:type="dxa"/>
              <w:right w:w="100" w:type="dxa"/>
            </w:tcMar>
          </w:tcPr>
          <w:p w14:paraId="18540C8E" w14:textId="77777777" w:rsidR="00A77B3E" w:rsidRDefault="00EE0419">
            <w:pPr>
              <w:rPr>
                <w:color w:val="000000"/>
              </w:rPr>
            </w:pPr>
            <w:r>
              <w:rPr>
                <w:color w:val="000000"/>
              </w:rPr>
              <w:t>Naslov v nacionalnem jeziku (nacionalnih jezikih)</w:t>
            </w:r>
          </w:p>
        </w:tc>
        <w:tc>
          <w:tcPr>
            <w:tcW w:w="1667" w:type="pct"/>
            <w:tcMar>
              <w:left w:w="100" w:type="dxa"/>
              <w:right w:w="100" w:type="dxa"/>
            </w:tcMar>
          </w:tcPr>
          <w:p w14:paraId="6B726260" w14:textId="77777777" w:rsidR="00A77B3E" w:rsidRDefault="00EE0419">
            <w:pPr>
              <w:rPr>
                <w:color w:val="000000"/>
              </w:rPr>
            </w:pPr>
            <w:r>
              <w:rPr>
                <w:color w:val="000000"/>
              </w:rPr>
              <w:t>SL - Programme Slovenia - AMIF</w:t>
            </w:r>
          </w:p>
        </w:tc>
      </w:tr>
      <w:tr w:rsidR="00EC4D24" w14:paraId="1ADA455F" w14:textId="77777777">
        <w:trPr>
          <w:trHeight w:val="240"/>
        </w:trPr>
        <w:tc>
          <w:tcPr>
            <w:tcW w:w="1667" w:type="pct"/>
            <w:tcMar>
              <w:left w:w="100" w:type="dxa"/>
              <w:right w:w="100" w:type="dxa"/>
            </w:tcMar>
          </w:tcPr>
          <w:p w14:paraId="6D5A2E00" w14:textId="77777777" w:rsidR="00A77B3E" w:rsidRDefault="00EE0419">
            <w:pPr>
              <w:rPr>
                <w:color w:val="000000"/>
              </w:rPr>
            </w:pPr>
            <w:r>
              <w:rPr>
                <w:color w:val="000000"/>
              </w:rPr>
              <w:t>Različica</w:t>
            </w:r>
          </w:p>
        </w:tc>
        <w:tc>
          <w:tcPr>
            <w:tcW w:w="1667" w:type="pct"/>
            <w:tcMar>
              <w:left w:w="100" w:type="dxa"/>
              <w:right w:w="100" w:type="dxa"/>
            </w:tcMar>
          </w:tcPr>
          <w:p w14:paraId="37A39D67" w14:textId="77777777" w:rsidR="00A77B3E" w:rsidRDefault="00EE0419">
            <w:pPr>
              <w:rPr>
                <w:color w:val="000000"/>
              </w:rPr>
            </w:pPr>
            <w:r>
              <w:rPr>
                <w:color w:val="000000"/>
              </w:rPr>
              <w:t>2.0</w:t>
            </w:r>
          </w:p>
        </w:tc>
      </w:tr>
      <w:tr w:rsidR="00EC4D24" w14:paraId="19D48404" w14:textId="77777777">
        <w:trPr>
          <w:trHeight w:val="240"/>
        </w:trPr>
        <w:tc>
          <w:tcPr>
            <w:tcW w:w="1667" w:type="pct"/>
            <w:tcMar>
              <w:left w:w="100" w:type="dxa"/>
              <w:right w:w="100" w:type="dxa"/>
            </w:tcMar>
          </w:tcPr>
          <w:p w14:paraId="42A415E5" w14:textId="77777777" w:rsidR="00A77B3E" w:rsidRDefault="00EE0419">
            <w:pPr>
              <w:rPr>
                <w:color w:val="000000"/>
              </w:rPr>
            </w:pPr>
            <w:r>
              <w:rPr>
                <w:color w:val="000000"/>
              </w:rPr>
              <w:t>Prvo leto</w:t>
            </w:r>
          </w:p>
        </w:tc>
        <w:tc>
          <w:tcPr>
            <w:tcW w:w="1667" w:type="pct"/>
            <w:tcMar>
              <w:left w:w="100" w:type="dxa"/>
              <w:right w:w="100" w:type="dxa"/>
            </w:tcMar>
          </w:tcPr>
          <w:p w14:paraId="2BE8B780" w14:textId="77777777" w:rsidR="00A77B3E" w:rsidRDefault="00EE0419">
            <w:pPr>
              <w:rPr>
                <w:color w:val="000000"/>
              </w:rPr>
            </w:pPr>
            <w:r>
              <w:rPr>
                <w:color w:val="000000"/>
              </w:rPr>
              <w:t>2021</w:t>
            </w:r>
          </w:p>
        </w:tc>
      </w:tr>
      <w:tr w:rsidR="00EC4D24" w14:paraId="50539620" w14:textId="77777777">
        <w:trPr>
          <w:trHeight w:val="240"/>
        </w:trPr>
        <w:tc>
          <w:tcPr>
            <w:tcW w:w="1667" w:type="pct"/>
            <w:tcMar>
              <w:left w:w="100" w:type="dxa"/>
              <w:right w:w="100" w:type="dxa"/>
            </w:tcMar>
          </w:tcPr>
          <w:p w14:paraId="08D9511E" w14:textId="77777777" w:rsidR="00A77B3E" w:rsidRDefault="00EE0419">
            <w:pPr>
              <w:rPr>
                <w:color w:val="000000"/>
              </w:rPr>
            </w:pPr>
            <w:r>
              <w:rPr>
                <w:color w:val="000000"/>
              </w:rPr>
              <w:t>Zadnje leto</w:t>
            </w:r>
          </w:p>
        </w:tc>
        <w:tc>
          <w:tcPr>
            <w:tcW w:w="1667" w:type="pct"/>
            <w:tcMar>
              <w:left w:w="100" w:type="dxa"/>
              <w:right w:w="100" w:type="dxa"/>
            </w:tcMar>
          </w:tcPr>
          <w:p w14:paraId="1409A034" w14:textId="77777777" w:rsidR="00A77B3E" w:rsidRDefault="00EE0419">
            <w:pPr>
              <w:rPr>
                <w:color w:val="000000"/>
              </w:rPr>
            </w:pPr>
            <w:r>
              <w:rPr>
                <w:color w:val="000000"/>
              </w:rPr>
              <w:t>2027</w:t>
            </w:r>
          </w:p>
        </w:tc>
      </w:tr>
      <w:tr w:rsidR="00EC4D24" w14:paraId="40384D22" w14:textId="77777777">
        <w:trPr>
          <w:trHeight w:val="240"/>
        </w:trPr>
        <w:tc>
          <w:tcPr>
            <w:tcW w:w="1667" w:type="pct"/>
            <w:tcMar>
              <w:left w:w="100" w:type="dxa"/>
              <w:right w:w="100" w:type="dxa"/>
            </w:tcMar>
          </w:tcPr>
          <w:p w14:paraId="31B31C0C" w14:textId="77777777" w:rsidR="00A77B3E" w:rsidRDefault="00EE0419">
            <w:pPr>
              <w:rPr>
                <w:color w:val="000000"/>
              </w:rPr>
            </w:pPr>
            <w:r>
              <w:rPr>
                <w:color w:val="000000"/>
              </w:rPr>
              <w:t>Upravičen od</w:t>
            </w:r>
          </w:p>
        </w:tc>
        <w:tc>
          <w:tcPr>
            <w:tcW w:w="1667" w:type="pct"/>
            <w:tcMar>
              <w:left w:w="100" w:type="dxa"/>
              <w:right w:w="100" w:type="dxa"/>
            </w:tcMar>
          </w:tcPr>
          <w:p w14:paraId="3F47CAB5" w14:textId="77777777" w:rsidR="00A77B3E" w:rsidRDefault="00EE0419">
            <w:pPr>
              <w:rPr>
                <w:color w:val="000000"/>
              </w:rPr>
            </w:pPr>
            <w:r>
              <w:rPr>
                <w:color w:val="000000"/>
              </w:rPr>
              <w:t>1. jan. 2021</w:t>
            </w:r>
          </w:p>
        </w:tc>
      </w:tr>
      <w:tr w:rsidR="00EC4D24" w14:paraId="40954E6F" w14:textId="77777777">
        <w:trPr>
          <w:trHeight w:val="240"/>
        </w:trPr>
        <w:tc>
          <w:tcPr>
            <w:tcW w:w="1667" w:type="pct"/>
            <w:tcMar>
              <w:left w:w="100" w:type="dxa"/>
              <w:right w:w="100" w:type="dxa"/>
            </w:tcMar>
          </w:tcPr>
          <w:p w14:paraId="4AF3E0DA" w14:textId="77777777" w:rsidR="00A77B3E" w:rsidRDefault="00EE0419">
            <w:pPr>
              <w:rPr>
                <w:color w:val="000000"/>
              </w:rPr>
            </w:pPr>
            <w:r>
              <w:rPr>
                <w:color w:val="000000"/>
              </w:rPr>
              <w:t>Upravičen do</w:t>
            </w:r>
          </w:p>
        </w:tc>
        <w:tc>
          <w:tcPr>
            <w:tcW w:w="1667" w:type="pct"/>
            <w:tcMar>
              <w:left w:w="100" w:type="dxa"/>
              <w:right w:w="100" w:type="dxa"/>
            </w:tcMar>
          </w:tcPr>
          <w:p w14:paraId="0905DA53" w14:textId="77777777" w:rsidR="00A77B3E" w:rsidRDefault="00EE0419">
            <w:pPr>
              <w:rPr>
                <w:color w:val="000000"/>
              </w:rPr>
            </w:pPr>
            <w:r>
              <w:rPr>
                <w:color w:val="000000"/>
              </w:rPr>
              <w:t>31. dec. 2029</w:t>
            </w:r>
          </w:p>
        </w:tc>
      </w:tr>
      <w:tr w:rsidR="00EC4D24" w14:paraId="27129C48" w14:textId="77777777">
        <w:trPr>
          <w:trHeight w:val="240"/>
        </w:trPr>
        <w:tc>
          <w:tcPr>
            <w:tcW w:w="1667" w:type="pct"/>
            <w:tcMar>
              <w:left w:w="100" w:type="dxa"/>
              <w:right w:w="100" w:type="dxa"/>
            </w:tcMar>
          </w:tcPr>
          <w:p w14:paraId="3AEEDF93" w14:textId="77777777" w:rsidR="00A77B3E" w:rsidRDefault="00EE0419">
            <w:pPr>
              <w:rPr>
                <w:color w:val="000000"/>
              </w:rPr>
            </w:pPr>
            <w:r>
              <w:rPr>
                <w:color w:val="000000"/>
              </w:rPr>
              <w:t>Številka sklepa Komisije</w:t>
            </w:r>
          </w:p>
        </w:tc>
        <w:tc>
          <w:tcPr>
            <w:tcW w:w="1667" w:type="pct"/>
            <w:tcMar>
              <w:left w:w="100" w:type="dxa"/>
              <w:right w:w="100" w:type="dxa"/>
            </w:tcMar>
          </w:tcPr>
          <w:p w14:paraId="7903EFC7" w14:textId="77777777" w:rsidR="00A77B3E" w:rsidRDefault="00A77B3E">
            <w:pPr>
              <w:rPr>
                <w:color w:val="000000"/>
              </w:rPr>
            </w:pPr>
          </w:p>
        </w:tc>
      </w:tr>
      <w:tr w:rsidR="00EC4D24" w14:paraId="70D82623" w14:textId="77777777">
        <w:trPr>
          <w:trHeight w:val="240"/>
        </w:trPr>
        <w:tc>
          <w:tcPr>
            <w:tcW w:w="1667" w:type="pct"/>
            <w:tcMar>
              <w:left w:w="100" w:type="dxa"/>
              <w:right w:w="100" w:type="dxa"/>
            </w:tcMar>
          </w:tcPr>
          <w:p w14:paraId="10023AB8" w14:textId="77777777" w:rsidR="00A77B3E" w:rsidRDefault="00EE0419">
            <w:pPr>
              <w:rPr>
                <w:color w:val="000000"/>
              </w:rPr>
            </w:pPr>
            <w:r>
              <w:rPr>
                <w:color w:val="000000"/>
              </w:rPr>
              <w:t>Datum sklepa Komisije</w:t>
            </w:r>
          </w:p>
        </w:tc>
        <w:tc>
          <w:tcPr>
            <w:tcW w:w="1667" w:type="pct"/>
            <w:tcMar>
              <w:left w:w="100" w:type="dxa"/>
              <w:right w:w="100" w:type="dxa"/>
            </w:tcMar>
          </w:tcPr>
          <w:p w14:paraId="4093600A" w14:textId="77777777" w:rsidR="00A77B3E" w:rsidRDefault="00A77B3E">
            <w:pPr>
              <w:rPr>
                <w:color w:val="000000"/>
              </w:rPr>
            </w:pPr>
          </w:p>
        </w:tc>
      </w:tr>
      <w:tr w:rsidR="00EC4D24" w14:paraId="2F1F0EA7" w14:textId="77777777">
        <w:trPr>
          <w:trHeight w:val="240"/>
        </w:trPr>
        <w:tc>
          <w:tcPr>
            <w:tcW w:w="1667" w:type="pct"/>
            <w:tcMar>
              <w:left w:w="100" w:type="dxa"/>
              <w:right w:w="100" w:type="dxa"/>
            </w:tcMar>
          </w:tcPr>
          <w:p w14:paraId="2F3C09FF" w14:textId="77777777" w:rsidR="00A77B3E" w:rsidRDefault="00EE0419">
            <w:pPr>
              <w:rPr>
                <w:color w:val="000000"/>
              </w:rPr>
            </w:pPr>
            <w:r>
              <w:rPr>
                <w:color w:val="000000"/>
              </w:rPr>
              <w:t>Številka sklepa države članice o spremembi</w:t>
            </w:r>
          </w:p>
        </w:tc>
        <w:tc>
          <w:tcPr>
            <w:tcW w:w="1667" w:type="pct"/>
            <w:tcMar>
              <w:left w:w="100" w:type="dxa"/>
              <w:right w:w="100" w:type="dxa"/>
            </w:tcMar>
          </w:tcPr>
          <w:p w14:paraId="2D584A17" w14:textId="77777777" w:rsidR="00A77B3E" w:rsidRDefault="00A77B3E">
            <w:pPr>
              <w:rPr>
                <w:color w:val="000000"/>
              </w:rPr>
            </w:pPr>
          </w:p>
        </w:tc>
      </w:tr>
      <w:tr w:rsidR="00EC4D24" w14:paraId="1C964D37" w14:textId="77777777">
        <w:trPr>
          <w:trHeight w:val="240"/>
        </w:trPr>
        <w:tc>
          <w:tcPr>
            <w:tcW w:w="1667" w:type="pct"/>
            <w:tcMar>
              <w:left w:w="100" w:type="dxa"/>
              <w:right w:w="100" w:type="dxa"/>
            </w:tcMar>
          </w:tcPr>
          <w:p w14:paraId="5581DC48" w14:textId="77777777" w:rsidR="00A77B3E" w:rsidRDefault="00EE0419">
            <w:pPr>
              <w:rPr>
                <w:color w:val="000000"/>
              </w:rPr>
            </w:pPr>
            <w:r>
              <w:rPr>
                <w:color w:val="000000"/>
              </w:rPr>
              <w:t>MS amending decision entry into force date</w:t>
            </w:r>
          </w:p>
        </w:tc>
        <w:tc>
          <w:tcPr>
            <w:tcW w:w="1667" w:type="pct"/>
            <w:tcMar>
              <w:left w:w="100" w:type="dxa"/>
              <w:right w:w="100" w:type="dxa"/>
            </w:tcMar>
          </w:tcPr>
          <w:p w14:paraId="71EC9829" w14:textId="77777777" w:rsidR="00A77B3E" w:rsidRDefault="00A77B3E">
            <w:pPr>
              <w:rPr>
                <w:color w:val="000000"/>
              </w:rPr>
            </w:pPr>
          </w:p>
        </w:tc>
      </w:tr>
      <w:tr w:rsidR="00EC4D24" w14:paraId="788793FD" w14:textId="77777777">
        <w:trPr>
          <w:trHeight w:val="240"/>
        </w:trPr>
        <w:tc>
          <w:tcPr>
            <w:tcW w:w="1667" w:type="pct"/>
            <w:tcMar>
              <w:left w:w="100" w:type="dxa"/>
              <w:right w:w="100" w:type="dxa"/>
            </w:tcMar>
          </w:tcPr>
          <w:p w14:paraId="4D1CF53F" w14:textId="77777777" w:rsidR="00A77B3E" w:rsidRDefault="00EE0419">
            <w:pPr>
              <w:rPr>
                <w:color w:val="000000"/>
              </w:rPr>
            </w:pPr>
            <w:r>
              <w:rPr>
                <w:color w:val="000000"/>
              </w:rPr>
              <w:t>Nebistvena prerazporeditev (člen 24(5) uredbe o skupnih določbah)</w:t>
            </w:r>
          </w:p>
        </w:tc>
        <w:tc>
          <w:tcPr>
            <w:tcW w:w="1667" w:type="pct"/>
            <w:tcMar>
              <w:left w:w="100" w:type="dxa"/>
              <w:right w:w="100" w:type="dxa"/>
            </w:tcMar>
          </w:tcPr>
          <w:p w14:paraId="6AF9498D" w14:textId="77777777" w:rsidR="00A77B3E" w:rsidRDefault="00EE0419">
            <w:pPr>
              <w:rPr>
                <w:color w:val="000000"/>
              </w:rPr>
            </w:pPr>
            <w:r>
              <w:rPr>
                <w:color w:val="000000"/>
              </w:rPr>
              <w:t>Ne</w:t>
            </w:r>
          </w:p>
        </w:tc>
      </w:tr>
      <w:tr w:rsidR="00EC4D24" w14:paraId="35A3DB9C" w14:textId="77777777">
        <w:trPr>
          <w:trHeight w:val="240"/>
        </w:trPr>
        <w:tc>
          <w:tcPr>
            <w:tcW w:w="1667" w:type="pct"/>
            <w:tcMar>
              <w:left w:w="100" w:type="dxa"/>
              <w:right w:w="100" w:type="dxa"/>
            </w:tcMar>
          </w:tcPr>
          <w:p w14:paraId="0445552A" w14:textId="77777777" w:rsidR="00A77B3E" w:rsidRDefault="00EE0419">
            <w:pPr>
              <w:rPr>
                <w:color w:val="000000"/>
              </w:rPr>
            </w:pPr>
            <w:r>
              <w:rPr>
                <w:color w:val="000000"/>
              </w:rPr>
              <w:t>Clerical or editorial corrections (24/6) CPR)</w:t>
            </w:r>
          </w:p>
        </w:tc>
        <w:tc>
          <w:tcPr>
            <w:tcW w:w="1667" w:type="pct"/>
            <w:tcMar>
              <w:left w:w="100" w:type="dxa"/>
              <w:right w:w="100" w:type="dxa"/>
            </w:tcMar>
          </w:tcPr>
          <w:p w14:paraId="72E0D04C" w14:textId="77777777" w:rsidR="00A77B3E" w:rsidRDefault="00EE0419">
            <w:pPr>
              <w:rPr>
                <w:color w:val="000000"/>
              </w:rPr>
            </w:pPr>
            <w:r>
              <w:rPr>
                <w:color w:val="000000"/>
              </w:rPr>
              <w:t>Ne</w:t>
            </w:r>
          </w:p>
        </w:tc>
      </w:tr>
      <w:tr w:rsidR="00EC4D24" w14:paraId="04024D2C" w14:textId="77777777">
        <w:trPr>
          <w:trHeight w:val="240"/>
        </w:trPr>
        <w:tc>
          <w:tcPr>
            <w:tcW w:w="1667" w:type="pct"/>
            <w:tcMar>
              <w:left w:w="100" w:type="dxa"/>
              <w:right w:w="100" w:type="dxa"/>
            </w:tcMar>
          </w:tcPr>
          <w:p w14:paraId="6A2CCE01" w14:textId="77777777" w:rsidR="00A77B3E" w:rsidRDefault="00EE0419">
            <w:pPr>
              <w:rPr>
                <w:color w:val="000000"/>
              </w:rPr>
            </w:pPr>
            <w:r>
              <w:rPr>
                <w:color w:val="000000"/>
              </w:rPr>
              <w:t>Thematic facility (Article 11 AMIF Reg., Article 8 BMVI Reg., Article 8 ISF Reg.)</w:t>
            </w:r>
          </w:p>
        </w:tc>
        <w:tc>
          <w:tcPr>
            <w:tcW w:w="1667" w:type="pct"/>
            <w:tcMar>
              <w:left w:w="100" w:type="dxa"/>
              <w:right w:w="100" w:type="dxa"/>
            </w:tcMar>
          </w:tcPr>
          <w:p w14:paraId="53E7F080" w14:textId="77777777" w:rsidR="00A77B3E" w:rsidRDefault="00EE0419">
            <w:pPr>
              <w:rPr>
                <w:color w:val="000000"/>
              </w:rPr>
            </w:pPr>
            <w:r>
              <w:rPr>
                <w:color w:val="000000"/>
              </w:rPr>
              <w:t>Da</w:t>
            </w:r>
          </w:p>
        </w:tc>
      </w:tr>
      <w:tr w:rsidR="00EC4D24" w14:paraId="3ED065AB" w14:textId="77777777">
        <w:trPr>
          <w:trHeight w:val="240"/>
        </w:trPr>
        <w:tc>
          <w:tcPr>
            <w:tcW w:w="1667" w:type="pct"/>
            <w:tcMar>
              <w:left w:w="100" w:type="dxa"/>
              <w:right w:w="100" w:type="dxa"/>
            </w:tcMar>
          </w:tcPr>
          <w:p w14:paraId="67574F53" w14:textId="77777777" w:rsidR="00A77B3E" w:rsidRDefault="00EE0419">
            <w:pPr>
              <w:rPr>
                <w:color w:val="000000"/>
              </w:rPr>
            </w:pPr>
            <w:r>
              <w:rPr>
                <w:color w:val="000000"/>
              </w:rPr>
              <w:t>Approved by monitoring committee</w:t>
            </w:r>
          </w:p>
        </w:tc>
        <w:tc>
          <w:tcPr>
            <w:tcW w:w="1667" w:type="pct"/>
            <w:tcMar>
              <w:left w:w="100" w:type="dxa"/>
              <w:right w:w="100" w:type="dxa"/>
            </w:tcMar>
          </w:tcPr>
          <w:p w14:paraId="1B8B01CA" w14:textId="77777777" w:rsidR="00A77B3E" w:rsidRDefault="00EE0419">
            <w:pPr>
              <w:rPr>
                <w:color w:val="000000"/>
              </w:rPr>
            </w:pPr>
            <w:r>
              <w:rPr>
                <w:color w:val="000000"/>
              </w:rPr>
              <w:t>Ne</w:t>
            </w:r>
          </w:p>
        </w:tc>
      </w:tr>
    </w:tbl>
    <w:p w14:paraId="5BD92F4E" w14:textId="77777777" w:rsidR="00A77B3E" w:rsidRPr="00D32068" w:rsidRDefault="00EE0419">
      <w:pPr>
        <w:jc w:val="center"/>
        <w:rPr>
          <w:b/>
          <w:color w:val="FF0000"/>
        </w:rPr>
      </w:pPr>
      <w:r>
        <w:rPr>
          <w:color w:val="000000"/>
        </w:rPr>
        <w:br w:type="page"/>
      </w:r>
      <w:r w:rsidRPr="00857B1D">
        <w:rPr>
          <w:b/>
        </w:rPr>
        <w:lastRenderedPageBreak/>
        <w:t>Kazalo</w:t>
      </w:r>
    </w:p>
    <w:p w14:paraId="35F8A98A" w14:textId="77777777" w:rsidR="00A77B3E" w:rsidRDefault="00A77B3E">
      <w:pPr>
        <w:jc w:val="center"/>
        <w:rPr>
          <w:color w:val="000000"/>
        </w:rPr>
      </w:pPr>
    </w:p>
    <w:p w14:paraId="1F8CE3AF" w14:textId="0D3C093B" w:rsidR="00EC4D24" w:rsidRDefault="00EE0419">
      <w:pPr>
        <w:pStyle w:val="Kazalovsebine1"/>
        <w:tabs>
          <w:tab w:val="right" w:leader="dot" w:pos="10240"/>
        </w:tabs>
        <w:rPr>
          <w:rFonts w:ascii="Calibri" w:hAnsi="Calibri"/>
          <w:sz w:val="22"/>
        </w:rPr>
      </w:pPr>
      <w:r>
        <w:rPr>
          <w:color w:val="000000"/>
        </w:rPr>
        <w:fldChar w:fldCharType="begin"/>
      </w:r>
      <w:r w:rsidR="00A77B3E">
        <w:rPr>
          <w:color w:val="000000"/>
        </w:rPr>
        <w:instrText>TOC \o "1-9" \z \u \h</w:instrText>
      </w:r>
      <w:r>
        <w:rPr>
          <w:color w:val="000000"/>
        </w:rPr>
        <w:fldChar w:fldCharType="separate"/>
      </w:r>
      <w:hyperlink w:anchor="_Toc256000065" w:history="1">
        <w:r w:rsidR="00A77B3E">
          <w:rPr>
            <w:rStyle w:val="Hiperpovezava"/>
          </w:rPr>
          <w:t>1. Strategija programa: glavni izzivi in odzivi politik</w:t>
        </w:r>
        <w:r>
          <w:tab/>
        </w:r>
        <w:r>
          <w:fldChar w:fldCharType="begin"/>
        </w:r>
        <w:r>
          <w:instrText xml:space="preserve"> PAGEREF _Toc256000065 \h </w:instrText>
        </w:r>
        <w:r>
          <w:fldChar w:fldCharType="separate"/>
        </w:r>
        <w:r w:rsidR="00857B1D">
          <w:t>4</w:t>
        </w:r>
        <w:r>
          <w:fldChar w:fldCharType="end"/>
        </w:r>
      </w:hyperlink>
    </w:p>
    <w:p w14:paraId="7B076E29" w14:textId="6786C0A6" w:rsidR="00EC4D24" w:rsidRDefault="00857B1D">
      <w:pPr>
        <w:pStyle w:val="Kazalovsebine1"/>
        <w:tabs>
          <w:tab w:val="right" w:leader="dot" w:pos="10240"/>
        </w:tabs>
        <w:rPr>
          <w:rFonts w:ascii="Calibri" w:hAnsi="Calibri"/>
          <w:sz w:val="22"/>
        </w:rPr>
      </w:pPr>
      <w:hyperlink w:anchor="_Toc256000066" w:history="1">
        <w:r w:rsidR="00A77B3E">
          <w:rPr>
            <w:rStyle w:val="Hiperpovezava"/>
          </w:rPr>
          <w:t>2. Specifični cilji in tehnična pomoč</w:t>
        </w:r>
        <w:r w:rsidR="00EE0419">
          <w:tab/>
        </w:r>
        <w:r w:rsidR="00EE0419">
          <w:fldChar w:fldCharType="begin"/>
        </w:r>
        <w:r w:rsidR="00EE0419">
          <w:instrText xml:space="preserve"> PAGEREF _Toc256000066 \h </w:instrText>
        </w:r>
        <w:r w:rsidR="00EE0419">
          <w:fldChar w:fldCharType="separate"/>
        </w:r>
        <w:r>
          <w:t>9</w:t>
        </w:r>
        <w:r w:rsidR="00EE0419">
          <w:fldChar w:fldCharType="end"/>
        </w:r>
      </w:hyperlink>
    </w:p>
    <w:p w14:paraId="671A26EF" w14:textId="7B929405" w:rsidR="00EC4D24" w:rsidRDefault="00857B1D">
      <w:pPr>
        <w:pStyle w:val="Kazalovsebine2"/>
        <w:tabs>
          <w:tab w:val="right" w:leader="dot" w:pos="10240"/>
        </w:tabs>
        <w:rPr>
          <w:rFonts w:ascii="Calibri" w:hAnsi="Calibri"/>
          <w:sz w:val="22"/>
        </w:rPr>
      </w:pPr>
      <w:hyperlink w:anchor="_Toc256000067" w:history="1">
        <w:r w:rsidR="00A77B3E">
          <w:rPr>
            <w:rStyle w:val="Hiperpovezava"/>
          </w:rPr>
          <w:t>2.1. Specifični cilj: 1. Skupni evropski azilni sistem</w:t>
        </w:r>
        <w:r w:rsidR="00EE0419">
          <w:tab/>
        </w:r>
        <w:r w:rsidR="00EE0419">
          <w:fldChar w:fldCharType="begin"/>
        </w:r>
        <w:r w:rsidR="00EE0419">
          <w:instrText xml:space="preserve"> PAGEREF _Toc256000067 \h </w:instrText>
        </w:r>
        <w:r w:rsidR="00EE0419">
          <w:fldChar w:fldCharType="separate"/>
        </w:r>
        <w:r>
          <w:t>10</w:t>
        </w:r>
        <w:r w:rsidR="00EE0419">
          <w:fldChar w:fldCharType="end"/>
        </w:r>
      </w:hyperlink>
    </w:p>
    <w:p w14:paraId="71548B65" w14:textId="5573CBF5" w:rsidR="00EC4D24" w:rsidRDefault="00857B1D">
      <w:pPr>
        <w:pStyle w:val="Kazalovsebine3"/>
        <w:tabs>
          <w:tab w:val="right" w:leader="dot" w:pos="10240"/>
        </w:tabs>
        <w:rPr>
          <w:rFonts w:ascii="Calibri" w:hAnsi="Calibri"/>
          <w:sz w:val="22"/>
        </w:rPr>
      </w:pPr>
      <w:hyperlink w:anchor="_Toc256000068" w:history="1">
        <w:r w:rsidR="00A77B3E">
          <w:rPr>
            <w:rStyle w:val="Hiperpovezava"/>
          </w:rPr>
          <w:t>2.1.1. Opis specifičnega cilja</w:t>
        </w:r>
        <w:r w:rsidR="00EE0419">
          <w:tab/>
        </w:r>
        <w:r w:rsidR="00EE0419">
          <w:fldChar w:fldCharType="begin"/>
        </w:r>
        <w:r w:rsidR="00EE0419">
          <w:instrText xml:space="preserve"> PAGEREF _Toc256000068 \h </w:instrText>
        </w:r>
        <w:r w:rsidR="00EE0419">
          <w:fldChar w:fldCharType="separate"/>
        </w:r>
        <w:r>
          <w:t>10</w:t>
        </w:r>
        <w:r w:rsidR="00EE0419">
          <w:fldChar w:fldCharType="end"/>
        </w:r>
      </w:hyperlink>
    </w:p>
    <w:p w14:paraId="53748319" w14:textId="1E906894" w:rsidR="00EC4D24" w:rsidRDefault="00857B1D">
      <w:pPr>
        <w:pStyle w:val="Kazalovsebine3"/>
        <w:tabs>
          <w:tab w:val="right" w:leader="dot" w:pos="10240"/>
        </w:tabs>
        <w:rPr>
          <w:rFonts w:ascii="Calibri" w:hAnsi="Calibri"/>
          <w:sz w:val="22"/>
        </w:rPr>
      </w:pPr>
      <w:hyperlink w:anchor="_Toc256000069" w:history="1">
        <w:r w:rsidR="00A77B3E">
          <w:rPr>
            <w:rStyle w:val="Hiperpovezava"/>
          </w:rPr>
          <w:t>2.1.2. Kazalniki</w:t>
        </w:r>
        <w:r w:rsidR="00EE0419">
          <w:tab/>
        </w:r>
        <w:r w:rsidR="00EE0419">
          <w:fldChar w:fldCharType="begin"/>
        </w:r>
        <w:r w:rsidR="00EE0419">
          <w:instrText xml:space="preserve"> PAGEREF _Toc256000069 \h </w:instrText>
        </w:r>
        <w:r w:rsidR="00EE0419">
          <w:fldChar w:fldCharType="separate"/>
        </w:r>
        <w:r>
          <w:t>15</w:t>
        </w:r>
        <w:r w:rsidR="00EE0419">
          <w:fldChar w:fldCharType="end"/>
        </w:r>
      </w:hyperlink>
    </w:p>
    <w:p w14:paraId="37D63504" w14:textId="65123EFB" w:rsidR="00EC4D24" w:rsidRDefault="00857B1D">
      <w:pPr>
        <w:pStyle w:val="Kazalovsebine4"/>
        <w:tabs>
          <w:tab w:val="right" w:leader="dot" w:pos="10240"/>
        </w:tabs>
        <w:rPr>
          <w:rFonts w:ascii="Calibri" w:hAnsi="Calibri"/>
          <w:sz w:val="22"/>
        </w:rPr>
      </w:pPr>
      <w:hyperlink w:anchor="_Toc256000070" w:history="1">
        <w:r w:rsidR="00A77B3E">
          <w:rPr>
            <w:rStyle w:val="Hiperpovezava"/>
          </w:rPr>
          <w:t>Tabela 1: Kazalniki učinka</w:t>
        </w:r>
        <w:r w:rsidR="00EE0419">
          <w:tab/>
        </w:r>
        <w:r w:rsidR="00EE0419">
          <w:fldChar w:fldCharType="begin"/>
        </w:r>
        <w:r w:rsidR="00EE0419">
          <w:instrText xml:space="preserve"> PAGEREF _Toc256000070 \h </w:instrText>
        </w:r>
        <w:r w:rsidR="00EE0419">
          <w:fldChar w:fldCharType="separate"/>
        </w:r>
        <w:r>
          <w:t>15</w:t>
        </w:r>
        <w:r w:rsidR="00EE0419">
          <w:fldChar w:fldCharType="end"/>
        </w:r>
      </w:hyperlink>
    </w:p>
    <w:p w14:paraId="2FBCB99D" w14:textId="684EF3A7" w:rsidR="00EC4D24" w:rsidRDefault="00857B1D">
      <w:pPr>
        <w:pStyle w:val="Kazalovsebine4"/>
        <w:tabs>
          <w:tab w:val="right" w:leader="dot" w:pos="10240"/>
        </w:tabs>
        <w:rPr>
          <w:rFonts w:ascii="Calibri" w:hAnsi="Calibri"/>
          <w:sz w:val="22"/>
        </w:rPr>
      </w:pPr>
      <w:hyperlink w:anchor="_Toc256000071" w:history="1">
        <w:r w:rsidR="00A77B3E">
          <w:rPr>
            <w:rStyle w:val="Hiperpovezava"/>
          </w:rPr>
          <w:t>Tabela 2: Kazalniki rezultatov</w:t>
        </w:r>
        <w:r w:rsidR="00EE0419">
          <w:tab/>
        </w:r>
        <w:r w:rsidR="00EE0419">
          <w:fldChar w:fldCharType="begin"/>
        </w:r>
        <w:r w:rsidR="00EE0419">
          <w:instrText xml:space="preserve"> PAGEREF _Toc256000071 \h </w:instrText>
        </w:r>
        <w:r w:rsidR="00EE0419">
          <w:fldChar w:fldCharType="separate"/>
        </w:r>
        <w:r>
          <w:t>16</w:t>
        </w:r>
        <w:r w:rsidR="00EE0419">
          <w:fldChar w:fldCharType="end"/>
        </w:r>
      </w:hyperlink>
    </w:p>
    <w:p w14:paraId="762989BC" w14:textId="68CC323A" w:rsidR="00EC4D24" w:rsidRDefault="00857B1D">
      <w:pPr>
        <w:pStyle w:val="Kazalovsebine3"/>
        <w:tabs>
          <w:tab w:val="right" w:leader="dot" w:pos="10240"/>
        </w:tabs>
        <w:rPr>
          <w:rFonts w:ascii="Calibri" w:hAnsi="Calibri"/>
          <w:sz w:val="22"/>
        </w:rPr>
      </w:pPr>
      <w:hyperlink w:anchor="_Toc256000072" w:history="1">
        <w:r w:rsidR="00A77B3E">
          <w:rPr>
            <w:rStyle w:val="Hiperpovezava"/>
          </w:rPr>
          <w:t>2.1.3. Okvirna razčlenitev programskih sredstev (EU) po vrsti ukrepa</w:t>
        </w:r>
        <w:r w:rsidR="00EE0419">
          <w:tab/>
        </w:r>
        <w:r w:rsidR="00EE0419">
          <w:fldChar w:fldCharType="begin"/>
        </w:r>
        <w:r w:rsidR="00EE0419">
          <w:instrText xml:space="preserve"> PAGEREF _Toc256000072 \h </w:instrText>
        </w:r>
        <w:r w:rsidR="00EE0419">
          <w:fldChar w:fldCharType="separate"/>
        </w:r>
        <w:r>
          <w:t>17</w:t>
        </w:r>
        <w:r w:rsidR="00EE0419">
          <w:fldChar w:fldCharType="end"/>
        </w:r>
      </w:hyperlink>
    </w:p>
    <w:p w14:paraId="3295D900" w14:textId="43BF9F1A" w:rsidR="00EC4D24" w:rsidRDefault="00857B1D">
      <w:pPr>
        <w:pStyle w:val="Kazalovsebine4"/>
        <w:tabs>
          <w:tab w:val="right" w:leader="dot" w:pos="10240"/>
        </w:tabs>
        <w:rPr>
          <w:rFonts w:ascii="Calibri" w:hAnsi="Calibri"/>
          <w:sz w:val="22"/>
        </w:rPr>
      </w:pPr>
      <w:hyperlink w:anchor="_Toc256000073" w:history="1">
        <w:r w:rsidR="00A77B3E">
          <w:rPr>
            <w:rStyle w:val="Hiperpovezava"/>
          </w:rPr>
          <w:t>Tabela 3: Okvirna razčlenitev</w:t>
        </w:r>
        <w:r w:rsidR="00EE0419">
          <w:tab/>
        </w:r>
        <w:r w:rsidR="00EE0419">
          <w:fldChar w:fldCharType="begin"/>
        </w:r>
        <w:r w:rsidR="00EE0419">
          <w:instrText xml:space="preserve"> PAGEREF _Toc256000073 \h </w:instrText>
        </w:r>
        <w:r w:rsidR="00EE0419">
          <w:fldChar w:fldCharType="separate"/>
        </w:r>
        <w:r>
          <w:t>17</w:t>
        </w:r>
        <w:r w:rsidR="00EE0419">
          <w:fldChar w:fldCharType="end"/>
        </w:r>
      </w:hyperlink>
    </w:p>
    <w:p w14:paraId="39B29776" w14:textId="333C4D72" w:rsidR="00EC4D24" w:rsidRDefault="00857B1D">
      <w:pPr>
        <w:pStyle w:val="Kazalovsebine2"/>
        <w:tabs>
          <w:tab w:val="right" w:leader="dot" w:pos="10240"/>
        </w:tabs>
        <w:rPr>
          <w:rFonts w:ascii="Calibri" w:hAnsi="Calibri"/>
          <w:sz w:val="22"/>
        </w:rPr>
      </w:pPr>
      <w:hyperlink w:anchor="_Toc256000074" w:history="1">
        <w:r w:rsidR="00A77B3E">
          <w:rPr>
            <w:rStyle w:val="Hiperpovezava"/>
          </w:rPr>
          <w:t>2.1. Specifični cilj: 2. Zakonite migracije in vključevanje</w:t>
        </w:r>
        <w:r w:rsidR="00EE0419">
          <w:tab/>
        </w:r>
        <w:r w:rsidR="00EE0419">
          <w:fldChar w:fldCharType="begin"/>
        </w:r>
        <w:r w:rsidR="00EE0419">
          <w:instrText xml:space="preserve"> PAGEREF _Toc256000074 \h </w:instrText>
        </w:r>
        <w:r w:rsidR="00EE0419">
          <w:fldChar w:fldCharType="separate"/>
        </w:r>
        <w:r>
          <w:t>18</w:t>
        </w:r>
        <w:r w:rsidR="00EE0419">
          <w:fldChar w:fldCharType="end"/>
        </w:r>
      </w:hyperlink>
    </w:p>
    <w:p w14:paraId="13696821" w14:textId="6860D11D" w:rsidR="00EC4D24" w:rsidRDefault="00857B1D">
      <w:pPr>
        <w:pStyle w:val="Kazalovsebine3"/>
        <w:tabs>
          <w:tab w:val="right" w:leader="dot" w:pos="10240"/>
        </w:tabs>
        <w:rPr>
          <w:rFonts w:ascii="Calibri" w:hAnsi="Calibri"/>
          <w:sz w:val="22"/>
        </w:rPr>
      </w:pPr>
      <w:hyperlink w:anchor="_Toc256000075" w:history="1">
        <w:r w:rsidR="00A77B3E">
          <w:rPr>
            <w:rStyle w:val="Hiperpovezava"/>
          </w:rPr>
          <w:t>2.1.1. Opis specifičnega cilja</w:t>
        </w:r>
        <w:r w:rsidR="00EE0419">
          <w:tab/>
        </w:r>
        <w:r w:rsidR="00EE0419">
          <w:fldChar w:fldCharType="begin"/>
        </w:r>
        <w:r w:rsidR="00EE0419">
          <w:instrText xml:space="preserve"> PAGEREF _Toc256000075 \h </w:instrText>
        </w:r>
        <w:r w:rsidR="00EE0419">
          <w:fldChar w:fldCharType="separate"/>
        </w:r>
        <w:r>
          <w:t>18</w:t>
        </w:r>
        <w:r w:rsidR="00EE0419">
          <w:fldChar w:fldCharType="end"/>
        </w:r>
      </w:hyperlink>
    </w:p>
    <w:p w14:paraId="4DCC80CC" w14:textId="10938F3A" w:rsidR="00EC4D24" w:rsidRDefault="00857B1D">
      <w:pPr>
        <w:pStyle w:val="Kazalovsebine3"/>
        <w:tabs>
          <w:tab w:val="right" w:leader="dot" w:pos="10240"/>
        </w:tabs>
        <w:rPr>
          <w:rFonts w:ascii="Calibri" w:hAnsi="Calibri"/>
          <w:sz w:val="22"/>
        </w:rPr>
      </w:pPr>
      <w:hyperlink w:anchor="_Toc256000076" w:history="1">
        <w:r w:rsidR="00A77B3E">
          <w:rPr>
            <w:rStyle w:val="Hiperpovezava"/>
          </w:rPr>
          <w:t>2.1.2. Kazalniki</w:t>
        </w:r>
        <w:r w:rsidR="00EE0419">
          <w:tab/>
        </w:r>
        <w:r w:rsidR="00EE0419">
          <w:fldChar w:fldCharType="begin"/>
        </w:r>
        <w:r w:rsidR="00EE0419">
          <w:instrText xml:space="preserve"> PAGEREF _Toc256000076 \h </w:instrText>
        </w:r>
        <w:r w:rsidR="00EE0419">
          <w:fldChar w:fldCharType="separate"/>
        </w:r>
        <w:r>
          <w:t>23</w:t>
        </w:r>
        <w:r w:rsidR="00EE0419">
          <w:fldChar w:fldCharType="end"/>
        </w:r>
      </w:hyperlink>
    </w:p>
    <w:p w14:paraId="3975DE89" w14:textId="36BB4097" w:rsidR="00EC4D24" w:rsidRDefault="00857B1D">
      <w:pPr>
        <w:pStyle w:val="Kazalovsebine4"/>
        <w:tabs>
          <w:tab w:val="right" w:leader="dot" w:pos="10240"/>
        </w:tabs>
        <w:rPr>
          <w:rFonts w:ascii="Calibri" w:hAnsi="Calibri"/>
          <w:sz w:val="22"/>
        </w:rPr>
      </w:pPr>
      <w:hyperlink w:anchor="_Toc256000077" w:history="1">
        <w:r w:rsidR="00A77B3E">
          <w:rPr>
            <w:rStyle w:val="Hiperpovezava"/>
          </w:rPr>
          <w:t>Tabela 1: Kazalniki učinka</w:t>
        </w:r>
        <w:r w:rsidR="00EE0419">
          <w:tab/>
        </w:r>
        <w:r w:rsidR="00EE0419">
          <w:fldChar w:fldCharType="begin"/>
        </w:r>
        <w:r w:rsidR="00EE0419">
          <w:instrText xml:space="preserve"> PAGEREF _Toc256000077 \h </w:instrText>
        </w:r>
        <w:r w:rsidR="00EE0419">
          <w:fldChar w:fldCharType="separate"/>
        </w:r>
        <w:r>
          <w:t>23</w:t>
        </w:r>
        <w:r w:rsidR="00EE0419">
          <w:fldChar w:fldCharType="end"/>
        </w:r>
      </w:hyperlink>
    </w:p>
    <w:p w14:paraId="79E71218" w14:textId="40053D90" w:rsidR="00EC4D24" w:rsidRDefault="00857B1D">
      <w:pPr>
        <w:pStyle w:val="Kazalovsebine4"/>
        <w:tabs>
          <w:tab w:val="right" w:leader="dot" w:pos="10240"/>
        </w:tabs>
        <w:rPr>
          <w:rFonts w:ascii="Calibri" w:hAnsi="Calibri"/>
          <w:sz w:val="22"/>
        </w:rPr>
      </w:pPr>
      <w:hyperlink w:anchor="_Toc256000078" w:history="1">
        <w:r w:rsidR="00A77B3E">
          <w:rPr>
            <w:rStyle w:val="Hiperpovezava"/>
          </w:rPr>
          <w:t>Tabela 2: Kazalniki rezultatov</w:t>
        </w:r>
        <w:r w:rsidR="00EE0419">
          <w:tab/>
        </w:r>
        <w:r w:rsidR="00EE0419">
          <w:fldChar w:fldCharType="begin"/>
        </w:r>
        <w:r w:rsidR="00EE0419">
          <w:instrText xml:space="preserve"> PAGEREF _Toc256000078 \h </w:instrText>
        </w:r>
        <w:r w:rsidR="00EE0419">
          <w:fldChar w:fldCharType="separate"/>
        </w:r>
        <w:r>
          <w:t>24</w:t>
        </w:r>
        <w:r w:rsidR="00EE0419">
          <w:fldChar w:fldCharType="end"/>
        </w:r>
      </w:hyperlink>
    </w:p>
    <w:p w14:paraId="30AE2B3D" w14:textId="6380ED20" w:rsidR="00EC4D24" w:rsidRDefault="00857B1D">
      <w:pPr>
        <w:pStyle w:val="Kazalovsebine3"/>
        <w:tabs>
          <w:tab w:val="right" w:leader="dot" w:pos="10240"/>
        </w:tabs>
        <w:rPr>
          <w:rFonts w:ascii="Calibri" w:hAnsi="Calibri"/>
          <w:sz w:val="22"/>
        </w:rPr>
      </w:pPr>
      <w:hyperlink w:anchor="_Toc256000079" w:history="1">
        <w:r w:rsidR="00A77B3E">
          <w:rPr>
            <w:rStyle w:val="Hiperpovezava"/>
          </w:rPr>
          <w:t>2.1.3. Okvirna razčlenitev programskih sredstev (EU) po vrsti ukrepa</w:t>
        </w:r>
        <w:r w:rsidR="00EE0419">
          <w:tab/>
        </w:r>
        <w:r w:rsidR="00EE0419">
          <w:fldChar w:fldCharType="begin"/>
        </w:r>
        <w:r w:rsidR="00EE0419">
          <w:instrText xml:space="preserve"> PAGEREF _Toc256000079 \h </w:instrText>
        </w:r>
        <w:r w:rsidR="00EE0419">
          <w:fldChar w:fldCharType="separate"/>
        </w:r>
        <w:r>
          <w:t>25</w:t>
        </w:r>
        <w:r w:rsidR="00EE0419">
          <w:fldChar w:fldCharType="end"/>
        </w:r>
      </w:hyperlink>
    </w:p>
    <w:p w14:paraId="24BD9B34" w14:textId="1974B478" w:rsidR="00EC4D24" w:rsidRDefault="00857B1D">
      <w:pPr>
        <w:pStyle w:val="Kazalovsebine4"/>
        <w:tabs>
          <w:tab w:val="right" w:leader="dot" w:pos="10240"/>
        </w:tabs>
        <w:rPr>
          <w:rFonts w:ascii="Calibri" w:hAnsi="Calibri"/>
          <w:sz w:val="22"/>
        </w:rPr>
      </w:pPr>
      <w:hyperlink w:anchor="_Toc256000080" w:history="1">
        <w:r w:rsidR="00A77B3E">
          <w:rPr>
            <w:rStyle w:val="Hiperpovezava"/>
          </w:rPr>
          <w:t>Tabela 3: Okvirna razčlenitev</w:t>
        </w:r>
        <w:r w:rsidR="00EE0419">
          <w:tab/>
        </w:r>
        <w:r w:rsidR="00EE0419">
          <w:fldChar w:fldCharType="begin"/>
        </w:r>
        <w:r w:rsidR="00EE0419">
          <w:instrText xml:space="preserve"> PAGEREF _Toc256000080 \h </w:instrText>
        </w:r>
        <w:r w:rsidR="00EE0419">
          <w:fldChar w:fldCharType="separate"/>
        </w:r>
        <w:r>
          <w:t>25</w:t>
        </w:r>
        <w:r w:rsidR="00EE0419">
          <w:fldChar w:fldCharType="end"/>
        </w:r>
      </w:hyperlink>
    </w:p>
    <w:p w14:paraId="18F7DDC7" w14:textId="03A178BE" w:rsidR="00EC4D24" w:rsidRDefault="00857B1D">
      <w:pPr>
        <w:pStyle w:val="Kazalovsebine2"/>
        <w:tabs>
          <w:tab w:val="right" w:leader="dot" w:pos="10240"/>
        </w:tabs>
        <w:rPr>
          <w:rFonts w:ascii="Calibri" w:hAnsi="Calibri"/>
          <w:sz w:val="22"/>
        </w:rPr>
      </w:pPr>
      <w:hyperlink w:anchor="_Toc256000081" w:history="1">
        <w:r w:rsidR="00A77B3E">
          <w:rPr>
            <w:rStyle w:val="Hiperpovezava"/>
          </w:rPr>
          <w:t>2.1. Specifični cilj: 3. Vrnitev</w:t>
        </w:r>
        <w:r w:rsidR="00EE0419">
          <w:tab/>
        </w:r>
        <w:r w:rsidR="00EE0419">
          <w:fldChar w:fldCharType="begin"/>
        </w:r>
        <w:r w:rsidR="00EE0419">
          <w:instrText xml:space="preserve"> PAGEREF _Toc256000081 \h </w:instrText>
        </w:r>
        <w:r w:rsidR="00EE0419">
          <w:fldChar w:fldCharType="separate"/>
        </w:r>
        <w:r>
          <w:t>26</w:t>
        </w:r>
        <w:r w:rsidR="00EE0419">
          <w:fldChar w:fldCharType="end"/>
        </w:r>
      </w:hyperlink>
    </w:p>
    <w:p w14:paraId="7803E47F" w14:textId="523A4C02" w:rsidR="00EC4D24" w:rsidRDefault="00857B1D">
      <w:pPr>
        <w:pStyle w:val="Kazalovsebine3"/>
        <w:tabs>
          <w:tab w:val="right" w:leader="dot" w:pos="10240"/>
        </w:tabs>
        <w:rPr>
          <w:rFonts w:ascii="Calibri" w:hAnsi="Calibri"/>
          <w:sz w:val="22"/>
        </w:rPr>
      </w:pPr>
      <w:hyperlink w:anchor="_Toc256000082" w:history="1">
        <w:r w:rsidR="00A77B3E">
          <w:rPr>
            <w:rStyle w:val="Hiperpovezava"/>
          </w:rPr>
          <w:t>2.1.1. Opis specifičnega cilja</w:t>
        </w:r>
        <w:r w:rsidR="00EE0419">
          <w:tab/>
        </w:r>
        <w:r w:rsidR="00EE0419">
          <w:fldChar w:fldCharType="begin"/>
        </w:r>
        <w:r w:rsidR="00EE0419">
          <w:instrText xml:space="preserve"> PAGEREF _Toc256000082 \h </w:instrText>
        </w:r>
        <w:r w:rsidR="00EE0419">
          <w:fldChar w:fldCharType="separate"/>
        </w:r>
        <w:r>
          <w:t>26</w:t>
        </w:r>
        <w:r w:rsidR="00EE0419">
          <w:fldChar w:fldCharType="end"/>
        </w:r>
      </w:hyperlink>
    </w:p>
    <w:p w14:paraId="4861C7BC" w14:textId="7F1981CC" w:rsidR="00EC4D24" w:rsidRDefault="00857B1D">
      <w:pPr>
        <w:pStyle w:val="Kazalovsebine3"/>
        <w:tabs>
          <w:tab w:val="right" w:leader="dot" w:pos="10240"/>
        </w:tabs>
        <w:rPr>
          <w:rFonts w:ascii="Calibri" w:hAnsi="Calibri"/>
          <w:sz w:val="22"/>
        </w:rPr>
      </w:pPr>
      <w:hyperlink w:anchor="_Toc256000083" w:history="1">
        <w:r w:rsidR="00A77B3E">
          <w:rPr>
            <w:rStyle w:val="Hiperpovezava"/>
          </w:rPr>
          <w:t>2.1.2. Kazalniki</w:t>
        </w:r>
        <w:r w:rsidR="00EE0419">
          <w:tab/>
        </w:r>
        <w:r w:rsidR="00EE0419">
          <w:fldChar w:fldCharType="begin"/>
        </w:r>
        <w:r w:rsidR="00EE0419">
          <w:instrText xml:space="preserve"> PAGEREF _Toc256000083 \h </w:instrText>
        </w:r>
        <w:r w:rsidR="00EE0419">
          <w:fldChar w:fldCharType="separate"/>
        </w:r>
        <w:r>
          <w:t>29</w:t>
        </w:r>
        <w:r w:rsidR="00EE0419">
          <w:fldChar w:fldCharType="end"/>
        </w:r>
      </w:hyperlink>
    </w:p>
    <w:p w14:paraId="6A384AD7" w14:textId="1A4679E5" w:rsidR="00EC4D24" w:rsidRDefault="00857B1D">
      <w:pPr>
        <w:pStyle w:val="Kazalovsebine4"/>
        <w:tabs>
          <w:tab w:val="right" w:leader="dot" w:pos="10240"/>
        </w:tabs>
        <w:rPr>
          <w:rFonts w:ascii="Calibri" w:hAnsi="Calibri"/>
          <w:sz w:val="22"/>
        </w:rPr>
      </w:pPr>
      <w:hyperlink w:anchor="_Toc256000084" w:history="1">
        <w:r w:rsidR="00A77B3E">
          <w:rPr>
            <w:rStyle w:val="Hiperpovezava"/>
          </w:rPr>
          <w:t>Tabela 1: Kazalniki učinka</w:t>
        </w:r>
        <w:r w:rsidR="00EE0419">
          <w:tab/>
        </w:r>
        <w:r w:rsidR="00EE0419">
          <w:fldChar w:fldCharType="begin"/>
        </w:r>
        <w:r w:rsidR="00EE0419">
          <w:instrText xml:space="preserve"> PAGEREF _Toc256000084 \h </w:instrText>
        </w:r>
        <w:r w:rsidR="00EE0419">
          <w:fldChar w:fldCharType="separate"/>
        </w:r>
        <w:r>
          <w:t>29</w:t>
        </w:r>
        <w:r w:rsidR="00EE0419">
          <w:fldChar w:fldCharType="end"/>
        </w:r>
      </w:hyperlink>
    </w:p>
    <w:p w14:paraId="0C9C0841" w14:textId="409642D4" w:rsidR="00EC4D24" w:rsidRDefault="00857B1D">
      <w:pPr>
        <w:pStyle w:val="Kazalovsebine4"/>
        <w:tabs>
          <w:tab w:val="right" w:leader="dot" w:pos="10240"/>
        </w:tabs>
        <w:rPr>
          <w:rFonts w:ascii="Calibri" w:hAnsi="Calibri"/>
          <w:sz w:val="22"/>
        </w:rPr>
      </w:pPr>
      <w:hyperlink w:anchor="_Toc256000085" w:history="1">
        <w:r w:rsidR="00A77B3E">
          <w:rPr>
            <w:rStyle w:val="Hiperpovezava"/>
          </w:rPr>
          <w:t>Tabela 2: Kazalniki rezultatov</w:t>
        </w:r>
        <w:r w:rsidR="00EE0419">
          <w:tab/>
        </w:r>
        <w:r w:rsidR="00EE0419">
          <w:fldChar w:fldCharType="begin"/>
        </w:r>
        <w:r w:rsidR="00EE0419">
          <w:instrText xml:space="preserve"> PAGEREF _Toc256000085 \h </w:instrText>
        </w:r>
        <w:r w:rsidR="00EE0419">
          <w:fldChar w:fldCharType="separate"/>
        </w:r>
        <w:r>
          <w:t>30</w:t>
        </w:r>
        <w:r w:rsidR="00EE0419">
          <w:fldChar w:fldCharType="end"/>
        </w:r>
      </w:hyperlink>
    </w:p>
    <w:p w14:paraId="58F5598A" w14:textId="55188934" w:rsidR="00EC4D24" w:rsidRDefault="00857B1D">
      <w:pPr>
        <w:pStyle w:val="Kazalovsebine3"/>
        <w:tabs>
          <w:tab w:val="right" w:leader="dot" w:pos="10240"/>
        </w:tabs>
        <w:rPr>
          <w:rFonts w:ascii="Calibri" w:hAnsi="Calibri"/>
          <w:sz w:val="22"/>
        </w:rPr>
      </w:pPr>
      <w:hyperlink w:anchor="_Toc256000086" w:history="1">
        <w:r w:rsidR="00A77B3E">
          <w:rPr>
            <w:rStyle w:val="Hiperpovezava"/>
          </w:rPr>
          <w:t>2.1.3. Okvirna razčlenitev programskih sredstev (EU) po vrsti ukrepa</w:t>
        </w:r>
        <w:r w:rsidR="00EE0419">
          <w:tab/>
        </w:r>
        <w:r w:rsidR="00EE0419">
          <w:fldChar w:fldCharType="begin"/>
        </w:r>
        <w:r w:rsidR="00EE0419">
          <w:instrText xml:space="preserve"> PAGEREF _Toc256000086 \h </w:instrText>
        </w:r>
        <w:r w:rsidR="00EE0419">
          <w:fldChar w:fldCharType="separate"/>
        </w:r>
        <w:r>
          <w:t>31</w:t>
        </w:r>
        <w:r w:rsidR="00EE0419">
          <w:fldChar w:fldCharType="end"/>
        </w:r>
      </w:hyperlink>
    </w:p>
    <w:p w14:paraId="5778D840" w14:textId="3E621D62" w:rsidR="00EC4D24" w:rsidRDefault="00857B1D">
      <w:pPr>
        <w:pStyle w:val="Kazalovsebine4"/>
        <w:tabs>
          <w:tab w:val="right" w:leader="dot" w:pos="10240"/>
        </w:tabs>
        <w:rPr>
          <w:rFonts w:ascii="Calibri" w:hAnsi="Calibri"/>
          <w:sz w:val="22"/>
        </w:rPr>
      </w:pPr>
      <w:hyperlink w:anchor="_Toc256000087" w:history="1">
        <w:r w:rsidR="00A77B3E">
          <w:rPr>
            <w:rStyle w:val="Hiperpovezava"/>
          </w:rPr>
          <w:t>Tabela 3: Okvirna razčlenitev</w:t>
        </w:r>
        <w:r w:rsidR="00EE0419">
          <w:tab/>
        </w:r>
        <w:r w:rsidR="00EE0419">
          <w:fldChar w:fldCharType="begin"/>
        </w:r>
        <w:r w:rsidR="00EE0419">
          <w:instrText xml:space="preserve"> PAGEREF _Toc256000087 \h </w:instrText>
        </w:r>
        <w:r w:rsidR="00EE0419">
          <w:fldChar w:fldCharType="separate"/>
        </w:r>
        <w:r>
          <w:t>31</w:t>
        </w:r>
        <w:r w:rsidR="00EE0419">
          <w:fldChar w:fldCharType="end"/>
        </w:r>
      </w:hyperlink>
    </w:p>
    <w:p w14:paraId="520CF647" w14:textId="417B93FE" w:rsidR="00EC4D24" w:rsidRDefault="00857B1D">
      <w:pPr>
        <w:pStyle w:val="Kazalovsebine2"/>
        <w:tabs>
          <w:tab w:val="right" w:leader="dot" w:pos="10240"/>
        </w:tabs>
        <w:rPr>
          <w:rFonts w:ascii="Calibri" w:hAnsi="Calibri"/>
          <w:sz w:val="22"/>
        </w:rPr>
      </w:pPr>
      <w:hyperlink w:anchor="_Toc256000088" w:history="1">
        <w:r w:rsidR="00A77B3E">
          <w:rPr>
            <w:rStyle w:val="Hiperpovezava"/>
          </w:rPr>
          <w:t>2.1. Specifični cilj: 4. Solidarnost</w:t>
        </w:r>
        <w:r w:rsidR="00EE0419">
          <w:tab/>
        </w:r>
        <w:r w:rsidR="00EE0419">
          <w:fldChar w:fldCharType="begin"/>
        </w:r>
        <w:r w:rsidR="00EE0419">
          <w:instrText xml:space="preserve"> PAGEREF _Toc256000088 \h </w:instrText>
        </w:r>
        <w:r w:rsidR="00EE0419">
          <w:fldChar w:fldCharType="separate"/>
        </w:r>
        <w:r>
          <w:t>32</w:t>
        </w:r>
        <w:r w:rsidR="00EE0419">
          <w:fldChar w:fldCharType="end"/>
        </w:r>
      </w:hyperlink>
    </w:p>
    <w:p w14:paraId="5650D244" w14:textId="197B5D8C" w:rsidR="00EC4D24" w:rsidRDefault="00857B1D">
      <w:pPr>
        <w:pStyle w:val="Kazalovsebine3"/>
        <w:tabs>
          <w:tab w:val="right" w:leader="dot" w:pos="10240"/>
        </w:tabs>
        <w:rPr>
          <w:rFonts w:ascii="Calibri" w:hAnsi="Calibri"/>
          <w:sz w:val="22"/>
        </w:rPr>
      </w:pPr>
      <w:hyperlink w:anchor="_Toc256000089" w:history="1">
        <w:r w:rsidR="00A77B3E">
          <w:rPr>
            <w:rStyle w:val="Hiperpovezava"/>
          </w:rPr>
          <w:t>2.1.1. Opis specifičnega cilja</w:t>
        </w:r>
        <w:r w:rsidR="00EE0419">
          <w:tab/>
        </w:r>
        <w:r w:rsidR="00EE0419">
          <w:fldChar w:fldCharType="begin"/>
        </w:r>
        <w:r w:rsidR="00EE0419">
          <w:instrText xml:space="preserve"> PAGEREF _Toc256000089 \h </w:instrText>
        </w:r>
        <w:r w:rsidR="00EE0419">
          <w:fldChar w:fldCharType="separate"/>
        </w:r>
        <w:r>
          <w:t>32</w:t>
        </w:r>
        <w:r w:rsidR="00EE0419">
          <w:fldChar w:fldCharType="end"/>
        </w:r>
      </w:hyperlink>
    </w:p>
    <w:p w14:paraId="759F57B0" w14:textId="1EEFC7E2" w:rsidR="00EC4D24" w:rsidRDefault="00857B1D">
      <w:pPr>
        <w:pStyle w:val="Kazalovsebine3"/>
        <w:tabs>
          <w:tab w:val="right" w:leader="dot" w:pos="10240"/>
        </w:tabs>
        <w:rPr>
          <w:rFonts w:ascii="Calibri" w:hAnsi="Calibri"/>
          <w:sz w:val="22"/>
        </w:rPr>
      </w:pPr>
      <w:hyperlink w:anchor="_Toc256000090" w:history="1">
        <w:r w:rsidR="00A77B3E">
          <w:rPr>
            <w:rStyle w:val="Hiperpovezava"/>
          </w:rPr>
          <w:t>2.1.2. Kazalniki</w:t>
        </w:r>
        <w:r w:rsidR="00EE0419">
          <w:tab/>
        </w:r>
        <w:r w:rsidR="00EE0419">
          <w:fldChar w:fldCharType="begin"/>
        </w:r>
        <w:r w:rsidR="00EE0419">
          <w:instrText xml:space="preserve"> PAGEREF _Toc256000090 \h </w:instrText>
        </w:r>
        <w:r w:rsidR="00EE0419">
          <w:fldChar w:fldCharType="separate"/>
        </w:r>
        <w:r>
          <w:t>33</w:t>
        </w:r>
        <w:r w:rsidR="00EE0419">
          <w:fldChar w:fldCharType="end"/>
        </w:r>
      </w:hyperlink>
    </w:p>
    <w:p w14:paraId="7CF3E4BC" w14:textId="7D40E09B" w:rsidR="00EC4D24" w:rsidRDefault="00857B1D">
      <w:pPr>
        <w:pStyle w:val="Kazalovsebine4"/>
        <w:tabs>
          <w:tab w:val="right" w:leader="dot" w:pos="10240"/>
        </w:tabs>
        <w:rPr>
          <w:rFonts w:ascii="Calibri" w:hAnsi="Calibri"/>
          <w:sz w:val="22"/>
        </w:rPr>
      </w:pPr>
      <w:hyperlink w:anchor="_Toc256000091" w:history="1">
        <w:r w:rsidR="00A77B3E">
          <w:rPr>
            <w:rStyle w:val="Hiperpovezava"/>
          </w:rPr>
          <w:t>Tabela 1: Kazalniki učinka</w:t>
        </w:r>
        <w:r w:rsidR="00EE0419">
          <w:tab/>
        </w:r>
        <w:r w:rsidR="00EE0419">
          <w:fldChar w:fldCharType="begin"/>
        </w:r>
        <w:r w:rsidR="00EE0419">
          <w:instrText xml:space="preserve"> PAGEREF _Toc256000091 \h </w:instrText>
        </w:r>
        <w:r w:rsidR="00EE0419">
          <w:fldChar w:fldCharType="separate"/>
        </w:r>
        <w:r>
          <w:t>33</w:t>
        </w:r>
        <w:r w:rsidR="00EE0419">
          <w:fldChar w:fldCharType="end"/>
        </w:r>
      </w:hyperlink>
    </w:p>
    <w:p w14:paraId="339AEC6B" w14:textId="7E69F3F1" w:rsidR="00EC4D24" w:rsidRDefault="00857B1D">
      <w:pPr>
        <w:pStyle w:val="Kazalovsebine4"/>
        <w:tabs>
          <w:tab w:val="right" w:leader="dot" w:pos="10240"/>
        </w:tabs>
        <w:rPr>
          <w:rFonts w:ascii="Calibri" w:hAnsi="Calibri"/>
          <w:sz w:val="22"/>
        </w:rPr>
      </w:pPr>
      <w:hyperlink w:anchor="_Toc256000092" w:history="1">
        <w:r w:rsidR="00A77B3E">
          <w:rPr>
            <w:rStyle w:val="Hiperpovezava"/>
          </w:rPr>
          <w:t>Tabela 2: Kazalniki rezultatov</w:t>
        </w:r>
        <w:r w:rsidR="00EE0419">
          <w:tab/>
        </w:r>
        <w:r w:rsidR="00EE0419">
          <w:fldChar w:fldCharType="begin"/>
        </w:r>
        <w:r w:rsidR="00EE0419">
          <w:instrText xml:space="preserve"> PAGEREF _Toc256000092 \h </w:instrText>
        </w:r>
        <w:r w:rsidR="00EE0419">
          <w:fldChar w:fldCharType="separate"/>
        </w:r>
        <w:r>
          <w:t>34</w:t>
        </w:r>
        <w:r w:rsidR="00EE0419">
          <w:fldChar w:fldCharType="end"/>
        </w:r>
      </w:hyperlink>
    </w:p>
    <w:p w14:paraId="596CA2E8" w14:textId="1A6FDDB1" w:rsidR="00EC4D24" w:rsidRDefault="00857B1D">
      <w:pPr>
        <w:pStyle w:val="Kazalovsebine3"/>
        <w:tabs>
          <w:tab w:val="right" w:leader="dot" w:pos="10240"/>
        </w:tabs>
        <w:rPr>
          <w:rFonts w:ascii="Calibri" w:hAnsi="Calibri"/>
          <w:sz w:val="22"/>
        </w:rPr>
      </w:pPr>
      <w:hyperlink w:anchor="_Toc256000093" w:history="1">
        <w:r w:rsidR="00A77B3E">
          <w:rPr>
            <w:rStyle w:val="Hiperpovezava"/>
          </w:rPr>
          <w:t>2.1.3. Okvirna razčlenitev programskih sredstev (EU) po vrsti ukrepa</w:t>
        </w:r>
        <w:r w:rsidR="00EE0419">
          <w:tab/>
        </w:r>
        <w:r w:rsidR="00EE0419">
          <w:fldChar w:fldCharType="begin"/>
        </w:r>
        <w:r w:rsidR="00EE0419">
          <w:instrText xml:space="preserve"> PAGEREF _Toc256000093 \h </w:instrText>
        </w:r>
        <w:r w:rsidR="00EE0419">
          <w:fldChar w:fldCharType="separate"/>
        </w:r>
        <w:r>
          <w:t>35</w:t>
        </w:r>
        <w:r w:rsidR="00EE0419">
          <w:fldChar w:fldCharType="end"/>
        </w:r>
      </w:hyperlink>
    </w:p>
    <w:p w14:paraId="37B2768C" w14:textId="039D8323" w:rsidR="00EC4D24" w:rsidRDefault="00857B1D">
      <w:pPr>
        <w:pStyle w:val="Kazalovsebine4"/>
        <w:tabs>
          <w:tab w:val="right" w:leader="dot" w:pos="10240"/>
        </w:tabs>
        <w:rPr>
          <w:rFonts w:ascii="Calibri" w:hAnsi="Calibri"/>
          <w:sz w:val="22"/>
        </w:rPr>
      </w:pPr>
      <w:hyperlink w:anchor="_Toc256000094" w:history="1">
        <w:r w:rsidR="00A77B3E">
          <w:rPr>
            <w:rStyle w:val="Hiperpovezava"/>
          </w:rPr>
          <w:t>Tabela 3: Okvirna razčlenitev</w:t>
        </w:r>
        <w:r w:rsidR="00EE0419">
          <w:tab/>
        </w:r>
        <w:r w:rsidR="00EE0419">
          <w:fldChar w:fldCharType="begin"/>
        </w:r>
        <w:r w:rsidR="00EE0419">
          <w:instrText xml:space="preserve"> PAGEREF _Toc256000094 \h </w:instrText>
        </w:r>
        <w:r w:rsidR="00EE0419">
          <w:fldChar w:fldCharType="separate"/>
        </w:r>
        <w:r>
          <w:t>35</w:t>
        </w:r>
        <w:r w:rsidR="00EE0419">
          <w:fldChar w:fldCharType="end"/>
        </w:r>
      </w:hyperlink>
    </w:p>
    <w:p w14:paraId="547AB1A6" w14:textId="64ACCD4B" w:rsidR="00EC4D24" w:rsidRDefault="00857B1D">
      <w:pPr>
        <w:pStyle w:val="Kazalovsebine2"/>
        <w:tabs>
          <w:tab w:val="right" w:leader="dot" w:pos="10240"/>
        </w:tabs>
        <w:rPr>
          <w:rFonts w:ascii="Calibri" w:hAnsi="Calibri"/>
          <w:sz w:val="22"/>
        </w:rPr>
      </w:pPr>
      <w:hyperlink w:anchor="_Toc256000095" w:history="1">
        <w:r w:rsidR="00A77B3E">
          <w:rPr>
            <w:rStyle w:val="Hiperpovezava"/>
          </w:rPr>
          <w:t>2.2. Tehnična pomoč: TA.36(5). Tehnična pomoč – pavšalna stopnja(člen 36(5) uredbe o skupnih določbah)</w:t>
        </w:r>
        <w:r w:rsidR="00EE0419">
          <w:tab/>
        </w:r>
        <w:r w:rsidR="00EE0419">
          <w:fldChar w:fldCharType="begin"/>
        </w:r>
        <w:r w:rsidR="00EE0419">
          <w:instrText xml:space="preserve"> PAGEREF _Toc256000095 \h </w:instrText>
        </w:r>
        <w:r w:rsidR="00EE0419">
          <w:fldChar w:fldCharType="separate"/>
        </w:r>
        <w:r>
          <w:t>36</w:t>
        </w:r>
        <w:r w:rsidR="00EE0419">
          <w:fldChar w:fldCharType="end"/>
        </w:r>
      </w:hyperlink>
    </w:p>
    <w:p w14:paraId="01FE1084" w14:textId="2D27FEAA" w:rsidR="00EC4D24" w:rsidRDefault="00857B1D">
      <w:pPr>
        <w:pStyle w:val="Kazalovsebine3"/>
        <w:tabs>
          <w:tab w:val="right" w:leader="dot" w:pos="10240"/>
        </w:tabs>
        <w:rPr>
          <w:rFonts w:ascii="Calibri" w:hAnsi="Calibri"/>
          <w:sz w:val="22"/>
        </w:rPr>
      </w:pPr>
      <w:hyperlink w:anchor="_Toc256000096" w:history="1">
        <w:r w:rsidR="00A77B3E">
          <w:rPr>
            <w:rStyle w:val="Hiperpovezava"/>
          </w:rPr>
          <w:t>2.2.1. Opis</w:t>
        </w:r>
        <w:r w:rsidR="00EE0419">
          <w:tab/>
        </w:r>
        <w:r w:rsidR="00EE0419">
          <w:fldChar w:fldCharType="begin"/>
        </w:r>
        <w:r w:rsidR="00EE0419">
          <w:instrText xml:space="preserve"> PAGEREF _Toc256000096 \h </w:instrText>
        </w:r>
        <w:r w:rsidR="00EE0419">
          <w:fldChar w:fldCharType="separate"/>
        </w:r>
        <w:r>
          <w:t>36</w:t>
        </w:r>
        <w:r w:rsidR="00EE0419">
          <w:fldChar w:fldCharType="end"/>
        </w:r>
      </w:hyperlink>
    </w:p>
    <w:p w14:paraId="0ACC37F3" w14:textId="4D2E3A87" w:rsidR="00EC4D24" w:rsidRDefault="00857B1D">
      <w:pPr>
        <w:pStyle w:val="Kazalovsebine3"/>
        <w:tabs>
          <w:tab w:val="right" w:leader="dot" w:pos="10240"/>
        </w:tabs>
        <w:rPr>
          <w:rFonts w:ascii="Calibri" w:hAnsi="Calibri"/>
          <w:sz w:val="22"/>
        </w:rPr>
      </w:pPr>
      <w:hyperlink w:anchor="_Toc256000097" w:history="1">
        <w:r w:rsidR="00A77B3E">
          <w:rPr>
            <w:rStyle w:val="Hiperpovezava"/>
          </w:rPr>
          <w:t>2.2.2. Okvirna razčlenitev tehnične pomoči v skladu s členom 37 uredbe o skupnih določbah</w:t>
        </w:r>
        <w:r w:rsidR="00EE0419">
          <w:tab/>
        </w:r>
        <w:r w:rsidR="00EE0419">
          <w:fldChar w:fldCharType="begin"/>
        </w:r>
        <w:r w:rsidR="00EE0419">
          <w:instrText xml:space="preserve"> PAGEREF _Toc256000097 \h </w:instrText>
        </w:r>
        <w:r w:rsidR="00EE0419">
          <w:fldChar w:fldCharType="separate"/>
        </w:r>
        <w:r>
          <w:t>37</w:t>
        </w:r>
        <w:r w:rsidR="00EE0419">
          <w:fldChar w:fldCharType="end"/>
        </w:r>
      </w:hyperlink>
    </w:p>
    <w:p w14:paraId="578B2E42" w14:textId="67ABAE5C" w:rsidR="00EC4D24" w:rsidRDefault="00857B1D">
      <w:pPr>
        <w:pStyle w:val="Kazalovsebine4"/>
        <w:tabs>
          <w:tab w:val="right" w:leader="dot" w:pos="10240"/>
        </w:tabs>
        <w:rPr>
          <w:rFonts w:ascii="Calibri" w:hAnsi="Calibri"/>
          <w:sz w:val="22"/>
        </w:rPr>
      </w:pPr>
      <w:hyperlink w:anchor="_Toc256000098" w:history="1">
        <w:r w:rsidR="00A77B3E">
          <w:rPr>
            <w:rStyle w:val="Hiperpovezava"/>
          </w:rPr>
          <w:t>Tabela 4: Okvirna razčlenitev</w:t>
        </w:r>
        <w:r w:rsidR="00EE0419">
          <w:tab/>
        </w:r>
        <w:r w:rsidR="00EE0419">
          <w:fldChar w:fldCharType="begin"/>
        </w:r>
        <w:r w:rsidR="00EE0419">
          <w:instrText xml:space="preserve"> PAGEREF _Toc256000098 \h </w:instrText>
        </w:r>
        <w:r w:rsidR="00EE0419">
          <w:fldChar w:fldCharType="separate"/>
        </w:r>
        <w:r>
          <w:t>37</w:t>
        </w:r>
        <w:r w:rsidR="00EE0419">
          <w:fldChar w:fldCharType="end"/>
        </w:r>
      </w:hyperlink>
    </w:p>
    <w:p w14:paraId="117A87AA" w14:textId="52BE15F0" w:rsidR="00EC4D24" w:rsidRDefault="00857B1D">
      <w:pPr>
        <w:pStyle w:val="Kazalovsebine1"/>
        <w:tabs>
          <w:tab w:val="right" w:leader="dot" w:pos="10240"/>
        </w:tabs>
        <w:rPr>
          <w:rFonts w:ascii="Calibri" w:hAnsi="Calibri"/>
          <w:sz w:val="22"/>
        </w:rPr>
      </w:pPr>
      <w:hyperlink w:anchor="_Toc256000099" w:history="1">
        <w:r w:rsidR="00A77B3E">
          <w:rPr>
            <w:rStyle w:val="Hiperpovezava"/>
          </w:rPr>
          <w:t>3. Načrt financiranja</w:t>
        </w:r>
        <w:r w:rsidR="00EE0419">
          <w:tab/>
        </w:r>
        <w:r w:rsidR="00EE0419">
          <w:fldChar w:fldCharType="begin"/>
        </w:r>
        <w:r w:rsidR="00EE0419">
          <w:instrText xml:space="preserve"> PAGEREF _Toc256000099 \h </w:instrText>
        </w:r>
        <w:r w:rsidR="00EE0419">
          <w:fldChar w:fldCharType="separate"/>
        </w:r>
        <w:r>
          <w:t>38</w:t>
        </w:r>
        <w:r w:rsidR="00EE0419">
          <w:fldChar w:fldCharType="end"/>
        </w:r>
      </w:hyperlink>
    </w:p>
    <w:p w14:paraId="24B34C51" w14:textId="3949C89A" w:rsidR="00EC4D24" w:rsidRDefault="00857B1D">
      <w:pPr>
        <w:pStyle w:val="Kazalovsebine2"/>
        <w:tabs>
          <w:tab w:val="right" w:leader="dot" w:pos="10240"/>
        </w:tabs>
        <w:rPr>
          <w:rFonts w:ascii="Calibri" w:hAnsi="Calibri"/>
          <w:sz w:val="22"/>
        </w:rPr>
      </w:pPr>
      <w:hyperlink w:anchor="_Toc256000100" w:history="1">
        <w:r w:rsidR="00A77B3E">
          <w:rPr>
            <w:rStyle w:val="Hiperpovezava"/>
          </w:rPr>
          <w:t>3.1. Finančna sredstva po letih</w:t>
        </w:r>
        <w:r w:rsidR="00EE0419">
          <w:tab/>
        </w:r>
        <w:r w:rsidR="00EE0419">
          <w:fldChar w:fldCharType="begin"/>
        </w:r>
        <w:r w:rsidR="00EE0419">
          <w:instrText xml:space="preserve"> PAGEREF _Toc256000100 \h </w:instrText>
        </w:r>
        <w:r w:rsidR="00EE0419">
          <w:fldChar w:fldCharType="separate"/>
        </w:r>
        <w:r>
          <w:t>38</w:t>
        </w:r>
        <w:r w:rsidR="00EE0419">
          <w:fldChar w:fldCharType="end"/>
        </w:r>
      </w:hyperlink>
    </w:p>
    <w:p w14:paraId="0D8384D0" w14:textId="1A77C5BC" w:rsidR="00EC4D24" w:rsidRDefault="00857B1D">
      <w:pPr>
        <w:pStyle w:val="Kazalovsebine4"/>
        <w:tabs>
          <w:tab w:val="right" w:leader="dot" w:pos="10240"/>
        </w:tabs>
        <w:rPr>
          <w:rFonts w:ascii="Calibri" w:hAnsi="Calibri"/>
          <w:sz w:val="22"/>
        </w:rPr>
      </w:pPr>
      <w:hyperlink w:anchor="_Toc256000101" w:history="1">
        <w:r w:rsidR="00A77B3E">
          <w:rPr>
            <w:rStyle w:val="Hiperpovezava"/>
          </w:rPr>
          <w:t>Tabela 5: Finančna sredstva po letih</w:t>
        </w:r>
        <w:r w:rsidR="00EE0419">
          <w:tab/>
        </w:r>
        <w:r w:rsidR="00EE0419">
          <w:fldChar w:fldCharType="begin"/>
        </w:r>
        <w:r w:rsidR="00EE0419">
          <w:instrText xml:space="preserve"> PAGEREF _Toc256000101 \h </w:instrText>
        </w:r>
        <w:r w:rsidR="00EE0419">
          <w:fldChar w:fldCharType="separate"/>
        </w:r>
        <w:r>
          <w:t>38</w:t>
        </w:r>
        <w:r w:rsidR="00EE0419">
          <w:fldChar w:fldCharType="end"/>
        </w:r>
      </w:hyperlink>
    </w:p>
    <w:p w14:paraId="098ADAAF" w14:textId="6A38D6AF" w:rsidR="00EC4D24" w:rsidRDefault="00857B1D">
      <w:pPr>
        <w:pStyle w:val="Kazalovsebine2"/>
        <w:tabs>
          <w:tab w:val="right" w:leader="dot" w:pos="10240"/>
        </w:tabs>
        <w:rPr>
          <w:rFonts w:ascii="Calibri" w:hAnsi="Calibri"/>
          <w:sz w:val="22"/>
        </w:rPr>
      </w:pPr>
      <w:hyperlink w:anchor="_Toc256000102" w:history="1">
        <w:r w:rsidR="00A77B3E">
          <w:rPr>
            <w:rStyle w:val="Hiperpovezava"/>
          </w:rPr>
          <w:t>3.2. Skupna dodelitev finančnih sredstev</w:t>
        </w:r>
        <w:r w:rsidR="00EE0419">
          <w:tab/>
        </w:r>
        <w:r w:rsidR="00EE0419">
          <w:fldChar w:fldCharType="begin"/>
        </w:r>
        <w:r w:rsidR="00EE0419">
          <w:instrText xml:space="preserve"> PAGEREF _Toc256000102 \h </w:instrText>
        </w:r>
        <w:r w:rsidR="00EE0419">
          <w:fldChar w:fldCharType="separate"/>
        </w:r>
        <w:r>
          <w:t>39</w:t>
        </w:r>
        <w:r w:rsidR="00EE0419">
          <w:fldChar w:fldCharType="end"/>
        </w:r>
      </w:hyperlink>
    </w:p>
    <w:p w14:paraId="2EF42B1D" w14:textId="1BDE86A9" w:rsidR="00EC4D24" w:rsidRDefault="00857B1D">
      <w:pPr>
        <w:pStyle w:val="Kazalovsebine4"/>
        <w:tabs>
          <w:tab w:val="right" w:leader="dot" w:pos="10240"/>
        </w:tabs>
        <w:rPr>
          <w:rFonts w:ascii="Calibri" w:hAnsi="Calibri"/>
          <w:sz w:val="22"/>
        </w:rPr>
      </w:pPr>
      <w:hyperlink w:anchor="_Toc256000103" w:history="1">
        <w:r w:rsidR="00A77B3E">
          <w:rPr>
            <w:rStyle w:val="Hiperpovezava"/>
          </w:rPr>
          <w:t>Tabela 6: Skupna dodelitev finančnih sredstev po skladih in nacionalni prispevek</w:t>
        </w:r>
        <w:r w:rsidR="00EE0419">
          <w:tab/>
        </w:r>
        <w:r w:rsidR="00EE0419">
          <w:fldChar w:fldCharType="begin"/>
        </w:r>
        <w:r w:rsidR="00EE0419">
          <w:instrText xml:space="preserve"> PAGEREF _Toc256000103 \h </w:instrText>
        </w:r>
        <w:r w:rsidR="00EE0419">
          <w:fldChar w:fldCharType="separate"/>
        </w:r>
        <w:r>
          <w:t>39</w:t>
        </w:r>
        <w:r w:rsidR="00EE0419">
          <w:fldChar w:fldCharType="end"/>
        </w:r>
      </w:hyperlink>
    </w:p>
    <w:p w14:paraId="6826D292" w14:textId="2017FFAB" w:rsidR="00EC4D24" w:rsidRDefault="00857B1D">
      <w:pPr>
        <w:pStyle w:val="Kazalovsebine4"/>
        <w:tabs>
          <w:tab w:val="right" w:leader="dot" w:pos="10240"/>
        </w:tabs>
        <w:rPr>
          <w:rFonts w:ascii="Calibri" w:hAnsi="Calibri"/>
          <w:sz w:val="22"/>
        </w:rPr>
      </w:pPr>
      <w:hyperlink w:anchor="_Toc256000104" w:history="1">
        <w:r w:rsidR="00A77B3E">
          <w:rPr>
            <w:rStyle w:val="Hiperpovezava"/>
          </w:rPr>
          <w:t>Tabela 6A: Načrt zaveze</w:t>
        </w:r>
        <w:r w:rsidR="00EE0419">
          <w:tab/>
        </w:r>
        <w:r w:rsidR="00EE0419">
          <w:fldChar w:fldCharType="begin"/>
        </w:r>
        <w:r w:rsidR="00EE0419">
          <w:instrText xml:space="preserve"> PAGEREF _Toc256000104 \h </w:instrText>
        </w:r>
        <w:r w:rsidR="00EE0419">
          <w:fldChar w:fldCharType="separate"/>
        </w:r>
        <w:r>
          <w:t>40</w:t>
        </w:r>
        <w:r w:rsidR="00EE0419">
          <w:fldChar w:fldCharType="end"/>
        </w:r>
      </w:hyperlink>
    </w:p>
    <w:p w14:paraId="34691F7B" w14:textId="58F8AA67" w:rsidR="00EC4D24" w:rsidRDefault="00857B1D">
      <w:pPr>
        <w:pStyle w:val="Kazalovsebine2"/>
        <w:tabs>
          <w:tab w:val="right" w:leader="dot" w:pos="10240"/>
        </w:tabs>
        <w:rPr>
          <w:rFonts w:ascii="Calibri" w:hAnsi="Calibri"/>
          <w:sz w:val="22"/>
        </w:rPr>
      </w:pPr>
      <w:hyperlink w:anchor="_Toc256000105" w:history="1">
        <w:r w:rsidR="00A77B3E">
          <w:rPr>
            <w:rStyle w:val="Hiperpovezava"/>
          </w:rPr>
          <w:t>3.3. Prerazporeditve</w:t>
        </w:r>
        <w:r w:rsidR="00EE0419">
          <w:tab/>
        </w:r>
        <w:r w:rsidR="00EE0419">
          <w:fldChar w:fldCharType="begin"/>
        </w:r>
        <w:r w:rsidR="00EE0419">
          <w:instrText xml:space="preserve"> PAGEREF _Toc256000105 \h </w:instrText>
        </w:r>
        <w:r w:rsidR="00EE0419">
          <w:fldChar w:fldCharType="separate"/>
        </w:r>
        <w:r>
          <w:t>41</w:t>
        </w:r>
        <w:r w:rsidR="00EE0419">
          <w:fldChar w:fldCharType="end"/>
        </w:r>
      </w:hyperlink>
    </w:p>
    <w:p w14:paraId="3FE96F80" w14:textId="2833249D" w:rsidR="00EC4D24" w:rsidRDefault="00857B1D">
      <w:pPr>
        <w:pStyle w:val="Kazalovsebine3"/>
        <w:tabs>
          <w:tab w:val="right" w:leader="dot" w:pos="10240"/>
        </w:tabs>
        <w:rPr>
          <w:rFonts w:ascii="Calibri" w:hAnsi="Calibri"/>
          <w:sz w:val="22"/>
        </w:rPr>
      </w:pPr>
      <w:hyperlink w:anchor="_Toc256000106" w:history="1">
        <w:r w:rsidR="00A77B3E">
          <w:rPr>
            <w:rStyle w:val="Hiperpovezava"/>
          </w:rPr>
          <w:t>Tabela 7: Prerazporeditve med skladi z deljenim upravljanjem</w:t>
        </w:r>
        <w:r w:rsidR="00A77B3E">
          <w:rPr>
            <w:rStyle w:val="Hiperpovezava"/>
            <w:vertAlign w:val="superscript"/>
          </w:rPr>
          <w:t>1</w:t>
        </w:r>
        <w:r w:rsidR="00EE0419">
          <w:tab/>
        </w:r>
        <w:r w:rsidR="00EE0419">
          <w:fldChar w:fldCharType="begin"/>
        </w:r>
        <w:r w:rsidR="00EE0419">
          <w:instrText xml:space="preserve"> PAGEREF _Toc256000106 \h </w:instrText>
        </w:r>
        <w:r w:rsidR="00EE0419">
          <w:fldChar w:fldCharType="separate"/>
        </w:r>
        <w:r>
          <w:t>41</w:t>
        </w:r>
        <w:r w:rsidR="00EE0419">
          <w:fldChar w:fldCharType="end"/>
        </w:r>
      </w:hyperlink>
    </w:p>
    <w:p w14:paraId="796755B7" w14:textId="7E24C81B" w:rsidR="00EC4D24" w:rsidRDefault="00857B1D">
      <w:pPr>
        <w:pStyle w:val="Kazalovsebine3"/>
        <w:tabs>
          <w:tab w:val="right" w:leader="dot" w:pos="10240"/>
        </w:tabs>
        <w:rPr>
          <w:rFonts w:ascii="Calibri" w:hAnsi="Calibri"/>
          <w:sz w:val="22"/>
        </w:rPr>
      </w:pPr>
      <w:hyperlink w:anchor="_Toc256000107" w:history="1">
        <w:r w:rsidR="00A77B3E">
          <w:rPr>
            <w:rStyle w:val="Hiperpovezava"/>
          </w:rPr>
          <w:t>Tabela 8: Prerazporeditve v instrumente v okviru neposrednega ali posrednega upravljanja</w:t>
        </w:r>
        <w:r w:rsidR="00A77B3E">
          <w:rPr>
            <w:rStyle w:val="Hiperpovezava"/>
            <w:vertAlign w:val="superscript"/>
          </w:rPr>
          <w:t>1</w:t>
        </w:r>
        <w:r w:rsidR="00EE0419">
          <w:tab/>
        </w:r>
        <w:r w:rsidR="00EE0419">
          <w:fldChar w:fldCharType="begin"/>
        </w:r>
        <w:r w:rsidR="00EE0419">
          <w:instrText xml:space="preserve"> PAGEREF _Toc256000107 \h </w:instrText>
        </w:r>
        <w:r w:rsidR="00EE0419">
          <w:fldChar w:fldCharType="separate"/>
        </w:r>
        <w:r>
          <w:t>42</w:t>
        </w:r>
        <w:r w:rsidR="00EE0419">
          <w:fldChar w:fldCharType="end"/>
        </w:r>
      </w:hyperlink>
    </w:p>
    <w:p w14:paraId="0C5053FB" w14:textId="4BDE9210" w:rsidR="00EC4D24" w:rsidRDefault="00857B1D">
      <w:pPr>
        <w:pStyle w:val="Kazalovsebine1"/>
        <w:tabs>
          <w:tab w:val="right" w:leader="dot" w:pos="10240"/>
        </w:tabs>
        <w:rPr>
          <w:rFonts w:ascii="Calibri" w:hAnsi="Calibri"/>
          <w:sz w:val="22"/>
        </w:rPr>
      </w:pPr>
      <w:hyperlink w:anchor="_Toc256000108" w:history="1">
        <w:r w:rsidR="00A77B3E">
          <w:rPr>
            <w:rStyle w:val="Hiperpovezava"/>
          </w:rPr>
          <w:t>4. Omogočitveni pogoji</w:t>
        </w:r>
        <w:r w:rsidR="00EE0419">
          <w:tab/>
        </w:r>
        <w:r w:rsidR="00EE0419">
          <w:fldChar w:fldCharType="begin"/>
        </w:r>
        <w:r w:rsidR="00EE0419">
          <w:instrText xml:space="preserve"> PAGEREF _Toc256000108 \h </w:instrText>
        </w:r>
        <w:r w:rsidR="00EE0419">
          <w:fldChar w:fldCharType="separate"/>
        </w:r>
        <w:r>
          <w:t>43</w:t>
        </w:r>
        <w:r w:rsidR="00EE0419">
          <w:fldChar w:fldCharType="end"/>
        </w:r>
      </w:hyperlink>
    </w:p>
    <w:p w14:paraId="00B27976" w14:textId="473E1E15" w:rsidR="00EC4D24" w:rsidRDefault="00857B1D">
      <w:pPr>
        <w:pStyle w:val="Kazalovsebine2"/>
        <w:tabs>
          <w:tab w:val="right" w:leader="dot" w:pos="10240"/>
        </w:tabs>
        <w:rPr>
          <w:rFonts w:ascii="Calibri" w:hAnsi="Calibri"/>
          <w:sz w:val="22"/>
        </w:rPr>
      </w:pPr>
      <w:hyperlink w:anchor="_Toc256000109" w:history="1">
        <w:r w:rsidR="00A77B3E">
          <w:rPr>
            <w:rStyle w:val="Hiperpovezava"/>
          </w:rPr>
          <w:t>Tabela 9: Horizontalni omogočitveni pogoji</w:t>
        </w:r>
        <w:r w:rsidR="00EE0419">
          <w:tab/>
        </w:r>
        <w:r w:rsidR="00EE0419">
          <w:fldChar w:fldCharType="begin"/>
        </w:r>
        <w:r w:rsidR="00EE0419">
          <w:instrText xml:space="preserve"> PAGEREF _Toc256000109 \h </w:instrText>
        </w:r>
        <w:r w:rsidR="00EE0419">
          <w:fldChar w:fldCharType="separate"/>
        </w:r>
        <w:r>
          <w:t>43</w:t>
        </w:r>
        <w:r w:rsidR="00EE0419">
          <w:fldChar w:fldCharType="end"/>
        </w:r>
      </w:hyperlink>
    </w:p>
    <w:p w14:paraId="59EA5CF6" w14:textId="43D875CE" w:rsidR="00EC4D24" w:rsidRDefault="00857B1D">
      <w:pPr>
        <w:pStyle w:val="Kazalovsebine1"/>
        <w:tabs>
          <w:tab w:val="right" w:leader="dot" w:pos="10240"/>
        </w:tabs>
        <w:rPr>
          <w:rFonts w:ascii="Calibri" w:hAnsi="Calibri"/>
          <w:sz w:val="22"/>
        </w:rPr>
      </w:pPr>
      <w:hyperlink w:anchor="_Toc256000110" w:history="1">
        <w:r w:rsidR="00A77B3E">
          <w:rPr>
            <w:rStyle w:val="Hiperpovezava"/>
          </w:rPr>
          <w:t>5. Organi, pristojni za program</w:t>
        </w:r>
        <w:r w:rsidR="00EE0419">
          <w:tab/>
        </w:r>
        <w:r w:rsidR="00EE0419">
          <w:fldChar w:fldCharType="begin"/>
        </w:r>
        <w:r w:rsidR="00EE0419">
          <w:instrText xml:space="preserve"> PAGEREF _Toc256000110 \h </w:instrText>
        </w:r>
        <w:r w:rsidR="00EE0419">
          <w:fldChar w:fldCharType="separate"/>
        </w:r>
        <w:r>
          <w:t>51</w:t>
        </w:r>
        <w:r w:rsidR="00EE0419">
          <w:fldChar w:fldCharType="end"/>
        </w:r>
      </w:hyperlink>
    </w:p>
    <w:p w14:paraId="0EFD32F2" w14:textId="4A9E5B76" w:rsidR="00EC4D24" w:rsidRDefault="00857B1D">
      <w:pPr>
        <w:pStyle w:val="Kazalovsebine2"/>
        <w:tabs>
          <w:tab w:val="right" w:leader="dot" w:pos="10240"/>
        </w:tabs>
        <w:rPr>
          <w:rFonts w:ascii="Calibri" w:hAnsi="Calibri"/>
          <w:sz w:val="22"/>
        </w:rPr>
      </w:pPr>
      <w:hyperlink w:anchor="_Toc256000111" w:history="1">
        <w:r w:rsidR="00A77B3E">
          <w:rPr>
            <w:rStyle w:val="Hiperpovezava"/>
          </w:rPr>
          <w:t>Tabela 10: Organi, pristojni za program</w:t>
        </w:r>
        <w:r w:rsidR="00EE0419">
          <w:tab/>
        </w:r>
        <w:r w:rsidR="00EE0419">
          <w:fldChar w:fldCharType="begin"/>
        </w:r>
        <w:r w:rsidR="00EE0419">
          <w:instrText xml:space="preserve"> PAGEREF _Toc256000111 \h </w:instrText>
        </w:r>
        <w:r w:rsidR="00EE0419">
          <w:fldChar w:fldCharType="separate"/>
        </w:r>
        <w:r>
          <w:t>51</w:t>
        </w:r>
        <w:r w:rsidR="00EE0419">
          <w:fldChar w:fldCharType="end"/>
        </w:r>
      </w:hyperlink>
    </w:p>
    <w:p w14:paraId="22982A3C" w14:textId="218C65B3" w:rsidR="00EC4D24" w:rsidRDefault="00857B1D">
      <w:pPr>
        <w:pStyle w:val="Kazalovsebine1"/>
        <w:tabs>
          <w:tab w:val="right" w:leader="dot" w:pos="10240"/>
        </w:tabs>
        <w:rPr>
          <w:rFonts w:ascii="Calibri" w:hAnsi="Calibri"/>
          <w:sz w:val="22"/>
        </w:rPr>
      </w:pPr>
      <w:hyperlink w:anchor="_Toc256000112" w:history="1">
        <w:r w:rsidR="00A77B3E">
          <w:rPr>
            <w:rStyle w:val="Hiperpovezava"/>
          </w:rPr>
          <w:t>6. Partnerstvo</w:t>
        </w:r>
        <w:r w:rsidR="00EE0419">
          <w:tab/>
        </w:r>
        <w:r w:rsidR="00EE0419">
          <w:fldChar w:fldCharType="begin"/>
        </w:r>
        <w:r w:rsidR="00EE0419">
          <w:instrText xml:space="preserve"> PAGEREF _Toc256000112 \h </w:instrText>
        </w:r>
        <w:r w:rsidR="00EE0419">
          <w:fldChar w:fldCharType="separate"/>
        </w:r>
        <w:r>
          <w:t>52</w:t>
        </w:r>
        <w:r w:rsidR="00EE0419">
          <w:fldChar w:fldCharType="end"/>
        </w:r>
      </w:hyperlink>
    </w:p>
    <w:p w14:paraId="4298FBBD" w14:textId="3C87FEA5" w:rsidR="00EC4D24" w:rsidRDefault="00857B1D">
      <w:pPr>
        <w:pStyle w:val="Kazalovsebine1"/>
        <w:tabs>
          <w:tab w:val="right" w:leader="dot" w:pos="10240"/>
        </w:tabs>
        <w:rPr>
          <w:rFonts w:ascii="Calibri" w:hAnsi="Calibri"/>
          <w:sz w:val="22"/>
        </w:rPr>
      </w:pPr>
      <w:hyperlink w:anchor="_Toc256000113" w:history="1">
        <w:r w:rsidR="00A77B3E">
          <w:rPr>
            <w:rStyle w:val="Hiperpovezava"/>
          </w:rPr>
          <w:t>7. Komuniciranje in prepoznavnost</w:t>
        </w:r>
        <w:r w:rsidR="00EE0419">
          <w:tab/>
        </w:r>
        <w:r w:rsidR="00EE0419">
          <w:fldChar w:fldCharType="begin"/>
        </w:r>
        <w:r w:rsidR="00EE0419">
          <w:instrText xml:space="preserve"> PAGEREF _Toc256000113 \h </w:instrText>
        </w:r>
        <w:r w:rsidR="00EE0419">
          <w:fldChar w:fldCharType="separate"/>
        </w:r>
        <w:r>
          <w:t>56</w:t>
        </w:r>
        <w:r w:rsidR="00EE0419">
          <w:fldChar w:fldCharType="end"/>
        </w:r>
      </w:hyperlink>
    </w:p>
    <w:p w14:paraId="01FE677E" w14:textId="152A1832" w:rsidR="00EC4D24" w:rsidRDefault="00857B1D">
      <w:pPr>
        <w:pStyle w:val="Kazalovsebine1"/>
        <w:tabs>
          <w:tab w:val="right" w:leader="dot" w:pos="10240"/>
        </w:tabs>
        <w:rPr>
          <w:rFonts w:ascii="Calibri" w:hAnsi="Calibri"/>
          <w:sz w:val="22"/>
        </w:rPr>
      </w:pPr>
      <w:hyperlink w:anchor="_Toc256000114" w:history="1">
        <w:r w:rsidR="00A77B3E">
          <w:rPr>
            <w:rStyle w:val="Hiperpovezava"/>
          </w:rPr>
          <w:t>8. Uporaba stroškov na enoto, pavšalnih zneskov, pavšalnih stopenj in financiranja, ki ni povezano s stroški</w:t>
        </w:r>
        <w:r w:rsidR="00EE0419">
          <w:tab/>
        </w:r>
        <w:r w:rsidR="00EE0419">
          <w:fldChar w:fldCharType="begin"/>
        </w:r>
        <w:r w:rsidR="00EE0419">
          <w:instrText xml:space="preserve"> PAGEREF _Toc256000114 \h </w:instrText>
        </w:r>
        <w:r w:rsidR="00EE0419">
          <w:fldChar w:fldCharType="separate"/>
        </w:r>
        <w:r>
          <w:t>58</w:t>
        </w:r>
        <w:r w:rsidR="00EE0419">
          <w:fldChar w:fldCharType="end"/>
        </w:r>
      </w:hyperlink>
    </w:p>
    <w:p w14:paraId="17D4FA7C" w14:textId="722EC816" w:rsidR="00EC4D24" w:rsidRDefault="00857B1D">
      <w:pPr>
        <w:pStyle w:val="Kazalovsebine1"/>
        <w:tabs>
          <w:tab w:val="right" w:leader="dot" w:pos="10240"/>
        </w:tabs>
        <w:rPr>
          <w:rFonts w:ascii="Calibri" w:hAnsi="Calibri"/>
          <w:sz w:val="22"/>
        </w:rPr>
      </w:pPr>
      <w:hyperlink w:anchor="_Toc256000115" w:history="1">
        <w:r w:rsidR="00A77B3E">
          <w:rPr>
            <w:rStyle w:val="Hiperpovezava"/>
          </w:rPr>
          <w:t>Dodatek 1: Prispevek Unije na podlagi stroškov na enoto, pavšalnih zneskov in pavšalnih stopenj</w:t>
        </w:r>
        <w:r w:rsidR="00EE0419">
          <w:tab/>
        </w:r>
        <w:r w:rsidR="00EE0419">
          <w:fldChar w:fldCharType="begin"/>
        </w:r>
        <w:r w:rsidR="00EE0419">
          <w:instrText xml:space="preserve"> PAGEREF _Toc256000115 \h </w:instrText>
        </w:r>
        <w:r w:rsidR="00EE0419">
          <w:fldChar w:fldCharType="separate"/>
        </w:r>
        <w:r>
          <w:t>59</w:t>
        </w:r>
        <w:r w:rsidR="00EE0419">
          <w:fldChar w:fldCharType="end"/>
        </w:r>
      </w:hyperlink>
    </w:p>
    <w:p w14:paraId="609A12E1" w14:textId="3FD14845" w:rsidR="00EC4D24" w:rsidRDefault="00857B1D">
      <w:pPr>
        <w:pStyle w:val="Kazalovsebine2"/>
        <w:tabs>
          <w:tab w:val="right" w:leader="dot" w:pos="10240"/>
        </w:tabs>
        <w:rPr>
          <w:rFonts w:ascii="Calibri" w:hAnsi="Calibri"/>
          <w:sz w:val="22"/>
        </w:rPr>
      </w:pPr>
      <w:hyperlink w:anchor="_Toc256000116" w:history="1">
        <w:r w:rsidR="00A77B3E">
          <w:rPr>
            <w:rStyle w:val="Hiperpovezava"/>
          </w:rPr>
          <w:t>A. Povzetek glavnih elementov</w:t>
        </w:r>
        <w:r w:rsidR="00EE0419">
          <w:tab/>
        </w:r>
        <w:r w:rsidR="00EE0419">
          <w:fldChar w:fldCharType="begin"/>
        </w:r>
        <w:r w:rsidR="00EE0419">
          <w:instrText xml:space="preserve"> PAGEREF _Toc256000116 \h </w:instrText>
        </w:r>
        <w:r w:rsidR="00EE0419">
          <w:fldChar w:fldCharType="separate"/>
        </w:r>
        <w:r>
          <w:t>59</w:t>
        </w:r>
        <w:r w:rsidR="00EE0419">
          <w:fldChar w:fldCharType="end"/>
        </w:r>
      </w:hyperlink>
    </w:p>
    <w:p w14:paraId="11D33C8D" w14:textId="0C1DBCAF" w:rsidR="00EC4D24" w:rsidRDefault="00857B1D">
      <w:pPr>
        <w:pStyle w:val="Kazalovsebine2"/>
        <w:tabs>
          <w:tab w:val="right" w:leader="dot" w:pos="10240"/>
        </w:tabs>
        <w:rPr>
          <w:rFonts w:ascii="Calibri" w:hAnsi="Calibri"/>
          <w:sz w:val="22"/>
        </w:rPr>
      </w:pPr>
      <w:hyperlink w:anchor="_Toc256000117" w:history="1">
        <w:r w:rsidR="00A77B3E">
          <w:rPr>
            <w:rStyle w:val="Hiperpovezava"/>
          </w:rPr>
          <w:t>B. Podrobnosti glede na vrsto operacije</w:t>
        </w:r>
        <w:r w:rsidR="00EE0419">
          <w:tab/>
        </w:r>
        <w:r w:rsidR="00EE0419">
          <w:fldChar w:fldCharType="begin"/>
        </w:r>
        <w:r w:rsidR="00EE0419">
          <w:instrText xml:space="preserve"> PAGEREF _Toc256000117 \h </w:instrText>
        </w:r>
        <w:r w:rsidR="00EE0419">
          <w:fldChar w:fldCharType="separate"/>
        </w:r>
        <w:r>
          <w:t>60</w:t>
        </w:r>
        <w:r w:rsidR="00EE0419">
          <w:fldChar w:fldCharType="end"/>
        </w:r>
      </w:hyperlink>
    </w:p>
    <w:p w14:paraId="6FC69588" w14:textId="4E46E463" w:rsidR="00EC4D24" w:rsidRDefault="00857B1D">
      <w:pPr>
        <w:pStyle w:val="Kazalovsebine2"/>
        <w:tabs>
          <w:tab w:val="right" w:leader="dot" w:pos="10240"/>
        </w:tabs>
        <w:rPr>
          <w:rFonts w:ascii="Calibri" w:hAnsi="Calibri"/>
          <w:sz w:val="22"/>
        </w:rPr>
      </w:pPr>
      <w:hyperlink w:anchor="_Toc256000118" w:history="1">
        <w:r w:rsidR="00A77B3E">
          <w:rPr>
            <w:rStyle w:val="Hiperpovezava"/>
          </w:rPr>
          <w:t>C. Izračun standardnih stroškov na enoto, pavšalnih zneskov in pavšalnih stopenj</w:t>
        </w:r>
        <w:r w:rsidR="00EE0419">
          <w:tab/>
        </w:r>
        <w:r w:rsidR="00EE0419">
          <w:fldChar w:fldCharType="begin"/>
        </w:r>
        <w:r w:rsidR="00EE0419">
          <w:instrText xml:space="preserve"> PAGEREF _Toc256000118 \h </w:instrText>
        </w:r>
        <w:r w:rsidR="00EE0419">
          <w:fldChar w:fldCharType="separate"/>
        </w:r>
        <w:r>
          <w:t>61</w:t>
        </w:r>
        <w:r w:rsidR="00EE0419">
          <w:fldChar w:fldCharType="end"/>
        </w:r>
      </w:hyperlink>
    </w:p>
    <w:p w14:paraId="306377F8" w14:textId="3F356C74" w:rsidR="00EC4D24" w:rsidRDefault="00857B1D">
      <w:pPr>
        <w:pStyle w:val="Kazalovsebine4"/>
        <w:tabs>
          <w:tab w:val="right" w:leader="dot" w:pos="10240"/>
        </w:tabs>
        <w:rPr>
          <w:rFonts w:ascii="Calibri" w:hAnsi="Calibri"/>
          <w:sz w:val="22"/>
        </w:rPr>
      </w:pPr>
      <w:hyperlink w:anchor="_Toc256000119" w:history="1">
        <w:r w:rsidR="00A77B3E">
          <w:rPr>
            <w:rStyle w:val="Hiperpovezava"/>
          </w:rPr>
          <w:t>1. Vir podatkov, uporabljenih za izračun standardnih stroškov na enoto, pavšalnih zneskov ali pavšalnih stopenj (kdo je predložil, zbral in evidentiral podatke; kje so podatki shranjeni; presečni datumi; potrjevanje itd.)</w:t>
        </w:r>
        <w:r w:rsidR="00EE0419">
          <w:tab/>
        </w:r>
        <w:r w:rsidR="00EE0419">
          <w:fldChar w:fldCharType="begin"/>
        </w:r>
        <w:r w:rsidR="00EE0419">
          <w:instrText xml:space="preserve"> PAGEREF _Toc256000119 \h </w:instrText>
        </w:r>
        <w:r w:rsidR="00EE0419">
          <w:fldChar w:fldCharType="separate"/>
        </w:r>
        <w:r>
          <w:t>61</w:t>
        </w:r>
        <w:r w:rsidR="00EE0419">
          <w:fldChar w:fldCharType="end"/>
        </w:r>
      </w:hyperlink>
    </w:p>
    <w:p w14:paraId="72FE3EC8" w14:textId="2A0B6D2A" w:rsidR="00EC4D24" w:rsidRDefault="00857B1D">
      <w:pPr>
        <w:pStyle w:val="Kazalovsebine4"/>
        <w:tabs>
          <w:tab w:val="right" w:leader="dot" w:pos="10240"/>
        </w:tabs>
        <w:rPr>
          <w:rFonts w:ascii="Calibri" w:hAnsi="Calibri"/>
          <w:sz w:val="22"/>
        </w:rPr>
      </w:pPr>
      <w:hyperlink w:anchor="_Toc256000120" w:history="1">
        <w:r w:rsidR="00A77B3E">
          <w:rPr>
            <w:rStyle w:val="Hiperpovezava"/>
          </w:rPr>
          <w:t>2. Navedite, zakaj sta predlagana metoda in izračun na podlagi člena 94(2) uredbe o skupnih določbah relevantna za vrsto operacije.</w:t>
        </w:r>
        <w:r w:rsidR="00EE0419">
          <w:tab/>
        </w:r>
        <w:r w:rsidR="00EE0419">
          <w:fldChar w:fldCharType="begin"/>
        </w:r>
        <w:r w:rsidR="00EE0419">
          <w:instrText xml:space="preserve"> PAGEREF _Toc256000120 \h </w:instrText>
        </w:r>
        <w:r w:rsidR="00EE0419">
          <w:fldChar w:fldCharType="separate"/>
        </w:r>
        <w:r>
          <w:t>62</w:t>
        </w:r>
        <w:r w:rsidR="00EE0419">
          <w:fldChar w:fldCharType="end"/>
        </w:r>
      </w:hyperlink>
    </w:p>
    <w:p w14:paraId="1EBB68C2" w14:textId="2A821F6D" w:rsidR="00EC4D24" w:rsidRDefault="00857B1D">
      <w:pPr>
        <w:pStyle w:val="Kazalovsebine4"/>
        <w:tabs>
          <w:tab w:val="right" w:leader="dot" w:pos="10240"/>
        </w:tabs>
        <w:rPr>
          <w:rFonts w:ascii="Calibri" w:hAnsi="Calibri"/>
          <w:sz w:val="22"/>
        </w:rPr>
      </w:pPr>
      <w:hyperlink w:anchor="_Toc256000121" w:history="1">
        <w:r w:rsidR="00A77B3E">
          <w:rPr>
            <w:rStyle w:val="Hiperpovezava"/>
          </w:rPr>
          <w:t>3. Navedite, kako so bili izračuni narejeni, vključno zlasti s predpostavkami v smislu kakovosti ali količin. Če je to relevantno, je treba uporabiti in na zahtevo predložiti statistične dokaze in referenčne vrednosti v obliki, ki jo lahko uporabi Evropska komisija.</w:t>
        </w:r>
        <w:r w:rsidR="00EE0419">
          <w:tab/>
        </w:r>
        <w:r w:rsidR="00EE0419">
          <w:fldChar w:fldCharType="begin"/>
        </w:r>
        <w:r w:rsidR="00EE0419">
          <w:instrText xml:space="preserve"> PAGEREF _Toc256000121 \h </w:instrText>
        </w:r>
        <w:r w:rsidR="00EE0419">
          <w:fldChar w:fldCharType="separate"/>
        </w:r>
        <w:r>
          <w:t>63</w:t>
        </w:r>
        <w:r w:rsidR="00EE0419">
          <w:fldChar w:fldCharType="end"/>
        </w:r>
      </w:hyperlink>
    </w:p>
    <w:p w14:paraId="16AE95BF" w14:textId="7196455E" w:rsidR="00EC4D24" w:rsidRDefault="00857B1D">
      <w:pPr>
        <w:pStyle w:val="Kazalovsebine4"/>
        <w:tabs>
          <w:tab w:val="right" w:leader="dot" w:pos="10240"/>
        </w:tabs>
        <w:rPr>
          <w:rFonts w:ascii="Calibri" w:hAnsi="Calibri"/>
          <w:sz w:val="22"/>
        </w:rPr>
      </w:pPr>
      <w:hyperlink w:anchor="_Toc256000122" w:history="1">
        <w:r w:rsidR="00A77B3E">
          <w:rPr>
            <w:rStyle w:val="Hiperpovezava"/>
          </w:rPr>
          <w:t>4. Pojasnite, kako ste zagotovili, da so bili v izračun standardnih stroškov na enoto, pavšalnega zneska ali pavšalne stopnje vključeni le upravičeni izdatki.</w:t>
        </w:r>
        <w:r w:rsidR="00EE0419">
          <w:tab/>
        </w:r>
        <w:r w:rsidR="00EE0419">
          <w:fldChar w:fldCharType="begin"/>
        </w:r>
        <w:r w:rsidR="00EE0419">
          <w:instrText xml:space="preserve"> PAGEREF _Toc256000122 \h </w:instrText>
        </w:r>
        <w:r w:rsidR="00EE0419">
          <w:fldChar w:fldCharType="separate"/>
        </w:r>
        <w:r>
          <w:t>64</w:t>
        </w:r>
        <w:r w:rsidR="00EE0419">
          <w:fldChar w:fldCharType="end"/>
        </w:r>
      </w:hyperlink>
    </w:p>
    <w:p w14:paraId="42B38DDD" w14:textId="1744784F" w:rsidR="00EC4D24" w:rsidRDefault="00857B1D">
      <w:pPr>
        <w:pStyle w:val="Kazalovsebine4"/>
        <w:tabs>
          <w:tab w:val="right" w:leader="dot" w:pos="10240"/>
        </w:tabs>
        <w:rPr>
          <w:rFonts w:ascii="Calibri" w:hAnsi="Calibri"/>
          <w:sz w:val="22"/>
        </w:rPr>
      </w:pPr>
      <w:hyperlink w:anchor="_Toc256000123" w:history="1">
        <w:r w:rsidR="00A77B3E">
          <w:rPr>
            <w:rStyle w:val="Hiperpovezava"/>
          </w:rPr>
          <w:t>5. Ocena revizijskega organa v zvezi z metodologijo za izračun in zneski ter ureditvijo za zagotovitev potrjevanja, kakovosti, zbiranja in shranjevanja podatkov.</w:t>
        </w:r>
        <w:r w:rsidR="00EE0419">
          <w:tab/>
        </w:r>
        <w:r w:rsidR="00EE0419">
          <w:fldChar w:fldCharType="begin"/>
        </w:r>
        <w:r w:rsidR="00EE0419">
          <w:instrText xml:space="preserve"> PAGEREF _Toc256000123 \h </w:instrText>
        </w:r>
        <w:r w:rsidR="00EE0419">
          <w:fldChar w:fldCharType="separate"/>
        </w:r>
        <w:r>
          <w:t>65</w:t>
        </w:r>
        <w:r w:rsidR="00EE0419">
          <w:fldChar w:fldCharType="end"/>
        </w:r>
      </w:hyperlink>
    </w:p>
    <w:p w14:paraId="7D562A14" w14:textId="0C8760FF" w:rsidR="00EC4D24" w:rsidRDefault="00857B1D">
      <w:pPr>
        <w:pStyle w:val="Kazalovsebine1"/>
        <w:tabs>
          <w:tab w:val="right" w:leader="dot" w:pos="10240"/>
        </w:tabs>
        <w:rPr>
          <w:rFonts w:ascii="Calibri" w:hAnsi="Calibri"/>
          <w:sz w:val="22"/>
        </w:rPr>
      </w:pPr>
      <w:hyperlink w:anchor="_Toc256000124" w:history="1">
        <w:r w:rsidR="00A77B3E">
          <w:rPr>
            <w:rStyle w:val="Hiperpovezava"/>
          </w:rPr>
          <w:t>Dodatek 2: Prispevek Unije, temelječ na financiranju, ki ni povezano s stroški</w:t>
        </w:r>
        <w:r w:rsidR="00EE0419">
          <w:tab/>
        </w:r>
        <w:r w:rsidR="00EE0419">
          <w:fldChar w:fldCharType="begin"/>
        </w:r>
        <w:r w:rsidR="00EE0419">
          <w:instrText xml:space="preserve"> PAGEREF _Toc256000124 \h </w:instrText>
        </w:r>
        <w:r w:rsidR="00EE0419">
          <w:fldChar w:fldCharType="separate"/>
        </w:r>
        <w:r>
          <w:t>66</w:t>
        </w:r>
        <w:r w:rsidR="00EE0419">
          <w:fldChar w:fldCharType="end"/>
        </w:r>
      </w:hyperlink>
    </w:p>
    <w:p w14:paraId="6D993673" w14:textId="41870865" w:rsidR="00EC4D24" w:rsidRDefault="00857B1D">
      <w:pPr>
        <w:pStyle w:val="Kazalovsebine2"/>
        <w:tabs>
          <w:tab w:val="right" w:leader="dot" w:pos="10240"/>
        </w:tabs>
        <w:rPr>
          <w:rFonts w:ascii="Calibri" w:hAnsi="Calibri"/>
          <w:sz w:val="22"/>
        </w:rPr>
      </w:pPr>
      <w:hyperlink w:anchor="_Toc256000125" w:history="1">
        <w:r w:rsidR="00A77B3E">
          <w:rPr>
            <w:rStyle w:val="Hiperpovezava"/>
          </w:rPr>
          <w:t>A. Povzetek glavnih elementov</w:t>
        </w:r>
        <w:r w:rsidR="00EE0419">
          <w:tab/>
        </w:r>
        <w:r w:rsidR="00EE0419">
          <w:fldChar w:fldCharType="begin"/>
        </w:r>
        <w:r w:rsidR="00EE0419">
          <w:instrText xml:space="preserve"> PAGEREF _Toc256000125 \h </w:instrText>
        </w:r>
        <w:r w:rsidR="00EE0419">
          <w:fldChar w:fldCharType="separate"/>
        </w:r>
        <w:r>
          <w:t>66</w:t>
        </w:r>
        <w:r w:rsidR="00EE0419">
          <w:fldChar w:fldCharType="end"/>
        </w:r>
      </w:hyperlink>
    </w:p>
    <w:p w14:paraId="29CADD47" w14:textId="6B3C993D" w:rsidR="00EC4D24" w:rsidRDefault="00857B1D">
      <w:pPr>
        <w:pStyle w:val="Kazalovsebine2"/>
        <w:tabs>
          <w:tab w:val="right" w:leader="dot" w:pos="10240"/>
        </w:tabs>
        <w:rPr>
          <w:rFonts w:ascii="Calibri" w:hAnsi="Calibri"/>
          <w:sz w:val="22"/>
        </w:rPr>
      </w:pPr>
      <w:hyperlink w:anchor="_Toc256000126" w:history="1">
        <w:r w:rsidR="00A77B3E">
          <w:rPr>
            <w:rStyle w:val="Hiperpovezava"/>
          </w:rPr>
          <w:t>B. Podrobnosti glede na vrsto operacije</w:t>
        </w:r>
        <w:r w:rsidR="00EE0419">
          <w:tab/>
        </w:r>
        <w:r w:rsidR="00EE0419">
          <w:fldChar w:fldCharType="begin"/>
        </w:r>
        <w:r w:rsidR="00EE0419">
          <w:instrText xml:space="preserve"> PAGEREF _Toc256000126 \h </w:instrText>
        </w:r>
        <w:r w:rsidR="00EE0419">
          <w:fldChar w:fldCharType="separate"/>
        </w:r>
        <w:r>
          <w:t>67</w:t>
        </w:r>
        <w:r w:rsidR="00EE0419">
          <w:fldChar w:fldCharType="end"/>
        </w:r>
      </w:hyperlink>
    </w:p>
    <w:p w14:paraId="6697BE3D" w14:textId="4764FE8C" w:rsidR="00EC4D24" w:rsidRDefault="00857B1D">
      <w:pPr>
        <w:pStyle w:val="Kazalovsebine1"/>
        <w:tabs>
          <w:tab w:val="right" w:leader="dot" w:pos="10240"/>
        </w:tabs>
        <w:rPr>
          <w:rFonts w:ascii="Calibri" w:hAnsi="Calibri"/>
          <w:sz w:val="22"/>
        </w:rPr>
      </w:pPr>
      <w:hyperlink w:anchor="_Toc256000127" w:history="1">
        <w:r w:rsidR="00A77B3E">
          <w:rPr>
            <w:rStyle w:val="Hiperpovezava"/>
          </w:rPr>
          <w:t>Dodatek 3</w:t>
        </w:r>
        <w:r w:rsidR="00EE0419">
          <w:tab/>
        </w:r>
        <w:r w:rsidR="00EE0419">
          <w:fldChar w:fldCharType="begin"/>
        </w:r>
        <w:r w:rsidR="00EE0419">
          <w:instrText xml:space="preserve"> PAGEREF _Toc256000127 \h </w:instrText>
        </w:r>
        <w:r w:rsidR="00EE0419">
          <w:fldChar w:fldCharType="separate"/>
        </w:r>
        <w:r>
          <w:t>68</w:t>
        </w:r>
        <w:r w:rsidR="00EE0419">
          <w:fldChar w:fldCharType="end"/>
        </w:r>
      </w:hyperlink>
    </w:p>
    <w:p w14:paraId="666A1502" w14:textId="2705E001" w:rsidR="00EC4D24" w:rsidRDefault="00857B1D">
      <w:pPr>
        <w:pStyle w:val="Kazalovsebine2"/>
        <w:tabs>
          <w:tab w:val="right" w:leader="dot" w:pos="10240"/>
        </w:tabs>
        <w:rPr>
          <w:rFonts w:ascii="Calibri" w:hAnsi="Calibri"/>
          <w:sz w:val="22"/>
        </w:rPr>
      </w:pPr>
      <w:hyperlink w:anchor="_Toc256000128" w:history="1">
        <w:r w:rsidR="00A77B3E">
          <w:rPr>
            <w:rStyle w:val="Hiperpovezava"/>
          </w:rPr>
          <w:t>Thematic facility (Article 11 AMIF Reg., Article 8 BMVI Reg., Article 8 ISF Reg.)</w:t>
        </w:r>
        <w:r w:rsidR="00EE0419">
          <w:tab/>
        </w:r>
        <w:r w:rsidR="00EE0419">
          <w:fldChar w:fldCharType="begin"/>
        </w:r>
        <w:r w:rsidR="00EE0419">
          <w:instrText xml:space="preserve"> PAGEREF _Toc256000128 \h </w:instrText>
        </w:r>
        <w:r w:rsidR="00EE0419">
          <w:fldChar w:fldCharType="separate"/>
        </w:r>
        <w:r>
          <w:t>68</w:t>
        </w:r>
        <w:r w:rsidR="00EE0419">
          <w:fldChar w:fldCharType="end"/>
        </w:r>
      </w:hyperlink>
    </w:p>
    <w:p w14:paraId="0EB4C851" w14:textId="284EF89D" w:rsidR="00EC4D24" w:rsidRDefault="00857B1D">
      <w:pPr>
        <w:pStyle w:val="Kazalovsebine1"/>
        <w:tabs>
          <w:tab w:val="right" w:leader="dot" w:pos="10240"/>
        </w:tabs>
        <w:rPr>
          <w:rFonts w:ascii="Calibri" w:hAnsi="Calibri"/>
          <w:sz w:val="22"/>
        </w:rPr>
      </w:pPr>
      <w:hyperlink w:anchor="_Toc256000129" w:history="1">
        <w:r w:rsidR="00A77B3E">
          <w:rPr>
            <w:rStyle w:val="Hiperpovezava"/>
          </w:rPr>
          <w:t>DOKUMENTI</w:t>
        </w:r>
        <w:r w:rsidR="00EE0419">
          <w:tab/>
        </w:r>
        <w:r w:rsidR="00EE0419">
          <w:fldChar w:fldCharType="begin"/>
        </w:r>
        <w:r w:rsidR="00EE0419">
          <w:instrText xml:space="preserve"> PAGEREF _Toc256000129 \h </w:instrText>
        </w:r>
        <w:r w:rsidR="00EE0419">
          <w:fldChar w:fldCharType="separate"/>
        </w:r>
        <w:r>
          <w:t>69</w:t>
        </w:r>
        <w:r w:rsidR="00EE0419">
          <w:fldChar w:fldCharType="end"/>
        </w:r>
      </w:hyperlink>
    </w:p>
    <w:p w14:paraId="4875960E" w14:textId="77777777" w:rsidR="00A77B3E" w:rsidRPr="00857B1D" w:rsidRDefault="00EE0419">
      <w:pPr>
        <w:pStyle w:val="Naslov1"/>
        <w:rPr>
          <w:rFonts w:ascii="Times New Roman" w:hAnsi="Times New Roman" w:cs="Times New Roman"/>
          <w:b w:val="0"/>
          <w:color w:val="000000"/>
          <w:sz w:val="24"/>
          <w:lang w:val="it-IT"/>
        </w:rPr>
      </w:pPr>
      <w:r>
        <w:rPr>
          <w:rFonts w:ascii="Times New Roman" w:hAnsi="Times New Roman" w:cs="Times New Roman"/>
          <w:b w:val="0"/>
          <w:color w:val="000000"/>
          <w:sz w:val="24"/>
        </w:rPr>
        <w:fldChar w:fldCharType="end"/>
      </w:r>
      <w:r w:rsidRPr="00857B1D">
        <w:rPr>
          <w:rFonts w:ascii="Times New Roman" w:hAnsi="Times New Roman" w:cs="Times New Roman"/>
          <w:b w:val="0"/>
          <w:color w:val="000000"/>
          <w:sz w:val="24"/>
          <w:lang w:val="it-IT"/>
        </w:rPr>
        <w:br w:type="page"/>
      </w:r>
      <w:bookmarkStart w:id="0" w:name="_Toc256000065"/>
      <w:r w:rsidRPr="00857B1D">
        <w:rPr>
          <w:rFonts w:ascii="Times New Roman" w:hAnsi="Times New Roman" w:cs="Times New Roman"/>
          <w:b w:val="0"/>
          <w:color w:val="000000"/>
          <w:sz w:val="24"/>
          <w:lang w:val="it-IT"/>
        </w:rPr>
        <w:lastRenderedPageBreak/>
        <w:t>1. Strategija programa: glavni izzivi in odzivi politik</w:t>
      </w:r>
      <w:bookmarkEnd w:id="0"/>
    </w:p>
    <w:p w14:paraId="620A6DA0" w14:textId="77777777" w:rsidR="00A77B3E" w:rsidRDefault="00EE0419">
      <w:pPr>
        <w:rPr>
          <w:color w:val="000000"/>
          <w:sz w:val="16"/>
        </w:rPr>
      </w:pPr>
      <w:r>
        <w:rPr>
          <w:color w:val="000000"/>
        </w:rPr>
        <w:t>Sklic: člen 22(3)(a)(iii), (iv), (v) in (ix) Uredbe (EU) 2021/1060 (uredba o skupnih določbah)</w:t>
      </w:r>
    </w:p>
    <w:p w14:paraId="451C8B76" w14:textId="77777777" w:rsidR="00A77B3E" w:rsidRDefault="00A77B3E">
      <w:pPr>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C4D24" w:rsidRPr="00857B1D" w14:paraId="68C7445E" w14:textId="77777777">
        <w:trPr>
          <w:trHeight w:val="240"/>
        </w:trPr>
        <w:tc>
          <w:tcPr>
            <w:tcW w:w="5000" w:type="pct"/>
            <w:tcBorders>
              <w:top w:val="single" w:sz="4" w:space="0" w:color="auto"/>
              <w:left w:val="single" w:sz="4" w:space="0" w:color="auto"/>
              <w:bottom w:val="single" w:sz="4" w:space="0" w:color="auto"/>
              <w:right w:val="single" w:sz="4" w:space="0" w:color="auto"/>
            </w:tcBorders>
            <w:tcMar>
              <w:left w:w="100" w:type="dxa"/>
              <w:right w:w="100" w:type="dxa"/>
            </w:tcMar>
          </w:tcPr>
          <w:p w14:paraId="731EFCC4" w14:textId="77777777" w:rsidR="00A77B3E" w:rsidRDefault="00A77B3E">
            <w:pPr>
              <w:rPr>
                <w:color w:val="000000"/>
                <w:sz w:val="0"/>
              </w:rPr>
            </w:pPr>
          </w:p>
          <w:p w14:paraId="06D3CF50" w14:textId="77777777" w:rsidR="00A77B3E" w:rsidRDefault="00EE0419">
            <w:pPr>
              <w:rPr>
                <w:color w:val="000000"/>
              </w:rPr>
            </w:pPr>
            <w:r>
              <w:rPr>
                <w:i/>
                <w:iCs/>
                <w:color w:val="000000"/>
              </w:rPr>
              <w:t>Text field [15 000]</w:t>
            </w:r>
          </w:p>
          <w:p w14:paraId="06C4D6F4" w14:textId="77777777" w:rsidR="00A77B3E" w:rsidRDefault="00EE0419">
            <w:pPr>
              <w:rPr>
                <w:color w:val="000000"/>
              </w:rPr>
            </w:pPr>
            <w:r>
              <w:rPr>
                <w:rFonts w:ascii="DejaVu Sans Mono" w:eastAsia="DejaVu Sans Mono" w:hAnsi="DejaVu Sans Mono" w:cs="DejaVu Sans Mono"/>
                <w:i/>
                <w:iCs/>
                <w:color w:val="000000"/>
              </w:rPr>
              <w:t>﻿</w:t>
            </w:r>
          </w:p>
          <w:p w14:paraId="48770C88" w14:textId="77777777" w:rsidR="00A77B3E" w:rsidRDefault="00EE0419">
            <w:pPr>
              <w:rPr>
                <w:color w:val="000000"/>
              </w:rPr>
            </w:pPr>
            <w:r>
              <w:rPr>
                <w:b/>
                <w:bCs/>
                <w:color w:val="000000"/>
              </w:rPr>
              <w:t>SO1</w:t>
            </w:r>
            <w:r>
              <w:rPr>
                <w:color w:val="000000"/>
              </w:rPr>
              <w:t>: Slovenija (SI) na področju azilne politike sledi usmeritvam EU in omogoča vsem državljanom tretjih držav (DTD), ki potrebujejo mednarodno zaščito, ustrezen status in zagotavljanje spoštovanja načela nevračanja, v okviru skupnega evropskega azilnega sistema. Novela Zakona o mednarodni zaščiti (ZMZ-1A, nadalje ZMZ) celovito ureja področje mednarodne zaščite in v slovenski pravni red prenaša pravo EU - Direktive 2013/32/EU, 3012/33/EU in Uredbe EU 604/2013 ter upošteva izboljšave vezane na povečanje vloženih prošenj za mednarodno zaščito in čedalje bolj obremenjen sistem mednarodne zaščite. Cilj je zagotoviti hitre in učinkovite postopke mednarodne zaščite. Uvaja spremembe glede sodnega varstva, dodatno možnost pritožbe na Vrhovno sodišče RS, spremembe glede omejitve gibanja in s tem povezano definicijo okoliščin nevarnosti pobega. Zaradi čedalje večjega števila prosilcev za mednarodno zaščito, so bile izvedene spremembe na področju sprejemnih pogojev. Nadaljnji cilj je bil uvesti zakonodajne rešitve, ki bi spodbujale osebe z mednarodno zaščito k obiskovanju tečajev slovenskega jezika, spoznavanja slovenske družbe in drugih izobraževalnih programov in programov pomoči za vključevanje. Nova zakonodaja je vplivala tudi na operacije sofinancirane iz AMIF (npr. operacija svetovalcev za begunce se je razširila na vse faze azilnega procesa).</w:t>
            </w:r>
          </w:p>
          <w:p w14:paraId="1A289899" w14:textId="77777777" w:rsidR="00A77B3E" w:rsidRDefault="00A77B3E">
            <w:pPr>
              <w:rPr>
                <w:color w:val="000000"/>
              </w:rPr>
            </w:pPr>
          </w:p>
          <w:p w14:paraId="2272DB3C" w14:textId="77777777" w:rsidR="00A77B3E" w:rsidRDefault="00EE0419">
            <w:pPr>
              <w:rPr>
                <w:color w:val="000000"/>
              </w:rPr>
            </w:pPr>
            <w:r>
              <w:rPr>
                <w:color w:val="000000"/>
              </w:rPr>
              <w:t>Za Sl poseben izziv predstavlja trend povečanja števila prošenj za mednarodno zaščito, kjer beležimo povečevanje od leta 2015. V letu 2019 je bilo vloženih 3.821, kar je dobrih 30% več, kot v letu 2018, 160% več, kot v letu 2017 in 190% več, kot v letu 2016.</w:t>
            </w:r>
          </w:p>
          <w:p w14:paraId="2B51425F" w14:textId="77777777" w:rsidR="00A77B3E" w:rsidRDefault="00A77B3E">
            <w:pPr>
              <w:rPr>
                <w:color w:val="000000"/>
              </w:rPr>
            </w:pPr>
          </w:p>
          <w:p w14:paraId="676C0B7A" w14:textId="77777777" w:rsidR="00A77B3E" w:rsidRPr="00857B1D" w:rsidRDefault="00EE0419">
            <w:pPr>
              <w:rPr>
                <w:color w:val="000000"/>
                <w:lang w:val="it-IT"/>
              </w:rPr>
            </w:pPr>
            <w:r>
              <w:rPr>
                <w:color w:val="000000"/>
              </w:rPr>
              <w:t xml:space="preserve">V letu 2019 je bil 88 osebam priznan status mednarodne zaščite, v 128 primerih je bila prošnja zavrnjena, v 3.273 pa je bil postopek ustavljen. Skladno s povečanjem števila vloženih prošenj, se je v letu 2019 povečalo tudi število prošenj mladoletnih prosilcev brez spremstva (za 20% glede na leto 2018, 70% na leto 2017 in 175% na leto 2016), od katerih je bilo kar 80% takih, ki so prišli brez staršev ali drugega zakonitega zastopnika. Skladno s tem poseben izziv predstavlja nastanitev prosilcev za mednarodno zaščito. V letu 2017 jih je bilo nastanjenih 1.746, v naslednjem letu že 2.876, v letu 2019 pa kar 3.821. V letu 2020 je bilo zaradi epidemioloških razmer na novo nastanjenih 3.548 prosilcev. Povečuje se tudi število na novo nastanjenih mladoletnih prosilcev za mednarodno zaščito brez spremstva (388 v letu 2017, 556 v letu 2018, 670 v letu 2019; v letu 2020 pa zaradi epidemioloških razmer 550). Delež novo nastanjenih mladoletnih prosilcev za mednarodno zaščito brez spremstva je v letu 2020 tako predstavljal 15,50% vseh novo nastanjenih. </w:t>
            </w:r>
            <w:r w:rsidRPr="00857B1D">
              <w:rPr>
                <w:color w:val="000000"/>
                <w:lang w:val="it-IT"/>
              </w:rPr>
              <w:t>V primeru povečanja števila prosilcev za mednarodno zaščito se bo aktiviral Kontingentni načrt.</w:t>
            </w:r>
          </w:p>
          <w:p w14:paraId="370146C6" w14:textId="77777777" w:rsidR="00A77B3E" w:rsidRPr="00857B1D" w:rsidRDefault="00A77B3E">
            <w:pPr>
              <w:rPr>
                <w:color w:val="000000"/>
                <w:lang w:val="it-IT"/>
              </w:rPr>
            </w:pPr>
          </w:p>
          <w:p w14:paraId="4704F2A5" w14:textId="77777777" w:rsidR="00A77B3E" w:rsidRPr="00857B1D" w:rsidRDefault="00EE0419">
            <w:pPr>
              <w:rPr>
                <w:color w:val="000000"/>
                <w:lang w:val="it-IT"/>
              </w:rPr>
            </w:pPr>
            <w:r w:rsidRPr="00857B1D">
              <w:rPr>
                <w:color w:val="000000"/>
                <w:lang w:val="it-IT"/>
              </w:rPr>
              <w:t>Aktivnosti v okviru finančne sheme 2014-2020 so se osredotočale predvsem na izboljšanje razmer in postopkov za sprejem: izboljšanje in povečanje sprejemnih kapacitet, izboljšanje kakovosti in standardov nastanitve, lažji dostop do informacij, spodbude za udeležbo prosilcev za mednarodno zaščito v postopkih za pridobitev mednarodne zaščite (osebni razgovor), jezikovno pomoč, psihološko oskrbo, usposabljanje osebja na podlagi učnega načrta Evropskega azilnega podpornega urada, pravno pomoč, izboljšanje postopkov sprejemanja odločitev o kakovosti in zmanjševanju števila napak, postopkovna jamstva in izboljšane življenjske pogoje prosilcev. Bistvene izboljšave so bile dosežene pri postopkih za pridobitev statusa, skrajšani so bili postopki na prvi stopnji, kot tudi na drugi in tretji stopnji.</w:t>
            </w:r>
          </w:p>
          <w:p w14:paraId="23DD802E" w14:textId="77777777" w:rsidR="00A77B3E" w:rsidRPr="00857B1D" w:rsidRDefault="00A77B3E">
            <w:pPr>
              <w:rPr>
                <w:color w:val="000000"/>
                <w:lang w:val="it-IT"/>
              </w:rPr>
            </w:pPr>
          </w:p>
          <w:p w14:paraId="038B2F32" w14:textId="77777777" w:rsidR="00A77B3E" w:rsidRPr="00857B1D" w:rsidRDefault="00EE0419">
            <w:pPr>
              <w:rPr>
                <w:color w:val="000000"/>
                <w:lang w:val="it-IT"/>
              </w:rPr>
            </w:pPr>
            <w:r w:rsidRPr="00857B1D">
              <w:rPr>
                <w:color w:val="000000"/>
                <w:lang w:val="it-IT"/>
              </w:rPr>
              <w:t xml:space="preserve">V finančni shemi 2021-2027 bomo nadaljevali z zgoraj omenjenimi aktivnostmi kot dobro prakso. Usmerili se bomo tudi v izvedbo izboljšav obstoječega azilnega sistema ter implementirali ustrezne mehanizme EASO s področja kakovosti sprejemanja odločitev v nepredvidljivih razmerah. Poleg tega bo usmeritev v vlaganja v učinkovito delovanje obstoječe ureditve, zaradi nepredvidljivih migracijskih razmer. Predvideno je tudi zagotavljanje zabojnikov za dopolnitev sprejemne infrastrukture upravljanja povečanih migracijskih tokov. Vlada RS ima pripravljen načrt zagotovitve nastanitve in oskrbe v primeru povečanja števila prosilcev za mednarodno zaščito ter izvajanja postopkov mednarodne zaščite, </w:t>
            </w:r>
            <w:r w:rsidRPr="00857B1D">
              <w:rPr>
                <w:color w:val="000000"/>
                <w:lang w:val="it-IT"/>
              </w:rPr>
              <w:lastRenderedPageBreak/>
              <w:t>ki je pripravljen z načrtovanimi aktivnostmi v primeru nenadnega ali postopnega povečanja števila prosilcev za mednarodno zaščito. Dogovorjeni so scenariji in cilji, opredeljeni potrebni ukrepi in organi ter vzpostavljeni sistemi možnega odzivanja, njegova aktivacija poteka v več fazah glede na število prosilcev. Glede na razmere v Ukrajini in povečan pritok beguncev je Sl aktivirala Zakon o začasni zaščiti razseljenih oseb, ki jim omogoča pridobitev statusa začasne zaščite. Gre za hiter in poenostavljen postopek in podoben obseg pravic, kot jih imajo osebe z mednarodno zaščito.</w:t>
            </w:r>
          </w:p>
          <w:p w14:paraId="0D9E3369" w14:textId="77777777" w:rsidR="00A77B3E" w:rsidRPr="00857B1D" w:rsidRDefault="00A77B3E">
            <w:pPr>
              <w:rPr>
                <w:color w:val="000000"/>
                <w:lang w:val="it-IT"/>
              </w:rPr>
            </w:pPr>
          </w:p>
          <w:p w14:paraId="0926F700" w14:textId="77777777" w:rsidR="00A77B3E" w:rsidRPr="00857B1D" w:rsidRDefault="00EE0419">
            <w:pPr>
              <w:rPr>
                <w:color w:val="000000"/>
                <w:lang w:val="it-IT"/>
              </w:rPr>
            </w:pPr>
            <w:r w:rsidRPr="00857B1D">
              <w:rPr>
                <w:color w:val="000000"/>
                <w:lang w:val="it-IT"/>
              </w:rPr>
              <w:t>Pomoč AMIF bo dodatno okrepila izvajanje azilnih postopkov v RS. S sprejetjem novega zakona so bile odpravljene pomanjkljivosti glede implementacije EU direktiv v slovenski pravni sistem. Postopki bodo učinkovitejši (prosilci bodo imeli zagotovljeno sodno varstvo, okrepila se bo pravna pomoč za prosilce za mednarodno zaščito ter okrepilo prevajanje in tolmačenje, saj zaznavamo potrebe po prevajanju in tolmačenju iz številnih jezikov, ki jih prej nismo potrebovali, kar je seveda odvisno od trenutnih migracijskih tokov). Prav tako bodo imeli mladoletniki brez spremstva, katerih število se povečuje, boljše sprejemne pogoje, kar določa sprejeta zakonodaja.</w:t>
            </w:r>
          </w:p>
          <w:p w14:paraId="36DE62CA" w14:textId="77777777" w:rsidR="00A77B3E" w:rsidRPr="00857B1D" w:rsidRDefault="00A77B3E">
            <w:pPr>
              <w:rPr>
                <w:color w:val="000000"/>
                <w:lang w:val="it-IT"/>
              </w:rPr>
            </w:pPr>
          </w:p>
          <w:p w14:paraId="0C80A42C" w14:textId="77777777" w:rsidR="00A77B3E" w:rsidRPr="00857B1D" w:rsidRDefault="00EE0419">
            <w:pPr>
              <w:rPr>
                <w:color w:val="000000"/>
                <w:lang w:val="it-IT"/>
              </w:rPr>
            </w:pPr>
            <w:r w:rsidRPr="00857B1D">
              <w:rPr>
                <w:b/>
                <w:bCs/>
                <w:color w:val="000000"/>
                <w:lang w:val="it-IT"/>
              </w:rPr>
              <w:t>SO2</w:t>
            </w:r>
            <w:r w:rsidRPr="00857B1D">
              <w:rPr>
                <w:color w:val="000000"/>
                <w:lang w:val="it-IT"/>
              </w:rPr>
              <w:t>: Prebivalstvo Sl se je v zadnjih devetnajstih letih s 1.990.094 povečalo na 2.080.908, večino prirastka pripišemo priseljevanju. Leta 2019 je bil selitveni prirast tujih državljanov najvišji po letu 2009, t.j. 16.213 oseb. Ta gibanja se kažejo tudi na področju dovoljenj za stalno ali začasno prebivanje. Na dan 31. december 2019 je imelo 196.470 DTD veljavno dovoljenje za prebivanje ali potrdilo o prijavi prebivanja. Najpogostejši namen prebivanja je zaposlitev (55.371), združitev z družino (15.210) ali študij (3.802). Prihajali so večinoma iz držav bivše Jugoslavije, kar je že zgodovinsko pogojeno in se povečuje tudi zaradi relativno šibkega gospodarskega položaja v regiji, politične nestabilnosti in negotove prihodnosti.</w:t>
            </w:r>
          </w:p>
          <w:p w14:paraId="3E26D5B8" w14:textId="77777777" w:rsidR="00A77B3E" w:rsidRPr="00857B1D" w:rsidRDefault="00A77B3E">
            <w:pPr>
              <w:rPr>
                <w:color w:val="000000"/>
                <w:lang w:val="it-IT"/>
              </w:rPr>
            </w:pPr>
          </w:p>
          <w:p w14:paraId="72E1D459" w14:textId="77777777" w:rsidR="00A77B3E" w:rsidRPr="00857B1D" w:rsidRDefault="00EE0419">
            <w:pPr>
              <w:rPr>
                <w:color w:val="000000"/>
                <w:lang w:val="it-IT"/>
              </w:rPr>
            </w:pPr>
            <w:r w:rsidRPr="00857B1D">
              <w:rPr>
                <w:color w:val="000000"/>
                <w:lang w:val="it-IT"/>
              </w:rPr>
              <w:t>Sl področje migracijske politike ureja s Strategijo ekonomskih migracij za obdobje od 2010 do 2020, ki je usmerjena na gospodarske razsežnosti potreb po priseljevanju zaradi demografije, gospodarskih učinkov, povpraševanja na slovenskem trgu dela in konteksta strategije EU o priseljevanju. Integracijska politika se nanaša na ukrepe države in družbe ter zagotavlja ugodne pogoje za kakovost življenja priseljenih, vključno z aktivnim preprečevanjem diskriminacije, ksenofobije in rasizma, spodbuja integracijo in omogoča, da priseljenci postanejo odgovorni udeleženci družbenega razvoja Sl. Vlada RS je v letu 2019, predvsem zaradi nezakonitih migracij »balkanske poti« ter zaveze iz koalicijske pogodbe, pripravila in sprejela Strategijo na področju migracij za obdobje od 2019 do 2022, ki poleg ekonomskih migracij in mednarodne zaščite, pokriva tudi področje integracije. Upoštevan bo Akcijski načrt EU za boj proti rasizmu 2020-2025. Večino migracij predstavljajo ekonomske migracije, poleg tega pa velja Sl za priseljensko državo, zaradi zaposlitev in združevanja družin, manj zaradi prosilcev za mednarodno zaščito.</w:t>
            </w:r>
          </w:p>
          <w:p w14:paraId="5C9C58BC" w14:textId="77777777" w:rsidR="00A77B3E" w:rsidRPr="00857B1D" w:rsidRDefault="00A77B3E">
            <w:pPr>
              <w:rPr>
                <w:color w:val="000000"/>
                <w:lang w:val="it-IT"/>
              </w:rPr>
            </w:pPr>
          </w:p>
          <w:p w14:paraId="75050E9E" w14:textId="77777777" w:rsidR="00A77B3E" w:rsidRPr="00857B1D" w:rsidRDefault="00EE0419">
            <w:pPr>
              <w:rPr>
                <w:color w:val="000000"/>
                <w:lang w:val="it-IT"/>
              </w:rPr>
            </w:pPr>
            <w:r w:rsidRPr="00857B1D">
              <w:rPr>
                <w:color w:val="000000"/>
                <w:lang w:val="it-IT"/>
              </w:rPr>
              <w:t>Področje ureja tudi Agenda za trajnostni razvoj 2030, Drugi prostovoljni nacionalni pregled implementacije ciljev trajnostnega razvoja (2020) ter področna zakonodaja (ZMZ in Zakon o tujcih).</w:t>
            </w:r>
          </w:p>
          <w:p w14:paraId="5E0EB9EF" w14:textId="77777777" w:rsidR="00A77B3E" w:rsidRPr="00857B1D" w:rsidRDefault="00A77B3E">
            <w:pPr>
              <w:rPr>
                <w:color w:val="000000"/>
                <w:lang w:val="it-IT"/>
              </w:rPr>
            </w:pPr>
          </w:p>
          <w:p w14:paraId="75FFED72" w14:textId="77777777" w:rsidR="00A77B3E" w:rsidRPr="00857B1D" w:rsidRDefault="00EE0419">
            <w:pPr>
              <w:rPr>
                <w:color w:val="000000"/>
                <w:lang w:val="it-IT"/>
              </w:rPr>
            </w:pPr>
            <w:r w:rsidRPr="00857B1D">
              <w:rPr>
                <w:color w:val="000000"/>
                <w:lang w:val="it-IT"/>
              </w:rPr>
              <w:t>Sl že od leta 2008 aktivno izvaja programe vključevanja za DTD (AMIF 07-13). Od leta 2012 dalje se izvajajo programi učenja slovenskega jezika in izobraževanja o slovenski zgodovini, kulturi in ustavnem redu. Vzpostavljena je bila spletna stran www.infotujci.si, ki zagotavlja informacije tujcem pred njihovim prihodom v Sl in informacije o vključevanju v slovensko družbo v kar šestih jezikih. V letu 2019 je zabeležila 115.257 obiskov.</w:t>
            </w:r>
          </w:p>
          <w:p w14:paraId="764536A1" w14:textId="77777777" w:rsidR="00A77B3E" w:rsidRPr="00857B1D" w:rsidRDefault="00A77B3E">
            <w:pPr>
              <w:rPr>
                <w:color w:val="000000"/>
                <w:lang w:val="it-IT"/>
              </w:rPr>
            </w:pPr>
          </w:p>
          <w:p w14:paraId="584DC762" w14:textId="77777777" w:rsidR="00A77B3E" w:rsidRPr="00857B1D" w:rsidRDefault="00EE0419">
            <w:pPr>
              <w:rPr>
                <w:color w:val="000000"/>
                <w:lang w:val="it-IT"/>
              </w:rPr>
            </w:pPr>
            <w:r w:rsidRPr="00857B1D">
              <w:rPr>
                <w:color w:val="000000"/>
                <w:lang w:val="it-IT"/>
              </w:rPr>
              <w:t xml:space="preserve">Po Sl so se izvajale operacije nevladnih organizacij - Organiziranje središč medkulturnega dialoga, s ciljem ustvarjati ozaveščeno in informirano okolje, ki bo sprejemalo in spodbujalo vključevanje DTD v slovensko družbo in lokalno okolje (vključevanje kot dvosmerni proces). Organizirali so se enomesečni tečaji spoznavanja slovenske družbe (področja izobraževanja, zaposlovanja, nastanitve, seznanjanje s slovensko kulturo, zgodovino in ustavnim redom). Urad Vlade RS za oskrbo in integracijo migrantov (UOIM) zagotavlja nastanitev v dveh integracijskih hišah v Ljubljani in Mariboru z nastanitveno kapaciteto za 60 oseb in devetih najetih stanovanjih z nastanitveno kapaciteto največ 33 oseb (skupna nastanitvena kapaciteta je za 93 oseb; 49 oseb se je na novo nastanilo v letu 2020), ki so namenjene za bivanje oseb z mednarodno zaščito v prvem letu po pridobitvi mednarodne zaščite (osebi se zagotovi </w:t>
            </w:r>
            <w:r w:rsidRPr="00857B1D">
              <w:rPr>
                <w:color w:val="000000"/>
                <w:lang w:val="it-IT"/>
              </w:rPr>
              <w:lastRenderedPageBreak/>
              <w:t>bivanje v prvi fazi integracije v slovensko družbo) ali denarno nadomestilo za zasebno nastanitev, če oseba ne biva v integracijski hiši. V letu 2020 je bilo izdanih 559 odločb o upravičenosti do tega nadomestila.</w:t>
            </w:r>
          </w:p>
          <w:p w14:paraId="3AE6CF0C" w14:textId="77777777" w:rsidR="00A77B3E" w:rsidRPr="00857B1D" w:rsidRDefault="00A77B3E">
            <w:pPr>
              <w:rPr>
                <w:color w:val="000000"/>
                <w:lang w:val="it-IT"/>
              </w:rPr>
            </w:pPr>
          </w:p>
          <w:p w14:paraId="43A1CE09" w14:textId="77777777" w:rsidR="00A77B3E" w:rsidRPr="00857B1D" w:rsidRDefault="00EE0419">
            <w:pPr>
              <w:rPr>
                <w:color w:val="000000"/>
                <w:lang w:val="it-IT"/>
              </w:rPr>
            </w:pPr>
            <w:r w:rsidRPr="00857B1D">
              <w:rPr>
                <w:color w:val="000000"/>
                <w:lang w:val="it-IT"/>
              </w:rPr>
              <w:t>Na področju zdravstvene oskrbe, socialnega varstva, izobraževanja in usposabljanja so upravičenci enakopravni s slovenskimi državljani, pravico do zaposlitve pa lahko uveljavljajo v skladu s predpisi o zaposlovanju in delu tujcev. Poleg tega je zagotovljena pomoč osebam v okviru mednarodne zaščite glede urejanja življenjskih situacij, psihosocialne pomoči, pomoči pri učenju ter pomoči za izboljšanje zaposlitvenih možnosti itd.</w:t>
            </w:r>
          </w:p>
          <w:p w14:paraId="3169FE78" w14:textId="77777777" w:rsidR="00A77B3E" w:rsidRPr="00857B1D" w:rsidRDefault="00A77B3E">
            <w:pPr>
              <w:rPr>
                <w:color w:val="000000"/>
                <w:lang w:val="it-IT"/>
              </w:rPr>
            </w:pPr>
          </w:p>
          <w:p w14:paraId="4A541B35" w14:textId="77777777" w:rsidR="00A77B3E" w:rsidRPr="00857B1D" w:rsidRDefault="00EE0419">
            <w:pPr>
              <w:rPr>
                <w:color w:val="000000"/>
                <w:lang w:val="it-IT"/>
              </w:rPr>
            </w:pPr>
            <w:r w:rsidRPr="00857B1D">
              <w:rPr>
                <w:color w:val="000000"/>
                <w:lang w:val="it-IT"/>
              </w:rPr>
              <w:t>V finančni shemi 2021-2027 bomo nadaljevali z zgoraj omenjenimi aktivnostmi kot dobro prakso. Ključni izzivi in potrebe na področju vključevanja/zakonitega priseljevanja so stalno delovanje informacijske točke (www.infotujci.si) za DTD, osnovna pomoč pri vključevanju DTD, posebni programi za osebe z mednarodno zaščito in zadostne zmožnosti za izvajanje ukrepov vključevanja. Pomen jezikovnih tečajev je ključen, zato bo za te usmerjen velik delež sredstev te finančne sheme. V operacije vključevanja bodo vključene tudi osebe s statusom začasne zaščite po Zakonu o začasni zaščiti razseljenih oseb. Poleg tega se bo izvajal še program spoznavanja slovenske družbe in kulture, vzpostavitev koordinativnih teles na lokalni ravni z namenom prepoznavanja težav pri integraciji, iskanja ustreznih rešitev in priprave dodatnih integracijskih dejavnosti, uvajanje inovativnih shem za vključevanje migrantov s poudarkom na pozitivnih praksah in lokalni ravni, usposabljanje zasebnih in javnih uslužbencev z namenom pridobivanja medkulturnih kompetenc, posebnih znanj in supervizije za strokovne delavce, usposabljanje v okviru tima predstavnikov kompetentnih služb in ustanov na lokalnem nivoju.</w:t>
            </w:r>
          </w:p>
          <w:p w14:paraId="17A4A363" w14:textId="77777777" w:rsidR="00A77B3E" w:rsidRPr="00857B1D" w:rsidRDefault="00A77B3E">
            <w:pPr>
              <w:rPr>
                <w:color w:val="000000"/>
                <w:lang w:val="it-IT"/>
              </w:rPr>
            </w:pPr>
          </w:p>
          <w:p w14:paraId="45D88C29" w14:textId="77777777" w:rsidR="00A77B3E" w:rsidRPr="00857B1D" w:rsidRDefault="00EE0419">
            <w:pPr>
              <w:rPr>
                <w:color w:val="000000"/>
                <w:lang w:val="it-IT"/>
              </w:rPr>
            </w:pPr>
            <w:r w:rsidRPr="00857B1D">
              <w:rPr>
                <w:b/>
                <w:bCs/>
                <w:color w:val="000000"/>
                <w:lang w:val="it-IT"/>
              </w:rPr>
              <w:t>SO3</w:t>
            </w:r>
            <w:r w:rsidRPr="00857B1D">
              <w:rPr>
                <w:color w:val="000000"/>
                <w:lang w:val="it-IT"/>
              </w:rPr>
              <w:t>: Sl ima področje vračanja urejeno z Zakonom o tujcih, ki je bil v letu 2021 spremenjen in posodobljen skladno z mednarodnimi direktivami. Poleg tega pa sledimo usmeritvam mednarodnih konvencij.</w:t>
            </w:r>
          </w:p>
          <w:p w14:paraId="1F85D737" w14:textId="77777777" w:rsidR="00A77B3E" w:rsidRPr="00857B1D" w:rsidRDefault="00A77B3E">
            <w:pPr>
              <w:rPr>
                <w:color w:val="000000"/>
                <w:lang w:val="it-IT"/>
              </w:rPr>
            </w:pPr>
          </w:p>
          <w:p w14:paraId="6C9E160B" w14:textId="77777777" w:rsidR="00A77B3E" w:rsidRPr="00857B1D" w:rsidRDefault="00EE0419">
            <w:pPr>
              <w:rPr>
                <w:color w:val="000000"/>
                <w:lang w:val="it-IT"/>
              </w:rPr>
            </w:pPr>
            <w:r w:rsidRPr="00857B1D">
              <w:rPr>
                <w:color w:val="000000"/>
                <w:lang w:val="it-IT"/>
              </w:rPr>
              <w:t>V Centru za tujce (CT) kot osrednjem objektu za nastanitev DTD z izdano odločbo o vračanju, je bilo leta 2019 nastanjenih 1.423 DTD, od katerih je bilo 832 tudi odstranjenih iz države. Največ odstranitev je temeljilo na dvostranskih dogovorih s tretjimi državami in državami članicami EU. Najpogostejši razlog za nastanitev v CT je tveganje pobega, kajti Sl je tranzitna in ne ciljna država za nezakonite migrante. Drugim tujcem, ki niso nastanjeni v CT, je izdana odločba o prostovoljni vrnitvi, kar je lahko zaradi zgoraj navedenega razloga pogosto neučinkovit ukrep. Zavzemamo se za nadaljnjo analizo možnosti za uporabo alternativ pridržanju, npr. razvoj sistema za redno poročanje pristojnim organom za tiste DTD, katerih identiteta je znana, in ki aktivno sodelujejo pri postopkih identifikacije. V povezavi s tem Sl vidi svojo politiko vračanja kot pošteno in učinkovito v odnosu do DTD in drugih držav članic (za preprečevanje pobega). Na strokovnih sestankih na EU ravni se v sodelovanju z nevladnimi in mednarodnimi organizacijami išče najboljše rešitve, je velika pozornost posvečena alternativam pridržanju. Sl večinoma ni ciljna država, zato za navedeno trenutno ni zanimanja. Kljub temu bo spremljala najboljše prakse na ravni držav članic EU na tem področju ter implementirala tiste, ki bodo zmanjševale neovirano in nezakonito prehajanje meja.</w:t>
            </w:r>
          </w:p>
          <w:p w14:paraId="07C0A5A0" w14:textId="77777777" w:rsidR="00A77B3E" w:rsidRPr="00857B1D" w:rsidRDefault="00A77B3E">
            <w:pPr>
              <w:rPr>
                <w:color w:val="000000"/>
                <w:lang w:val="it-IT"/>
              </w:rPr>
            </w:pPr>
          </w:p>
          <w:p w14:paraId="049EA7E5" w14:textId="77777777" w:rsidR="00A77B3E" w:rsidRPr="00857B1D" w:rsidRDefault="00EE0419">
            <w:pPr>
              <w:rPr>
                <w:color w:val="000000"/>
                <w:lang w:val="it-IT"/>
              </w:rPr>
            </w:pPr>
            <w:r w:rsidRPr="00857B1D">
              <w:rPr>
                <w:color w:val="000000"/>
                <w:lang w:val="it-IT"/>
              </w:rPr>
              <w:t>Nastanitev v CT traja največ dvanajst mesecev. Tujci lahko izberejo prostovoljno vračanje v sodelovanju z mednarodnimi organizacijami (Mednarodna organizacija za migracije – IOM) ali samostojno. Sl je razvila splošni program za prostovoljno vračanje in ponovno vključevanje s posebnim poudarkom na ranljivih skupinah DTD. V sistem prostovoljnega vračanja v okviru sklada bo vključeno tudi vračanje prosilcev za mednarodno zaščito, oseb s priznano mednarodno zaščito in vlagateljev namere za podajo prošnje za mednarodno zaščito ter tujcev z zahtevo za uvedbo ponovnega postopka. Leta 2019 je bilo zabeleženih samo 13 primerov aktivnega upiranja odstranitvi, pri katerih je bilo potrebno uporabiti ukrepe prisilnega vračanja ter v 5 primerih je za prostovoljno vrnitev poskrbela IOM. Pri prisilnem vračanju je skladno z zakonom zagotovljeno spremljanje s strani NVO. Zaradi spremenjenih internih pravil IOM se je sodelovanje zaključilo, Policija pa se je priključila k projektu ERRIN, kar je izven AMIF. Sl bo izvajala reintegracijske programe skladno z novo prakso.</w:t>
            </w:r>
          </w:p>
          <w:p w14:paraId="559BBB94" w14:textId="77777777" w:rsidR="00A77B3E" w:rsidRPr="00857B1D" w:rsidRDefault="00A77B3E">
            <w:pPr>
              <w:rPr>
                <w:color w:val="000000"/>
                <w:lang w:val="it-IT"/>
              </w:rPr>
            </w:pPr>
          </w:p>
          <w:p w14:paraId="5278103B" w14:textId="77777777" w:rsidR="00A77B3E" w:rsidRPr="00857B1D" w:rsidRDefault="00EE0419">
            <w:pPr>
              <w:rPr>
                <w:color w:val="000000"/>
                <w:lang w:val="it-IT"/>
              </w:rPr>
            </w:pPr>
            <w:r w:rsidRPr="00857B1D">
              <w:rPr>
                <w:color w:val="000000"/>
                <w:lang w:val="it-IT"/>
              </w:rPr>
              <w:lastRenderedPageBreak/>
              <w:t>Sl bo nadaljevala s posodobitvami objektov za pridržanje tujcev, kjer bodo upoštevana veljavna priporočila posameznih institucij, kot so CPT, FRA, ombudsman in seveda dobre prakse drugih držav članic. Sl je že na srečanjih ekspertov in tudi nadzornih inštitucij večkrat izpostavila pomanjkanje formalnih standardov na EU ravni, ki bi veljali za objekte namenjene pridržanju kategorij tujcev, skladno z direktivo 2008/115/EC.</w:t>
            </w:r>
          </w:p>
          <w:p w14:paraId="63137DC0" w14:textId="77777777" w:rsidR="00A77B3E" w:rsidRPr="00857B1D" w:rsidRDefault="00A77B3E">
            <w:pPr>
              <w:rPr>
                <w:color w:val="000000"/>
                <w:lang w:val="it-IT"/>
              </w:rPr>
            </w:pPr>
          </w:p>
          <w:p w14:paraId="7DCC122D" w14:textId="77777777" w:rsidR="00A77B3E" w:rsidRPr="00857B1D" w:rsidRDefault="00EE0419">
            <w:pPr>
              <w:rPr>
                <w:color w:val="000000"/>
                <w:lang w:val="it-IT"/>
              </w:rPr>
            </w:pPr>
            <w:r w:rsidRPr="00857B1D">
              <w:rPr>
                <w:color w:val="000000"/>
                <w:lang w:val="it-IT"/>
              </w:rPr>
              <w:t>Na mednarodnem področju se soočamo z zahtevnimi izzivi z nekaterimi tretjimi državami pri identifikaciji in ponovnem sprejemu lastnih državljanov. V novem programskem obdobju bomo na nacionalni ravni okrepili sodelovanje s posameznimi tretjimi državami, hkrati pa bomo sodelovali tudi z EU institucijami, njihovimi politikami in projekti na področju krepitve sodelovanja.</w:t>
            </w:r>
          </w:p>
          <w:p w14:paraId="18E249FA" w14:textId="77777777" w:rsidR="00A77B3E" w:rsidRPr="00857B1D" w:rsidRDefault="00A77B3E">
            <w:pPr>
              <w:rPr>
                <w:color w:val="000000"/>
                <w:lang w:val="it-IT"/>
              </w:rPr>
            </w:pPr>
          </w:p>
          <w:p w14:paraId="3C3CB896" w14:textId="77777777" w:rsidR="00A77B3E" w:rsidRPr="00857B1D" w:rsidRDefault="00EE0419">
            <w:pPr>
              <w:rPr>
                <w:color w:val="000000"/>
                <w:lang w:val="it-IT"/>
              </w:rPr>
            </w:pPr>
            <w:r w:rsidRPr="00857B1D">
              <w:rPr>
                <w:color w:val="000000"/>
                <w:lang w:val="it-IT"/>
              </w:rPr>
              <w:t>V okviru finančne sheme 2021-2027 se bo torej nadaljevalo z vsemi aktivnostmi iz prejšnje finančne sheme, pričakujemo spremembe na področju EU pravnega reda, ki bo postavil nove smernice pri postopkih vračanja in pridržanja in na novo definiral delovanje in vloge EU agencij (npr. Frontex). Prav tako bomo nadaljevali z vzpostavljeno prakso zagotavljanja informiranja in pravnega varstva tujcem v postopkih vračanja.</w:t>
            </w:r>
          </w:p>
          <w:p w14:paraId="00823840" w14:textId="77777777" w:rsidR="00A77B3E" w:rsidRPr="00857B1D" w:rsidRDefault="00A77B3E">
            <w:pPr>
              <w:rPr>
                <w:color w:val="000000"/>
                <w:lang w:val="it-IT"/>
              </w:rPr>
            </w:pPr>
          </w:p>
          <w:p w14:paraId="1EB495FE" w14:textId="77777777" w:rsidR="00A77B3E" w:rsidRPr="00857B1D" w:rsidRDefault="00EE0419">
            <w:pPr>
              <w:rPr>
                <w:color w:val="000000"/>
                <w:lang w:val="it-IT"/>
              </w:rPr>
            </w:pPr>
            <w:r w:rsidRPr="00857B1D">
              <w:rPr>
                <w:color w:val="000000"/>
                <w:lang w:val="it-IT"/>
              </w:rPr>
              <w:t>Sl se bo skladno z usmeritvami EK usmerila v razvoj in implementacijo RECAMAS (Return Case Management System), po modelu in priporočilih agencije FRONTEX, skladno z Uredbo (EU) 1019/1896. RECAMAS za Slovensko policijo predstavlja strokovno in finančno priložnost za debirokratizacijo dela, posodobitev in avtomatizacijo IT infrastrukture. Program je osredotočen na celotno verigo vračanja tujcev in pokriva vsa potrebna administrativna digitalna orodja in digitalna procesna dejanja, da tujec, ki se nahaja nezakonito na območju Sl, zapusti to območje in se vrne domov bodisi prostovoljno, bodisi prisilno. Hkrati model podpira morebitno reintegracijo tujcev v izvorni državi.</w:t>
            </w:r>
          </w:p>
          <w:p w14:paraId="10EAE13B" w14:textId="77777777" w:rsidR="00A77B3E" w:rsidRPr="00857B1D" w:rsidRDefault="00A77B3E">
            <w:pPr>
              <w:rPr>
                <w:color w:val="000000"/>
                <w:lang w:val="it-IT"/>
              </w:rPr>
            </w:pPr>
          </w:p>
          <w:p w14:paraId="1DCF5D01" w14:textId="77777777" w:rsidR="00A77B3E" w:rsidRPr="00857B1D" w:rsidRDefault="00EE0419">
            <w:pPr>
              <w:rPr>
                <w:color w:val="000000"/>
                <w:lang w:val="it-IT"/>
              </w:rPr>
            </w:pPr>
            <w:r w:rsidRPr="00857B1D">
              <w:rPr>
                <w:b/>
                <w:bCs/>
                <w:color w:val="000000"/>
                <w:lang w:val="it-IT"/>
              </w:rPr>
              <w:t>SO4</w:t>
            </w:r>
            <w:r w:rsidRPr="00857B1D">
              <w:rPr>
                <w:color w:val="000000"/>
                <w:lang w:val="it-IT"/>
              </w:rPr>
              <w:t>: Za potrebe preselitve je SI ustvarila zakonodajni okvir, namestitvene in druge kapacitete. Odločitev o sodelovanju v takih operacijah je vladna. Vlada RS na predlog pristojnega ministrstva določi kvoto oseb, ki se jim lahko prizna status begunca ter se določijo naloge posameznih ministrstev, vladnih služb in drugih državnih organov pri nastanitvi in vključevanju oseb. Sl bo udeležena glede na izvedbena ukrepa a) in b) iz 4. točke Priloge II.</w:t>
            </w:r>
          </w:p>
          <w:p w14:paraId="372FB2E9" w14:textId="77777777" w:rsidR="00A77B3E" w:rsidRPr="00857B1D" w:rsidRDefault="00A77B3E">
            <w:pPr>
              <w:rPr>
                <w:color w:val="000000"/>
                <w:lang w:val="it-IT"/>
              </w:rPr>
            </w:pPr>
          </w:p>
          <w:p w14:paraId="3BEF780A" w14:textId="77777777" w:rsidR="00A77B3E" w:rsidRPr="00857B1D" w:rsidRDefault="00EE0419">
            <w:pPr>
              <w:rPr>
                <w:color w:val="000000"/>
                <w:lang w:val="it-IT"/>
              </w:rPr>
            </w:pPr>
            <w:r w:rsidRPr="00857B1D">
              <w:rPr>
                <w:b/>
                <w:bCs/>
                <w:color w:val="000000"/>
                <w:lang w:val="it-IT"/>
              </w:rPr>
              <w:t>Sistem upravljanja in nadzora</w:t>
            </w:r>
            <w:r w:rsidRPr="00857B1D">
              <w:rPr>
                <w:color w:val="000000"/>
                <w:lang w:val="it-IT"/>
              </w:rPr>
              <w:t>: SI bo ohranila sistem iz pretekle finančne sheme. OU ostaja Ministrstvo za notranje zadeve, Služba za evropska sredstva, Projektna enota za sklade notranje varnosti in migracij, kot tudi revizijski organ (RO) Ministrstvo za finance, Urad za nadzor proračuna ter dve posredniški telesi za prenesene naloge OU. Ministrstvo za finance, Sektor za upravljanje s sredstvi EU/CA za izvajanje finančnih transakcij med EU in državnim proračunom ter, za izvedbo javnih razpisov pa posredniško telo za operacije, ki se izvajajo na podlagi javnih razpisov. Operacije, ki se financirajo iz skladov, izvajajo upravičenci, ki so osebe javnega prava (prejmejo sredstva skladov na podlagi neposredne dodelitve, zaradi posebne narave projekta oz. tehnične ali administrativne pristojnosti) ali organizacije, ki prejmejo sredstva na podlagi javnega razpisa.</w:t>
            </w:r>
          </w:p>
          <w:p w14:paraId="6CDCDC44" w14:textId="77777777" w:rsidR="00A77B3E" w:rsidRPr="00857B1D" w:rsidRDefault="00A77B3E">
            <w:pPr>
              <w:rPr>
                <w:color w:val="000000"/>
                <w:lang w:val="it-IT"/>
              </w:rPr>
            </w:pPr>
          </w:p>
          <w:p w14:paraId="6FFB053A" w14:textId="77777777" w:rsidR="00A77B3E" w:rsidRPr="00857B1D" w:rsidRDefault="00EE0419">
            <w:pPr>
              <w:rPr>
                <w:color w:val="000000"/>
                <w:lang w:val="it-IT"/>
              </w:rPr>
            </w:pPr>
            <w:r w:rsidRPr="00857B1D">
              <w:rPr>
                <w:color w:val="000000"/>
                <w:lang w:val="it-IT"/>
              </w:rPr>
              <w:t>SI bo prejela bistveno več sredstev kot v prejšnji shemi, zato bodo organi morali vlagati v krepitev kadrovskih zmogljivosti (OU iz 5 na 10, RO iz 2 na 3), poenostavitev stroškov in kontrol (kontrole na vzorcih).</w:t>
            </w:r>
          </w:p>
          <w:p w14:paraId="0C046AE6" w14:textId="77777777" w:rsidR="00A77B3E" w:rsidRPr="00857B1D" w:rsidRDefault="00A77B3E">
            <w:pPr>
              <w:rPr>
                <w:color w:val="000000"/>
                <w:lang w:val="it-IT"/>
              </w:rPr>
            </w:pPr>
          </w:p>
          <w:p w14:paraId="2085B187" w14:textId="77777777" w:rsidR="00A77B3E" w:rsidRPr="00857B1D" w:rsidRDefault="00EE0419">
            <w:pPr>
              <w:rPr>
                <w:color w:val="000000"/>
                <w:lang w:val="it-IT"/>
              </w:rPr>
            </w:pPr>
            <w:r w:rsidRPr="00857B1D">
              <w:rPr>
                <w:color w:val="000000"/>
                <w:lang w:val="it-IT"/>
              </w:rPr>
              <w:t>SI se je skladno z izkušnjami iz finančne sheme 2014-2020 in priporočili EK pri javnih razpisih odločila za uporabo poenostavitve izračuna neposrednih stroškov dela, v skladu s 55. členom CPR. Vezano na poenostavljene stroške na enoto, bomo uporabili stroške na enoto, ki jih bo za DG HOME izračunal Public Policy and Management Institute. Sl zaenkrat ne predvideva uporabe finančnih instrumentov ali mešanega financiranja.</w:t>
            </w:r>
          </w:p>
          <w:p w14:paraId="43F855D2" w14:textId="77777777" w:rsidR="00A77B3E" w:rsidRPr="00857B1D" w:rsidRDefault="00A77B3E">
            <w:pPr>
              <w:rPr>
                <w:color w:val="000000"/>
                <w:lang w:val="it-IT"/>
              </w:rPr>
            </w:pPr>
          </w:p>
          <w:p w14:paraId="29012199" w14:textId="77777777" w:rsidR="00A77B3E" w:rsidRPr="00857B1D" w:rsidRDefault="00EE0419">
            <w:pPr>
              <w:rPr>
                <w:color w:val="000000"/>
                <w:lang w:val="it-IT"/>
              </w:rPr>
            </w:pPr>
            <w:r w:rsidRPr="00857B1D">
              <w:rPr>
                <w:color w:val="000000"/>
                <w:lang w:val="it-IT"/>
              </w:rPr>
              <w:t>Vrste intervencij z vrednostjo 0 EUR v tabeli 3, so v Program vključene v primeru morebitnih prihodnjih potreb, povezanih z izvajanjem tematskega instrumenta, v skladu s členom 22(4)(d) CPR.</w:t>
            </w:r>
          </w:p>
          <w:p w14:paraId="2B72A8ED" w14:textId="77777777" w:rsidR="00A77B3E" w:rsidRPr="00857B1D" w:rsidRDefault="00A77B3E">
            <w:pPr>
              <w:rPr>
                <w:color w:val="000000"/>
                <w:lang w:val="it-IT"/>
              </w:rPr>
            </w:pPr>
          </w:p>
        </w:tc>
      </w:tr>
    </w:tbl>
    <w:p w14:paraId="3F96B3CC" w14:textId="77777777" w:rsidR="00A77B3E" w:rsidRPr="00857B1D" w:rsidRDefault="00A77B3E">
      <w:pPr>
        <w:rPr>
          <w:color w:val="000000"/>
          <w:lang w:val="it-IT"/>
        </w:rPr>
        <w:sectPr w:rsidR="00A77B3E" w:rsidRPr="00857B1D">
          <w:headerReference w:type="even" r:id="rId7"/>
          <w:headerReference w:type="default" r:id="rId8"/>
          <w:footerReference w:type="even" r:id="rId9"/>
          <w:footerReference w:type="default" r:id="rId10"/>
          <w:headerReference w:type="first" r:id="rId11"/>
          <w:footerReference w:type="first" r:id="rId12"/>
          <w:pgSz w:w="11906" w:h="16838"/>
          <w:pgMar w:top="720" w:right="936" w:bottom="864" w:left="720" w:header="0" w:footer="72" w:gutter="0"/>
          <w:cols w:space="720"/>
          <w:noEndnote/>
          <w:docGrid w:linePitch="360"/>
        </w:sectPr>
      </w:pPr>
    </w:p>
    <w:p w14:paraId="137C774C" w14:textId="77777777" w:rsidR="00A77B3E" w:rsidRPr="00857B1D" w:rsidRDefault="00EE0419">
      <w:pPr>
        <w:pStyle w:val="Naslov1"/>
        <w:spacing w:before="100" w:after="0"/>
        <w:rPr>
          <w:rFonts w:ascii="Times New Roman" w:hAnsi="Times New Roman" w:cs="Times New Roman"/>
          <w:b w:val="0"/>
          <w:color w:val="000000"/>
          <w:sz w:val="24"/>
          <w:lang w:val="it-IT"/>
        </w:rPr>
      </w:pPr>
      <w:bookmarkStart w:id="1" w:name="_Toc256000066"/>
      <w:r w:rsidRPr="00857B1D">
        <w:rPr>
          <w:rFonts w:ascii="Times New Roman" w:hAnsi="Times New Roman" w:cs="Times New Roman"/>
          <w:b w:val="0"/>
          <w:color w:val="000000"/>
          <w:sz w:val="24"/>
          <w:lang w:val="it-IT"/>
        </w:rPr>
        <w:lastRenderedPageBreak/>
        <w:t>2. Specifični cilji in tehnična pomoč</w:t>
      </w:r>
      <w:bookmarkEnd w:id="1"/>
    </w:p>
    <w:p w14:paraId="28F95E73" w14:textId="77777777" w:rsidR="00A77B3E" w:rsidRPr="00857B1D" w:rsidRDefault="00A77B3E">
      <w:pPr>
        <w:spacing w:before="100"/>
        <w:rPr>
          <w:color w:val="000000"/>
          <w:sz w:val="0"/>
          <w:lang w:val="it-IT"/>
        </w:rPr>
      </w:pPr>
    </w:p>
    <w:p w14:paraId="01A93254" w14:textId="77777777" w:rsidR="00A77B3E" w:rsidRPr="00857B1D" w:rsidRDefault="00EE0419">
      <w:pPr>
        <w:spacing w:before="100"/>
        <w:rPr>
          <w:color w:val="000000"/>
          <w:sz w:val="12"/>
          <w:lang w:val="it-IT"/>
        </w:rPr>
      </w:pPr>
      <w:r w:rsidRPr="00857B1D">
        <w:rPr>
          <w:color w:val="000000"/>
          <w:lang w:val="it-IT"/>
        </w:rPr>
        <w:t>Sklic: člen 22(2) in (4) uredbe o skupnih določbah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5120"/>
        <w:gridCol w:w="2560"/>
      </w:tblGrid>
      <w:tr w:rsidR="00EC4D24" w14:paraId="710A0725" w14:textId="77777777">
        <w:trPr>
          <w:trHeight w:val="160"/>
          <w:tblHeader/>
        </w:trPr>
        <w:tc>
          <w:tcPr>
            <w:tcW w:w="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FC7E1B" w14:textId="77777777" w:rsidR="00A77B3E" w:rsidRDefault="00EE0419">
            <w:pPr>
              <w:spacing w:before="100"/>
              <w:jc w:val="center"/>
              <w:rPr>
                <w:color w:val="000000"/>
              </w:rPr>
            </w:pPr>
            <w:r w:rsidRPr="00857B1D">
              <w:rPr>
                <w:color w:val="000000"/>
                <w:lang w:val="it-IT"/>
              </w:rPr>
              <w:t xml:space="preserve"> </w:t>
            </w:r>
            <w:r>
              <w:rPr>
                <w:color w:val="000000"/>
              </w:rPr>
              <w:t>Izbrano</w:t>
            </w:r>
          </w:p>
        </w:tc>
        <w:tc>
          <w:tcPr>
            <w:tcW w:w="4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7EB77D" w14:textId="77777777" w:rsidR="00A77B3E" w:rsidRPr="00857B1D" w:rsidRDefault="00EE0419">
            <w:pPr>
              <w:spacing w:before="100"/>
              <w:jc w:val="center"/>
              <w:rPr>
                <w:color w:val="000000"/>
                <w:lang w:val="it-IT"/>
              </w:rPr>
            </w:pPr>
            <w:r w:rsidRPr="00857B1D">
              <w:rPr>
                <w:color w:val="000000"/>
                <w:lang w:val="it-IT"/>
              </w:rPr>
              <w:t>Specifični cilj ali tehnična pomoč</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520803" w14:textId="77777777" w:rsidR="00A77B3E" w:rsidRDefault="00EE0419">
            <w:pPr>
              <w:spacing w:before="100"/>
              <w:jc w:val="center"/>
              <w:rPr>
                <w:color w:val="000000"/>
              </w:rPr>
            </w:pPr>
            <w:r>
              <w:rPr>
                <w:color w:val="000000"/>
              </w:rPr>
              <w:t>Vrsta ukrepa</w:t>
            </w:r>
          </w:p>
        </w:tc>
      </w:tr>
      <w:tr w:rsidR="00EC4D24" w14:paraId="0619AA71"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C10F27" w14:textId="77777777" w:rsidR="00A77B3E" w:rsidRDefault="00EE0419">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857B1D">
              <w:rPr>
                <w:color w:val="000000"/>
              </w:rPr>
            </w:r>
            <w:r w:rsidR="00857B1D">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6F16A0" w14:textId="77777777" w:rsidR="00A77B3E" w:rsidRDefault="00EE0419">
            <w:pPr>
              <w:spacing w:before="100"/>
              <w:rPr>
                <w:color w:val="000000"/>
              </w:rPr>
            </w:pPr>
            <w:r>
              <w:rPr>
                <w:color w:val="000000"/>
              </w:rPr>
              <w:t>1. Skupni evropski azilni sistem</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C3A83A" w14:textId="77777777" w:rsidR="00A77B3E" w:rsidRDefault="00EE0419">
            <w:pPr>
              <w:spacing w:before="100"/>
              <w:rPr>
                <w:color w:val="000000"/>
              </w:rPr>
            </w:pPr>
            <w:r>
              <w:rPr>
                <w:color w:val="000000"/>
              </w:rPr>
              <w:t>Redni ukrepi</w:t>
            </w:r>
          </w:p>
        </w:tc>
      </w:tr>
      <w:tr w:rsidR="00EC4D24" w14:paraId="33857810"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AC5DC9" w14:textId="77777777" w:rsidR="00A77B3E" w:rsidRDefault="00EE0419">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857B1D">
              <w:rPr>
                <w:color w:val="000000"/>
              </w:rPr>
            </w:r>
            <w:r w:rsidR="00857B1D">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96AC5A" w14:textId="77777777" w:rsidR="00A77B3E" w:rsidRDefault="00EE0419">
            <w:pPr>
              <w:spacing w:before="100"/>
              <w:rPr>
                <w:color w:val="000000"/>
              </w:rPr>
            </w:pPr>
            <w:r>
              <w:rPr>
                <w:color w:val="000000"/>
              </w:rPr>
              <w:t>1. Skupni evropski azilni sistem</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5EEBB5" w14:textId="77777777" w:rsidR="00A77B3E" w:rsidRDefault="00EE0419">
            <w:pPr>
              <w:spacing w:before="100"/>
              <w:rPr>
                <w:color w:val="000000"/>
              </w:rPr>
            </w:pPr>
            <w:r>
              <w:rPr>
                <w:color w:val="000000"/>
              </w:rPr>
              <w:t>Posebni ukrepi</w:t>
            </w:r>
          </w:p>
        </w:tc>
      </w:tr>
      <w:tr w:rsidR="00EC4D24" w14:paraId="590471F9"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5BDAA7" w14:textId="77777777" w:rsidR="00A77B3E" w:rsidRDefault="00EE0419">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857B1D">
              <w:rPr>
                <w:color w:val="000000"/>
              </w:rPr>
            </w:r>
            <w:r w:rsidR="00857B1D">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DFEE2B" w14:textId="77777777" w:rsidR="00A77B3E" w:rsidRDefault="00EE0419">
            <w:pPr>
              <w:spacing w:before="100"/>
              <w:rPr>
                <w:color w:val="000000"/>
              </w:rPr>
            </w:pPr>
            <w:r>
              <w:rPr>
                <w:color w:val="000000"/>
              </w:rPr>
              <w:t>1. Skupni evropski azilni sistem</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C0B5A0" w14:textId="77777777" w:rsidR="00A77B3E" w:rsidRDefault="00EE0419">
            <w:pPr>
              <w:spacing w:before="100"/>
              <w:rPr>
                <w:color w:val="000000"/>
              </w:rPr>
            </w:pPr>
            <w:r>
              <w:rPr>
                <w:color w:val="000000"/>
              </w:rPr>
              <w:t>Ukrepi iz Priloge IV</w:t>
            </w:r>
          </w:p>
        </w:tc>
      </w:tr>
      <w:tr w:rsidR="00EC4D24" w14:paraId="0E696877"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9535CD" w14:textId="77777777" w:rsidR="00A77B3E" w:rsidRDefault="00EE0419">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857B1D">
              <w:rPr>
                <w:color w:val="000000"/>
              </w:rPr>
            </w:r>
            <w:r w:rsidR="00857B1D">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3DC9DE" w14:textId="77777777" w:rsidR="00A77B3E" w:rsidRDefault="00EE0419">
            <w:pPr>
              <w:spacing w:before="100"/>
              <w:rPr>
                <w:color w:val="000000"/>
              </w:rPr>
            </w:pPr>
            <w:r>
              <w:rPr>
                <w:color w:val="000000"/>
              </w:rPr>
              <w:t>1. Skupni evropski azilni sistem</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764609" w14:textId="77777777" w:rsidR="00A77B3E" w:rsidRDefault="00EE0419">
            <w:pPr>
              <w:spacing w:before="100"/>
              <w:rPr>
                <w:color w:val="000000"/>
              </w:rPr>
            </w:pPr>
            <w:r>
              <w:rPr>
                <w:color w:val="000000"/>
              </w:rPr>
              <w:t>Operativna podpora</w:t>
            </w:r>
          </w:p>
        </w:tc>
      </w:tr>
      <w:tr w:rsidR="00EC4D24" w14:paraId="61581407"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D9629D" w14:textId="77777777" w:rsidR="00A77B3E" w:rsidRDefault="00EE0419">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857B1D">
              <w:rPr>
                <w:color w:val="000000"/>
              </w:rPr>
            </w:r>
            <w:r w:rsidR="00857B1D">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A91985" w14:textId="77777777" w:rsidR="00A77B3E" w:rsidRDefault="00EE0419">
            <w:pPr>
              <w:spacing w:before="100"/>
              <w:rPr>
                <w:color w:val="000000"/>
              </w:rPr>
            </w:pPr>
            <w:r>
              <w:rPr>
                <w:color w:val="000000"/>
              </w:rPr>
              <w:t>1. Skupni evropski azilni sistem</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44E028" w14:textId="77777777" w:rsidR="00A77B3E" w:rsidRDefault="00EE0419">
            <w:pPr>
              <w:spacing w:before="100"/>
              <w:rPr>
                <w:color w:val="000000"/>
              </w:rPr>
            </w:pPr>
            <w:r>
              <w:rPr>
                <w:color w:val="000000"/>
              </w:rPr>
              <w:t>Nujna pomoč</w:t>
            </w:r>
          </w:p>
        </w:tc>
      </w:tr>
      <w:tr w:rsidR="00EC4D24" w14:paraId="2CB0874C"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0544E9" w14:textId="77777777" w:rsidR="00A77B3E" w:rsidRDefault="00EE0419">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857B1D">
              <w:rPr>
                <w:color w:val="000000"/>
              </w:rPr>
            </w:r>
            <w:r w:rsidR="00857B1D">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31557D" w14:textId="77777777" w:rsidR="00A77B3E" w:rsidRDefault="00EE0419">
            <w:pPr>
              <w:spacing w:before="100"/>
              <w:rPr>
                <w:color w:val="000000"/>
              </w:rPr>
            </w:pPr>
            <w:r>
              <w:rPr>
                <w:color w:val="000000"/>
              </w:rPr>
              <w:t xml:space="preserve">2. </w:t>
            </w:r>
            <w:r w:rsidRPr="00857B1D">
              <w:t>Zakonite migracije in vključevanje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A99B1D" w14:textId="77777777" w:rsidR="00A77B3E" w:rsidRDefault="00EE0419">
            <w:pPr>
              <w:spacing w:before="100"/>
              <w:rPr>
                <w:color w:val="000000"/>
              </w:rPr>
            </w:pPr>
            <w:r>
              <w:rPr>
                <w:color w:val="000000"/>
              </w:rPr>
              <w:t>Redni ukrepi</w:t>
            </w:r>
          </w:p>
        </w:tc>
      </w:tr>
      <w:tr w:rsidR="00EC4D24" w14:paraId="081E043A"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432755" w14:textId="77777777" w:rsidR="00A77B3E" w:rsidRDefault="00EE0419">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857B1D">
              <w:rPr>
                <w:color w:val="000000"/>
              </w:rPr>
            </w:r>
            <w:r w:rsidR="00857B1D">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48AE9D" w14:textId="77777777" w:rsidR="00A77B3E" w:rsidRPr="00857B1D" w:rsidRDefault="00EE0419">
            <w:pPr>
              <w:spacing w:before="100"/>
            </w:pPr>
            <w:r w:rsidRPr="00857B1D">
              <w:t>2. Zakonite migracije in vključevanje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5F827E" w14:textId="77777777" w:rsidR="00A77B3E" w:rsidRDefault="00EE0419">
            <w:pPr>
              <w:spacing w:before="100"/>
              <w:rPr>
                <w:color w:val="000000"/>
              </w:rPr>
            </w:pPr>
            <w:r>
              <w:rPr>
                <w:color w:val="000000"/>
              </w:rPr>
              <w:t>Posebni ukrepi</w:t>
            </w:r>
          </w:p>
        </w:tc>
      </w:tr>
      <w:tr w:rsidR="00EC4D24" w14:paraId="154022D5"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94E07E" w14:textId="6791B0C8" w:rsidR="00A77B3E" w:rsidRPr="00D32068" w:rsidRDefault="00D32068">
            <w:pPr>
              <w:spacing w:before="100"/>
              <w:jc w:val="center"/>
              <w:rPr>
                <w:color w:val="FF0000"/>
              </w:rPr>
            </w:pPr>
            <w:r w:rsidRPr="00857B1D">
              <w:fldChar w:fldCharType="begin">
                <w:ffData>
                  <w:name w:val=""/>
                  <w:enabled/>
                  <w:calcOnExit w:val="0"/>
                  <w:checkBox>
                    <w:size w:val="20"/>
                    <w:default w:val="0"/>
                    <w:checked w:val="0"/>
                  </w:checkBox>
                </w:ffData>
              </w:fldChar>
            </w:r>
            <w:r w:rsidRPr="00857B1D">
              <w:instrText xml:space="preserve"> FORMCHECKBOX </w:instrText>
            </w:r>
            <w:r w:rsidR="00857B1D" w:rsidRPr="00857B1D">
              <w:fldChar w:fldCharType="separate"/>
            </w:r>
            <w:r w:rsidRPr="00857B1D">
              <w:fldChar w:fldCharType="end"/>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74F6D3" w14:textId="77777777" w:rsidR="00A77B3E" w:rsidRPr="00857B1D" w:rsidRDefault="00EE0419">
            <w:pPr>
              <w:spacing w:before="100"/>
            </w:pPr>
            <w:r w:rsidRPr="00857B1D">
              <w:t>2. Zakonite migracije in vključevanje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2DC736" w14:textId="77777777" w:rsidR="00A77B3E" w:rsidRPr="00D32068" w:rsidRDefault="00EE0419">
            <w:pPr>
              <w:spacing w:before="100"/>
              <w:rPr>
                <w:color w:val="FF0000"/>
              </w:rPr>
            </w:pPr>
            <w:r w:rsidRPr="00857B1D">
              <w:t>Ukrepi iz Priloge IV</w:t>
            </w:r>
          </w:p>
        </w:tc>
      </w:tr>
      <w:tr w:rsidR="00EC4D24" w14:paraId="38590506"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851267" w14:textId="77777777" w:rsidR="00A77B3E" w:rsidRDefault="00EE0419">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857B1D">
              <w:rPr>
                <w:color w:val="000000"/>
              </w:rPr>
            </w:r>
            <w:r w:rsidR="00857B1D">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1FEF22" w14:textId="77777777" w:rsidR="00A77B3E" w:rsidRPr="00857B1D" w:rsidRDefault="00EE0419">
            <w:pPr>
              <w:spacing w:before="100"/>
            </w:pPr>
            <w:r w:rsidRPr="00857B1D">
              <w:t>2. Zakonite migracije in vključevanje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25AC8A" w14:textId="77777777" w:rsidR="00A77B3E" w:rsidRDefault="00EE0419">
            <w:pPr>
              <w:spacing w:before="100"/>
              <w:rPr>
                <w:color w:val="000000"/>
              </w:rPr>
            </w:pPr>
            <w:r>
              <w:rPr>
                <w:color w:val="000000"/>
              </w:rPr>
              <w:t>Operativna podpora</w:t>
            </w:r>
          </w:p>
        </w:tc>
      </w:tr>
      <w:tr w:rsidR="00EC4D24" w14:paraId="22058327"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227751" w14:textId="77777777" w:rsidR="00A77B3E" w:rsidRDefault="00EE0419">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857B1D">
              <w:rPr>
                <w:color w:val="000000"/>
              </w:rPr>
            </w:r>
            <w:r w:rsidR="00857B1D">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484AD9" w14:textId="77777777" w:rsidR="00A77B3E" w:rsidRPr="00857B1D" w:rsidRDefault="00EE0419">
            <w:pPr>
              <w:spacing w:before="100"/>
            </w:pPr>
            <w:r w:rsidRPr="00857B1D">
              <w:t>2. Zakonite migracije in vključevanje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6C3A4E" w14:textId="77777777" w:rsidR="00A77B3E" w:rsidRDefault="00EE0419">
            <w:pPr>
              <w:spacing w:before="100"/>
              <w:rPr>
                <w:color w:val="000000"/>
              </w:rPr>
            </w:pPr>
            <w:r>
              <w:rPr>
                <w:color w:val="000000"/>
              </w:rPr>
              <w:t>Nujna pomoč</w:t>
            </w:r>
          </w:p>
        </w:tc>
      </w:tr>
      <w:tr w:rsidR="00EC4D24" w14:paraId="5705ED31"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852737" w14:textId="77777777" w:rsidR="00A77B3E" w:rsidRDefault="00EE0419">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857B1D">
              <w:rPr>
                <w:color w:val="000000"/>
              </w:rPr>
            </w:r>
            <w:r w:rsidR="00857B1D">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3E3DBA" w14:textId="77777777" w:rsidR="00A77B3E" w:rsidRPr="00857B1D" w:rsidRDefault="00EE0419">
            <w:pPr>
              <w:spacing w:before="100"/>
            </w:pPr>
            <w:r w:rsidRPr="00857B1D">
              <w:t>3. Vrnitev</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D2CCC1" w14:textId="77777777" w:rsidR="00A77B3E" w:rsidRDefault="00EE0419">
            <w:pPr>
              <w:spacing w:before="100"/>
              <w:rPr>
                <w:color w:val="000000"/>
              </w:rPr>
            </w:pPr>
            <w:r>
              <w:rPr>
                <w:color w:val="000000"/>
              </w:rPr>
              <w:t>Redni ukrepi</w:t>
            </w:r>
          </w:p>
        </w:tc>
      </w:tr>
      <w:tr w:rsidR="00EC4D24" w14:paraId="04C92467"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694BEB" w14:textId="77777777" w:rsidR="00A77B3E" w:rsidRDefault="00EE0419">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857B1D">
              <w:rPr>
                <w:color w:val="000000"/>
              </w:rPr>
            </w:r>
            <w:r w:rsidR="00857B1D">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92250C" w14:textId="77777777" w:rsidR="00A77B3E" w:rsidRPr="00857B1D" w:rsidRDefault="00EE0419">
            <w:pPr>
              <w:spacing w:before="100"/>
            </w:pPr>
            <w:r w:rsidRPr="00857B1D">
              <w:t>3. Vrnitev</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A443C8" w14:textId="77777777" w:rsidR="00A77B3E" w:rsidRDefault="00EE0419">
            <w:pPr>
              <w:spacing w:before="100"/>
              <w:rPr>
                <w:color w:val="000000"/>
              </w:rPr>
            </w:pPr>
            <w:r>
              <w:rPr>
                <w:color w:val="000000"/>
              </w:rPr>
              <w:t>Posebni ukrepi</w:t>
            </w:r>
          </w:p>
        </w:tc>
      </w:tr>
      <w:tr w:rsidR="00EC4D24" w14:paraId="0CE8134B"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86479B" w14:textId="77777777" w:rsidR="00A77B3E" w:rsidRDefault="00EE0419">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857B1D">
              <w:rPr>
                <w:color w:val="000000"/>
              </w:rPr>
            </w:r>
            <w:r w:rsidR="00857B1D">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75C406" w14:textId="77777777" w:rsidR="00A77B3E" w:rsidRPr="00857B1D" w:rsidRDefault="00EE0419">
            <w:pPr>
              <w:spacing w:before="100"/>
            </w:pPr>
            <w:r w:rsidRPr="00857B1D">
              <w:t>3. Vrnitev</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EDF54A" w14:textId="77777777" w:rsidR="00A77B3E" w:rsidRDefault="00EE0419">
            <w:pPr>
              <w:spacing w:before="100"/>
              <w:rPr>
                <w:color w:val="000000"/>
              </w:rPr>
            </w:pPr>
            <w:r>
              <w:rPr>
                <w:color w:val="000000"/>
              </w:rPr>
              <w:t>Ukrepi iz Priloge IV</w:t>
            </w:r>
          </w:p>
        </w:tc>
      </w:tr>
      <w:tr w:rsidR="00EC4D24" w14:paraId="010AFB0C"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38DDF1" w14:textId="77777777" w:rsidR="00A77B3E" w:rsidRDefault="00EE0419">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857B1D">
              <w:rPr>
                <w:color w:val="000000"/>
              </w:rPr>
            </w:r>
            <w:r w:rsidR="00857B1D">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A73B26" w14:textId="77777777" w:rsidR="00A77B3E" w:rsidRPr="00857B1D" w:rsidRDefault="00EE0419">
            <w:pPr>
              <w:spacing w:before="100"/>
            </w:pPr>
            <w:r w:rsidRPr="00857B1D">
              <w:t>3. Vrnitev</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94D70D" w14:textId="77777777" w:rsidR="00A77B3E" w:rsidRDefault="00EE0419">
            <w:pPr>
              <w:spacing w:before="100"/>
              <w:rPr>
                <w:color w:val="000000"/>
              </w:rPr>
            </w:pPr>
            <w:r>
              <w:rPr>
                <w:color w:val="000000"/>
              </w:rPr>
              <w:t>Operativna podpora</w:t>
            </w:r>
          </w:p>
        </w:tc>
      </w:tr>
      <w:tr w:rsidR="00EC4D24" w14:paraId="57C69396"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4DAF70" w14:textId="77777777" w:rsidR="00A77B3E" w:rsidRDefault="00EE0419">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857B1D">
              <w:rPr>
                <w:color w:val="000000"/>
              </w:rPr>
            </w:r>
            <w:r w:rsidR="00857B1D">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501861" w14:textId="77777777" w:rsidR="00A77B3E" w:rsidRPr="00857B1D" w:rsidRDefault="00EE0419">
            <w:pPr>
              <w:spacing w:before="100"/>
            </w:pPr>
            <w:r w:rsidRPr="00857B1D">
              <w:t>3. Vrnitev</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C42B86" w14:textId="77777777" w:rsidR="00A77B3E" w:rsidRDefault="00EE0419">
            <w:pPr>
              <w:spacing w:before="100"/>
              <w:rPr>
                <w:color w:val="000000"/>
              </w:rPr>
            </w:pPr>
            <w:r>
              <w:rPr>
                <w:color w:val="000000"/>
              </w:rPr>
              <w:t>Nujna pomoč</w:t>
            </w:r>
          </w:p>
        </w:tc>
      </w:tr>
      <w:tr w:rsidR="00EC4D24" w14:paraId="30683FE9"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18CE82" w14:textId="377794D3" w:rsidR="00A77B3E" w:rsidRPr="00857B1D" w:rsidRDefault="00D32068">
            <w:pPr>
              <w:spacing w:before="100"/>
              <w:jc w:val="center"/>
            </w:pPr>
            <w:r w:rsidRPr="00857B1D">
              <w:fldChar w:fldCharType="begin">
                <w:ffData>
                  <w:name w:val=""/>
                  <w:enabled/>
                  <w:calcOnExit w:val="0"/>
                  <w:checkBox>
                    <w:size w:val="20"/>
                    <w:default w:val="0"/>
                    <w:checked w:val="0"/>
                  </w:checkBox>
                </w:ffData>
              </w:fldChar>
            </w:r>
            <w:r w:rsidRPr="00857B1D">
              <w:instrText xml:space="preserve"> FORMCHECKBOX </w:instrText>
            </w:r>
            <w:r w:rsidR="00857B1D" w:rsidRPr="00857B1D">
              <w:fldChar w:fldCharType="separate"/>
            </w:r>
            <w:r w:rsidRPr="00857B1D">
              <w:fldChar w:fldCharType="end"/>
            </w:r>
            <w:r w:rsidRPr="00857B1D">
              <w:t xml:space="preserve"> </w:t>
            </w:r>
            <w:r w:rsidR="00EE0419" w:rsidRPr="00857B1D">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B75C71" w14:textId="77777777" w:rsidR="00A77B3E" w:rsidRPr="00857B1D" w:rsidRDefault="00EE0419">
            <w:pPr>
              <w:spacing w:before="100"/>
            </w:pPr>
            <w:r w:rsidRPr="00857B1D">
              <w:t>4. Solidarnost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6247C6" w14:textId="77777777" w:rsidR="00A77B3E" w:rsidRDefault="00EE0419">
            <w:pPr>
              <w:spacing w:before="100"/>
              <w:rPr>
                <w:color w:val="000000"/>
              </w:rPr>
            </w:pPr>
            <w:r>
              <w:rPr>
                <w:color w:val="000000"/>
              </w:rPr>
              <w:t>Redni ukrepi</w:t>
            </w:r>
          </w:p>
        </w:tc>
      </w:tr>
      <w:tr w:rsidR="00EC4D24" w14:paraId="3DC03882"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68A457" w14:textId="77777777" w:rsidR="00A77B3E" w:rsidRPr="00857B1D" w:rsidRDefault="00EE0419">
            <w:pPr>
              <w:spacing w:before="100"/>
              <w:jc w:val="center"/>
            </w:pPr>
            <w:r w:rsidRPr="00857B1D">
              <w:fldChar w:fldCharType="begin">
                <w:ffData>
                  <w:name w:val=""/>
                  <w:enabled/>
                  <w:calcOnExit w:val="0"/>
                  <w:checkBox>
                    <w:size w:val="20"/>
                    <w:default w:val="0"/>
                    <w:checked w:val="0"/>
                  </w:checkBox>
                </w:ffData>
              </w:fldChar>
            </w:r>
            <w:r w:rsidRPr="00857B1D">
              <w:instrText xml:space="preserve"> FORMCHECKBOX </w:instrText>
            </w:r>
            <w:r w:rsidR="00857B1D" w:rsidRPr="00857B1D">
              <w:fldChar w:fldCharType="separate"/>
            </w:r>
            <w:r w:rsidRPr="00857B1D">
              <w:fldChar w:fldCharType="end"/>
            </w:r>
            <w:r w:rsidRPr="00857B1D">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755727" w14:textId="77777777" w:rsidR="00A77B3E" w:rsidRPr="00857B1D" w:rsidRDefault="00EE0419">
            <w:pPr>
              <w:spacing w:before="100"/>
            </w:pPr>
            <w:r w:rsidRPr="00857B1D">
              <w:t>4. Solidarnost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9D39D4" w14:textId="77777777" w:rsidR="00A77B3E" w:rsidRDefault="00EE0419">
            <w:pPr>
              <w:spacing w:before="100"/>
              <w:rPr>
                <w:color w:val="000000"/>
              </w:rPr>
            </w:pPr>
            <w:r>
              <w:rPr>
                <w:color w:val="000000"/>
              </w:rPr>
              <w:t>Posebni ukrepi</w:t>
            </w:r>
          </w:p>
        </w:tc>
      </w:tr>
      <w:tr w:rsidR="00EC4D24" w14:paraId="69A2CFE1"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449970" w14:textId="2F5347EF" w:rsidR="00A77B3E" w:rsidRPr="00857B1D" w:rsidRDefault="00D32068">
            <w:pPr>
              <w:spacing w:before="100"/>
              <w:jc w:val="center"/>
            </w:pPr>
            <w:r w:rsidRPr="00857B1D">
              <w:fldChar w:fldCharType="begin">
                <w:ffData>
                  <w:name w:val=""/>
                  <w:enabled/>
                  <w:calcOnExit w:val="0"/>
                  <w:checkBox>
                    <w:size w:val="20"/>
                    <w:default w:val="0"/>
                    <w:checked w:val="0"/>
                  </w:checkBox>
                </w:ffData>
              </w:fldChar>
            </w:r>
            <w:r w:rsidRPr="00857B1D">
              <w:instrText xml:space="preserve"> FORMCHECKBOX </w:instrText>
            </w:r>
            <w:r w:rsidR="00857B1D" w:rsidRPr="00857B1D">
              <w:fldChar w:fldCharType="separate"/>
            </w:r>
            <w:r w:rsidRPr="00857B1D">
              <w:fldChar w:fldCharType="end"/>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BF18BB" w14:textId="77777777" w:rsidR="00A77B3E" w:rsidRPr="00857B1D" w:rsidRDefault="00EE0419">
            <w:pPr>
              <w:spacing w:before="100"/>
            </w:pPr>
            <w:r w:rsidRPr="00857B1D">
              <w:t>4. Solidarnost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249CDD" w14:textId="77777777" w:rsidR="00A77B3E" w:rsidRDefault="00EE0419">
            <w:pPr>
              <w:spacing w:before="100"/>
              <w:rPr>
                <w:color w:val="000000"/>
              </w:rPr>
            </w:pPr>
            <w:r>
              <w:rPr>
                <w:color w:val="000000"/>
              </w:rPr>
              <w:t>Ukrepi iz Priloge IV</w:t>
            </w:r>
          </w:p>
        </w:tc>
      </w:tr>
      <w:tr w:rsidR="00EC4D24" w14:paraId="045CCC99"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0DE5D9" w14:textId="77777777" w:rsidR="00A77B3E" w:rsidRDefault="00EE0419">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857B1D">
              <w:rPr>
                <w:color w:val="000000"/>
              </w:rPr>
            </w:r>
            <w:r w:rsidR="00857B1D">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377A03" w14:textId="77777777" w:rsidR="00A77B3E" w:rsidRDefault="00EE0419">
            <w:pPr>
              <w:spacing w:before="100"/>
              <w:rPr>
                <w:color w:val="000000"/>
              </w:rPr>
            </w:pPr>
            <w:r>
              <w:rPr>
                <w:color w:val="000000"/>
              </w:rPr>
              <w:t>4. Solidarnost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50D088" w14:textId="77777777" w:rsidR="00A77B3E" w:rsidRDefault="00EE0419">
            <w:pPr>
              <w:spacing w:before="100"/>
              <w:rPr>
                <w:color w:val="000000"/>
              </w:rPr>
            </w:pPr>
            <w:r>
              <w:rPr>
                <w:color w:val="000000"/>
              </w:rPr>
              <w:t>Operativna podpora</w:t>
            </w:r>
          </w:p>
        </w:tc>
      </w:tr>
      <w:tr w:rsidR="00EC4D24" w14:paraId="6C8E9AA4"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21BF3A" w14:textId="77777777" w:rsidR="00A77B3E" w:rsidRDefault="00EE0419">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857B1D">
              <w:rPr>
                <w:color w:val="000000"/>
              </w:rPr>
            </w:r>
            <w:r w:rsidR="00857B1D">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B2165E" w14:textId="77777777" w:rsidR="00A77B3E" w:rsidRDefault="00EE0419">
            <w:pPr>
              <w:spacing w:before="100"/>
              <w:rPr>
                <w:color w:val="000000"/>
              </w:rPr>
            </w:pPr>
            <w:r>
              <w:rPr>
                <w:color w:val="000000"/>
              </w:rPr>
              <w:t>4. Solidarnost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110F8F" w14:textId="77777777" w:rsidR="00A77B3E" w:rsidRDefault="00EE0419">
            <w:pPr>
              <w:spacing w:before="100"/>
              <w:rPr>
                <w:color w:val="000000"/>
              </w:rPr>
            </w:pPr>
            <w:r>
              <w:rPr>
                <w:color w:val="000000"/>
              </w:rPr>
              <w:t>Nujna pomoč</w:t>
            </w:r>
          </w:p>
        </w:tc>
      </w:tr>
      <w:tr w:rsidR="00EC4D24" w14:paraId="2EFF9434"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CF8089" w14:textId="77777777" w:rsidR="00A77B3E" w:rsidRDefault="00EE0419">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857B1D">
              <w:rPr>
                <w:color w:val="000000"/>
              </w:rPr>
            </w:r>
            <w:r w:rsidR="00857B1D">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82E474" w14:textId="77777777" w:rsidR="00A77B3E" w:rsidRDefault="00EE0419">
            <w:pPr>
              <w:spacing w:before="100"/>
              <w:rPr>
                <w:color w:val="000000"/>
              </w:rPr>
            </w:pPr>
            <w:r>
              <w:rPr>
                <w:color w:val="000000"/>
              </w:rPr>
              <w:t>4. Solidarnost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832A6E" w14:textId="77777777" w:rsidR="00A77B3E" w:rsidRDefault="00EE0419">
            <w:pPr>
              <w:spacing w:before="100"/>
              <w:rPr>
                <w:color w:val="000000"/>
              </w:rPr>
            </w:pPr>
            <w:r>
              <w:rPr>
                <w:color w:val="000000"/>
              </w:rPr>
              <w:t>Preselitev in humanitarni sprejem</w:t>
            </w:r>
          </w:p>
        </w:tc>
      </w:tr>
      <w:tr w:rsidR="00EC4D24" w14:paraId="2F0A565A" w14:textId="77777777" w:rsidTr="00857B1D">
        <w:trPr>
          <w:trHeight w:val="160"/>
        </w:trPr>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80" w:type="dxa"/>
              <w:right w:w="60" w:type="dxa"/>
            </w:tcMar>
          </w:tcPr>
          <w:p w14:paraId="1DE56B5B" w14:textId="7CE6E9FC" w:rsidR="00A77B3E" w:rsidRPr="00857B1D" w:rsidRDefault="00C4152C">
            <w:pPr>
              <w:spacing w:before="100"/>
              <w:jc w:val="center"/>
              <w:rPr>
                <w:color w:val="000000"/>
              </w:rPr>
            </w:pPr>
            <w:r w:rsidRPr="00857B1D">
              <w:rPr>
                <w:color w:val="000000"/>
              </w:rPr>
              <w:fldChar w:fldCharType="begin">
                <w:ffData>
                  <w:name w:val=""/>
                  <w:enabled/>
                  <w:calcOnExit w:val="0"/>
                  <w:checkBox>
                    <w:size w:val="20"/>
                    <w:default w:val="1"/>
                  </w:checkBox>
                </w:ffData>
              </w:fldChar>
            </w:r>
            <w:r w:rsidRPr="00857B1D">
              <w:rPr>
                <w:color w:val="000000"/>
              </w:rPr>
              <w:instrText xml:space="preserve"> FORMCHECKBOX </w:instrText>
            </w:r>
            <w:r w:rsidR="00857B1D" w:rsidRPr="00857B1D">
              <w:rPr>
                <w:color w:val="000000"/>
              </w:rPr>
            </w:r>
            <w:r w:rsidR="00857B1D" w:rsidRPr="00857B1D">
              <w:rPr>
                <w:color w:val="000000"/>
              </w:rPr>
              <w:fldChar w:fldCharType="separate"/>
            </w:r>
            <w:r w:rsidRPr="00857B1D">
              <w:rPr>
                <w:color w:val="000000"/>
              </w:rPr>
              <w:fldChar w:fldCharType="end"/>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80" w:type="dxa"/>
              <w:right w:w="60" w:type="dxa"/>
            </w:tcMar>
          </w:tcPr>
          <w:p w14:paraId="05543B15" w14:textId="77777777" w:rsidR="00A77B3E" w:rsidRPr="00857B1D" w:rsidRDefault="00EE0419">
            <w:pPr>
              <w:spacing w:before="100"/>
              <w:rPr>
                <w:color w:val="000000"/>
              </w:rPr>
            </w:pPr>
            <w:r w:rsidRPr="00857B1D">
              <w:rPr>
                <w:color w:val="000000"/>
              </w:rPr>
              <w:t>4. Solidarnost</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80" w:type="dxa"/>
              <w:right w:w="60" w:type="dxa"/>
            </w:tcMar>
          </w:tcPr>
          <w:p w14:paraId="0B6B50E0" w14:textId="77777777" w:rsidR="00A77B3E" w:rsidRPr="00857B1D" w:rsidRDefault="00EE0419">
            <w:pPr>
              <w:spacing w:before="100"/>
              <w:rPr>
                <w:color w:val="000000"/>
              </w:rPr>
            </w:pPr>
            <w:r w:rsidRPr="00857B1D">
              <w:rPr>
                <w:color w:val="000000"/>
              </w:rPr>
              <w:t>Mednarodna zaščita (Premestitev v)</w:t>
            </w:r>
          </w:p>
        </w:tc>
      </w:tr>
      <w:tr w:rsidR="00EC4D24" w14:paraId="2CB81E0E"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9F7E48" w14:textId="77777777" w:rsidR="00A77B3E" w:rsidRDefault="00EE0419">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857B1D">
              <w:rPr>
                <w:color w:val="000000"/>
              </w:rPr>
            </w:r>
            <w:r w:rsidR="00857B1D">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BC63DB" w14:textId="77777777" w:rsidR="00A77B3E" w:rsidRPr="00C4152C" w:rsidRDefault="00EE0419">
            <w:pPr>
              <w:spacing w:before="100"/>
              <w:rPr>
                <w:color w:val="000000"/>
              </w:rPr>
            </w:pPr>
            <w:r w:rsidRPr="00C4152C">
              <w:rPr>
                <w:color w:val="000000"/>
              </w:rPr>
              <w:t>4. Solidarnost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4F77EA" w14:textId="77777777" w:rsidR="00A77B3E" w:rsidRPr="00C4152C" w:rsidRDefault="00EE0419">
            <w:pPr>
              <w:spacing w:before="100"/>
              <w:rPr>
                <w:color w:val="000000"/>
              </w:rPr>
            </w:pPr>
            <w:r w:rsidRPr="00C4152C">
              <w:rPr>
                <w:color w:val="000000"/>
              </w:rPr>
              <w:t>Mednarodna zaščita (Premestitev iz)</w:t>
            </w:r>
          </w:p>
        </w:tc>
      </w:tr>
      <w:tr w:rsidR="00EC4D24" w14:paraId="082E057C"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65D4F5" w14:textId="77777777" w:rsidR="00A77B3E" w:rsidRDefault="00EE0419">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857B1D">
              <w:rPr>
                <w:color w:val="000000"/>
              </w:rPr>
            </w:r>
            <w:r w:rsidR="00857B1D">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A774A0" w14:textId="77777777" w:rsidR="00A77B3E" w:rsidRDefault="00EE0419">
            <w:pPr>
              <w:spacing w:before="100"/>
              <w:rPr>
                <w:color w:val="000000"/>
              </w:rPr>
            </w:pPr>
            <w:r>
              <w:rPr>
                <w:color w:val="000000"/>
              </w:rPr>
              <w:t>TA.36(5). Tehnična pomoč – pavšalna stopnja(člen 36(5) uredbe o skupnih določbah)</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31EBC1" w14:textId="77777777" w:rsidR="00A77B3E" w:rsidRDefault="00A77B3E">
            <w:pPr>
              <w:spacing w:before="100"/>
              <w:rPr>
                <w:color w:val="000000"/>
              </w:rPr>
            </w:pPr>
          </w:p>
        </w:tc>
      </w:tr>
      <w:tr w:rsidR="00EC4D24" w14:paraId="777D4EEB"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952CA1" w14:textId="77777777" w:rsidR="00A77B3E" w:rsidRDefault="00EE0419">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857B1D">
              <w:rPr>
                <w:color w:val="000000"/>
              </w:rPr>
            </w:r>
            <w:r w:rsidR="00857B1D">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DDFA60" w14:textId="77777777" w:rsidR="00A77B3E" w:rsidRDefault="00EE0419">
            <w:pPr>
              <w:spacing w:before="100"/>
              <w:rPr>
                <w:color w:val="000000"/>
              </w:rPr>
            </w:pPr>
            <w:r>
              <w:rPr>
                <w:color w:val="000000"/>
              </w:rPr>
              <w:t>TA.37. Tehnična pomoč – brez povezanih stroškov (člen 37 uredbe o skupnih določbah)</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DAFF35" w14:textId="77777777" w:rsidR="00A77B3E" w:rsidRDefault="00A77B3E">
            <w:pPr>
              <w:spacing w:before="100"/>
              <w:rPr>
                <w:color w:val="000000"/>
              </w:rPr>
            </w:pPr>
          </w:p>
        </w:tc>
      </w:tr>
    </w:tbl>
    <w:p w14:paraId="1D499631" w14:textId="77777777" w:rsidR="00A77B3E" w:rsidRDefault="00A77B3E">
      <w:pPr>
        <w:spacing w:before="100"/>
        <w:jc w:val="center"/>
        <w:rPr>
          <w:color w:val="000000"/>
        </w:rPr>
        <w:sectPr w:rsidR="00A77B3E">
          <w:headerReference w:type="even" r:id="rId13"/>
          <w:headerReference w:type="default" r:id="rId14"/>
          <w:footerReference w:type="even" r:id="rId15"/>
          <w:footerReference w:type="default" r:id="rId16"/>
          <w:headerReference w:type="first" r:id="rId17"/>
          <w:footerReference w:type="first" r:id="rId18"/>
          <w:pgSz w:w="11906" w:h="16838"/>
          <w:pgMar w:top="720" w:right="936" w:bottom="864" w:left="720" w:header="0" w:footer="72" w:gutter="0"/>
          <w:cols w:space="720"/>
          <w:noEndnote/>
          <w:docGrid w:linePitch="360"/>
        </w:sectPr>
      </w:pPr>
    </w:p>
    <w:p w14:paraId="2B13A35A" w14:textId="77777777" w:rsidR="00A77B3E" w:rsidRPr="00857B1D" w:rsidRDefault="00EE0419">
      <w:pPr>
        <w:pStyle w:val="Naslov2"/>
        <w:spacing w:before="100" w:after="0"/>
        <w:rPr>
          <w:rFonts w:ascii="Times New Roman" w:hAnsi="Times New Roman" w:cs="Times New Roman"/>
          <w:b w:val="0"/>
          <w:i w:val="0"/>
          <w:color w:val="000000"/>
          <w:sz w:val="24"/>
          <w:lang w:val="it-IT"/>
        </w:rPr>
      </w:pPr>
      <w:bookmarkStart w:id="2" w:name="_Toc256000067"/>
      <w:r w:rsidRPr="00857B1D">
        <w:rPr>
          <w:rFonts w:ascii="Times New Roman" w:hAnsi="Times New Roman" w:cs="Times New Roman"/>
          <w:b w:val="0"/>
          <w:i w:val="0"/>
          <w:color w:val="000000"/>
          <w:sz w:val="24"/>
          <w:lang w:val="it-IT"/>
        </w:rPr>
        <w:lastRenderedPageBreak/>
        <w:t>2.1. Specifični cilj: 1. Skupni evropski azilni sistem</w:t>
      </w:r>
      <w:bookmarkEnd w:id="2"/>
    </w:p>
    <w:p w14:paraId="2B6E8D76" w14:textId="77777777" w:rsidR="00A77B3E" w:rsidRPr="00857B1D" w:rsidRDefault="00A77B3E">
      <w:pPr>
        <w:spacing w:before="100"/>
        <w:rPr>
          <w:color w:val="000000"/>
          <w:sz w:val="0"/>
          <w:lang w:val="it-IT"/>
        </w:rPr>
      </w:pPr>
    </w:p>
    <w:p w14:paraId="4B35B292" w14:textId="77777777" w:rsidR="00A77B3E" w:rsidRDefault="00EE0419">
      <w:pPr>
        <w:pStyle w:val="Naslov3"/>
        <w:spacing w:before="100" w:after="0"/>
        <w:rPr>
          <w:rFonts w:ascii="Times New Roman" w:hAnsi="Times New Roman" w:cs="Times New Roman"/>
          <w:b w:val="0"/>
          <w:color w:val="000000"/>
          <w:sz w:val="24"/>
        </w:rPr>
      </w:pPr>
      <w:bookmarkStart w:id="3" w:name="_Toc256000068"/>
      <w:r>
        <w:rPr>
          <w:rFonts w:ascii="Times New Roman" w:hAnsi="Times New Roman" w:cs="Times New Roman"/>
          <w:b w:val="0"/>
          <w:color w:val="000000"/>
          <w:sz w:val="24"/>
        </w:rPr>
        <w:t>2.1.1. Opis specifičnega cilja</w:t>
      </w:r>
      <w:bookmarkEnd w:id="3"/>
    </w:p>
    <w:p w14:paraId="6610688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C4D24" w:rsidRPr="00857B1D" w14:paraId="3B14189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87B713" w14:textId="77777777" w:rsidR="00A77B3E" w:rsidRDefault="00A77B3E">
            <w:pPr>
              <w:spacing w:before="100"/>
              <w:rPr>
                <w:color w:val="000000"/>
                <w:sz w:val="0"/>
              </w:rPr>
            </w:pPr>
          </w:p>
          <w:p w14:paraId="765D55ED" w14:textId="77777777" w:rsidR="00A77B3E" w:rsidRDefault="00EE0419">
            <w:pPr>
              <w:spacing w:before="100"/>
              <w:rPr>
                <w:color w:val="000000"/>
              </w:rPr>
            </w:pPr>
            <w:r>
              <w:rPr>
                <w:color w:val="000000"/>
              </w:rPr>
              <w:t>Ukrepi Slovenije bodo v okviru SO1 še naprej osredotočeni na izboljšanje kakovosti sprejemanja odločitev. To pomeni, da prosilcem za mednarodno zaščito v sklopu pomoči in podpore še nadalje zagotavljamo dostop do informacij, pravnih in prevajalskih storitev ter tolmačenja, socialnih, zdravstvenih in drugih storitev. Gre za aktivnosti, kot so dopolnjevanje informacijskih storitev, povečevanje mreže pravnih zastopnikov, povečevanje mreže prevajalcev ter vključevanje dodatnih jezikov, za katere se pokaže potreba ter zagotavljanje ustrezne zdravstvene in socialne podpore, ki jo prosilci potrebujejo. Načrtovane so izboljšave sprejemne infrastrukture, storitev, identifikacija in izboljšanje razmer za ranljive osebe ter delovanje na področju usposabljanja javnih uslužbencev za delo na področju azila.</w:t>
            </w:r>
          </w:p>
          <w:p w14:paraId="75B66A78" w14:textId="77777777" w:rsidR="00A77B3E" w:rsidRDefault="00A77B3E">
            <w:pPr>
              <w:spacing w:before="100"/>
              <w:rPr>
                <w:color w:val="000000"/>
              </w:rPr>
            </w:pPr>
          </w:p>
          <w:p w14:paraId="721F63B8" w14:textId="77777777" w:rsidR="00A77B3E" w:rsidRDefault="00EE0419">
            <w:pPr>
              <w:spacing w:before="100"/>
              <w:rPr>
                <w:color w:val="000000"/>
              </w:rPr>
            </w:pPr>
            <w:r>
              <w:rPr>
                <w:color w:val="000000"/>
              </w:rPr>
              <w:t>Skladno s sklepom o aktivaciji Zakona o začasni zaščiti razseljenih oseb, bo tudi tem osebam omogočen dostop do pomoči in podpore.</w:t>
            </w:r>
          </w:p>
          <w:p w14:paraId="394179DD" w14:textId="77777777" w:rsidR="00A77B3E" w:rsidRDefault="00A77B3E">
            <w:pPr>
              <w:spacing w:before="100"/>
              <w:rPr>
                <w:color w:val="000000"/>
              </w:rPr>
            </w:pPr>
          </w:p>
          <w:p w14:paraId="1FECDC0B" w14:textId="77777777" w:rsidR="00A77B3E" w:rsidRDefault="00EE0419">
            <w:pPr>
              <w:spacing w:before="100"/>
              <w:rPr>
                <w:color w:val="000000"/>
              </w:rPr>
            </w:pPr>
            <w:r>
              <w:rPr>
                <w:color w:val="000000"/>
              </w:rPr>
              <w:t>Slovenija v okviru tega posebnega cilja pričakuje nemoteno nadaljevanje aktivnosti iz pretekle finančne sheme ter reševanje izzivov in vrzeli na področju zagotavljanja postopkovnih jamstev, in sicer prevajanja in tolmačenja v jezike, ki niso množični, zagotavljati zadostno število pravnih svetovalcev za begunce in zakonitih zastopnikov za mladoletnike brez spremstva.</w:t>
            </w:r>
          </w:p>
          <w:p w14:paraId="5CC253C8" w14:textId="77777777" w:rsidR="00A77B3E" w:rsidRDefault="00A77B3E">
            <w:pPr>
              <w:spacing w:before="100"/>
              <w:rPr>
                <w:color w:val="000000"/>
              </w:rPr>
            </w:pPr>
          </w:p>
          <w:p w14:paraId="26150BEE" w14:textId="77777777" w:rsidR="00A77B3E" w:rsidRDefault="00EE0419">
            <w:pPr>
              <w:spacing w:before="100"/>
              <w:rPr>
                <w:color w:val="000000"/>
              </w:rPr>
            </w:pPr>
            <w:r>
              <w:rPr>
                <w:color w:val="000000"/>
              </w:rPr>
              <w:t>Ključna resorja sta Ministrstvo za notranje zadeve Republike Slovenije (MNZ), ki je pristojno za vprašanja azila in migracij ter leta 2017 ustanovljen posebni Urad Vlade RS za oskrbo in integracijo migrantov (UOIM), ki je odgovoren za prosilce za mednarodno zaščito in za osebe s priznano mednarodno zaščito (s statusom begunca ali s subsidiarno zaščito) in po novem (od leta 2021) za DTD. Sredstva sklada bosta prejela preko neposredne dodelitve, zaradi zakonskih pristojnosti s predmetnega področja. Določene vsebine bodo razdeljene na podlagi javnih razpisov. Sredstva AMIF predstavljajo le del sredstev za uresničevanje zastavljenih ciljev na področju azilnega sistema. Ta delež za MNZ znaša 29%, preostala sredstva pa bodo zagotovljena iz nacionalnih proračunskih sredstev. Za aktivnosti, ki jih pokriva UOIM, delež AMIF sredstev predstavlja 11%, preostali del pa bo zagotovljen iz nacionalnih proračunskih sredstev. Nacionalna proračunska sredstva bodo namenjena predvsem plačam zaposlenih ter drugim materialnim stroškom. </w:t>
            </w:r>
          </w:p>
          <w:p w14:paraId="10776EFF" w14:textId="77777777" w:rsidR="00A77B3E" w:rsidRDefault="00A77B3E">
            <w:pPr>
              <w:spacing w:before="100"/>
              <w:rPr>
                <w:color w:val="000000"/>
              </w:rPr>
            </w:pPr>
          </w:p>
          <w:p w14:paraId="50E9F5B1" w14:textId="77777777" w:rsidR="00A77B3E" w:rsidRPr="00857B1D" w:rsidRDefault="00EE0419">
            <w:pPr>
              <w:spacing w:before="100"/>
              <w:rPr>
                <w:color w:val="000000"/>
                <w:lang w:val="it-IT"/>
              </w:rPr>
            </w:pPr>
            <w:r w:rsidRPr="00857B1D">
              <w:rPr>
                <w:color w:val="000000"/>
                <w:lang w:val="it-IT"/>
              </w:rPr>
              <w:t>Izvajali se bodo naslednji izvedbeni ukrepi 1a, 1b iz Priloge II in zadnje alineje Priloge IV.</w:t>
            </w:r>
          </w:p>
          <w:p w14:paraId="3A8364F6" w14:textId="77777777" w:rsidR="00A77B3E" w:rsidRPr="00857B1D" w:rsidRDefault="00A77B3E">
            <w:pPr>
              <w:spacing w:before="100"/>
              <w:rPr>
                <w:color w:val="000000"/>
                <w:lang w:val="it-IT"/>
              </w:rPr>
            </w:pPr>
          </w:p>
          <w:p w14:paraId="5DC50D27" w14:textId="77777777" w:rsidR="00A77B3E" w:rsidRPr="00857B1D" w:rsidRDefault="00EE0419">
            <w:pPr>
              <w:spacing w:before="100"/>
              <w:rPr>
                <w:color w:val="000000"/>
                <w:lang w:val="it-IT"/>
              </w:rPr>
            </w:pPr>
            <w:r w:rsidRPr="00857B1D">
              <w:rPr>
                <w:color w:val="000000"/>
                <w:lang w:val="it-IT"/>
              </w:rPr>
              <w:t>Pričakovani rezultati: S pomočjo teh aktivnosti bo Slovenija zagotavljala učinkovito uveljavljanje zakonskih pravic vseh prosilcev, ki bodo za mednarodno zaščito zaprosili v državi ter jim omogočila nadstandardno oskrbo. Ta bo zagotovljena še zlasti ranljivim skupinam, kot so npr. mladoletniki brez spremstva in osebe s posebnimi potrebami. Hkrati bodo za vse prosilce za mednarodno zaščito zagotovljeni bivalni pogoji, ki bodo primerljivi ali boljši, kot v večini drugih držav članic EU. Glavni rezultati bodo torej zanesljiva in ustrezna celostna oskrba in brezhibno opremljena in delujoča infrastruktura za prosilce.</w:t>
            </w:r>
          </w:p>
          <w:p w14:paraId="6B967E90" w14:textId="77777777" w:rsidR="00A77B3E" w:rsidRPr="00857B1D" w:rsidRDefault="00A77B3E">
            <w:pPr>
              <w:spacing w:before="100"/>
              <w:rPr>
                <w:color w:val="000000"/>
                <w:lang w:val="it-IT"/>
              </w:rPr>
            </w:pPr>
          </w:p>
          <w:p w14:paraId="07823BA6" w14:textId="77777777" w:rsidR="00A77B3E" w:rsidRPr="00857B1D" w:rsidRDefault="00EE0419">
            <w:pPr>
              <w:spacing w:before="100"/>
              <w:rPr>
                <w:color w:val="000000"/>
                <w:lang w:val="it-IT"/>
              </w:rPr>
            </w:pPr>
            <w:r w:rsidRPr="00857B1D">
              <w:rPr>
                <w:color w:val="000000"/>
                <w:lang w:val="it-IT"/>
              </w:rPr>
              <w:t xml:space="preserve">1) </w:t>
            </w:r>
            <w:r w:rsidRPr="00857B1D">
              <w:rPr>
                <w:color w:val="000000"/>
                <w:u w:val="single"/>
                <w:lang w:val="it-IT"/>
              </w:rPr>
              <w:t xml:space="preserve">Izvedbeni ukrep 1a: </w:t>
            </w:r>
          </w:p>
          <w:p w14:paraId="2A3700FC" w14:textId="77777777" w:rsidR="00A77B3E" w:rsidRPr="00857B1D" w:rsidRDefault="00A77B3E">
            <w:pPr>
              <w:spacing w:before="100"/>
              <w:rPr>
                <w:color w:val="000000"/>
                <w:lang w:val="it-IT"/>
              </w:rPr>
            </w:pPr>
          </w:p>
          <w:p w14:paraId="1B2D876F" w14:textId="77777777" w:rsidR="00A77B3E" w:rsidRPr="00857B1D" w:rsidRDefault="00EE0419">
            <w:pPr>
              <w:spacing w:before="100"/>
              <w:rPr>
                <w:color w:val="000000"/>
                <w:lang w:val="it-IT"/>
              </w:rPr>
            </w:pPr>
            <w:r w:rsidRPr="00857B1D">
              <w:rPr>
                <w:color w:val="000000"/>
                <w:lang w:val="it-IT"/>
              </w:rPr>
              <w:t xml:space="preserve">Sprejeta novela ZMZ že celovito ureja mednarodno zaščito, saj v slovenski pravni red prenaša pravo Evropske unije ter usklajuje slovensko zakonodajo glede mednarodne zaščite z zakonodajo preostalih držav članic EU v smislu vzpostavljanja skupnega evropskega azilnega sistema. Temeljni razlog za </w:t>
            </w:r>
            <w:r w:rsidRPr="00857B1D">
              <w:rPr>
                <w:color w:val="000000"/>
                <w:lang w:val="it-IT"/>
              </w:rPr>
              <w:lastRenderedPageBreak/>
              <w:t>sprejetje ZMZ je bila obveznost prenosa dveh direktiv EU, ki sta v letu 2013 prenovili standarde na področju sprejema prosilcev za mednarodno zaščito in postopkov za priznanje mednarodne zaščite, in sicer Direktive 2013/32/EU Evropskega parlamenta in Sveta z dne 26. junija 2013 o skupnih postopkih za priznanje ali odvzem mednarodne zaščite in Direktive 3012/33/EU Evropskega parlamenta in Sveta z dne 26. junija 2013 o standardih za sprejem prosilcev za mednarodno zaščito. Prilagoditve so bile potrebne tudi za izvajanje nove Uredbe EU št. 604/2013 Evropskega parlamenta in Sveta z dne 26. junija 2013 o vzpostavitvi meril in mehanizmov za določitev države članice, odgovorne za obravnavanje prošnje za mednarodno zaščito, ki jo v eni od držav članic vloži državljan tretje države ali oseba brez državljanstva.</w:t>
            </w:r>
          </w:p>
          <w:p w14:paraId="3CB17688" w14:textId="77777777" w:rsidR="00A77B3E" w:rsidRPr="00857B1D" w:rsidRDefault="00A77B3E">
            <w:pPr>
              <w:spacing w:before="100"/>
              <w:rPr>
                <w:color w:val="000000"/>
                <w:lang w:val="it-IT"/>
              </w:rPr>
            </w:pPr>
          </w:p>
          <w:p w14:paraId="7F1D04A3" w14:textId="77777777" w:rsidR="00A77B3E" w:rsidRPr="00857B1D" w:rsidRDefault="00EE0419">
            <w:pPr>
              <w:spacing w:before="100"/>
              <w:rPr>
                <w:color w:val="000000"/>
                <w:lang w:val="it-IT"/>
              </w:rPr>
            </w:pPr>
            <w:r w:rsidRPr="00857B1D">
              <w:rPr>
                <w:color w:val="000000"/>
                <w:lang w:val="it-IT"/>
              </w:rPr>
              <w:t>Pri postopkih za mednarodno zaščito MNZ skladno z zakonodajo zagotavlja temeljna postopkovna jamstva tujcem, ki zaprosijo za mednarodno zaščito. Zagotavlja se informiranje in pravno svetovanje tujcem na področju mednarodne zaščite, brezplačno pravno pomoč pred Upravnim sodiščem RS in Vrhovnim sodiščem RS ter prevajanje in tolmačenje v postopku. V sodelovanju z drugimi pristojnimi organi MNZ izvaja tudi usposabljanje javnih uslužbencev, zakonitih zastopnikov za mladoletne prosilce za mednarodno zaščito brez spremstva in drugih, vključenih v azilne zadeve, zagotavlja podporo v postopkih priznanja mednarodne zaščite, kot so razna izvedenska mnenja, ter nudi podporo v postopku priznanja MZ mladoletnikom brez spremstva.</w:t>
            </w:r>
          </w:p>
          <w:p w14:paraId="1747DB20" w14:textId="77777777" w:rsidR="00A77B3E" w:rsidRPr="00857B1D" w:rsidRDefault="00A77B3E">
            <w:pPr>
              <w:spacing w:before="100"/>
              <w:rPr>
                <w:color w:val="000000"/>
                <w:lang w:val="it-IT"/>
              </w:rPr>
            </w:pPr>
          </w:p>
          <w:p w14:paraId="3AAE227B" w14:textId="77777777" w:rsidR="00A77B3E" w:rsidRPr="00857B1D" w:rsidRDefault="00EE0419">
            <w:pPr>
              <w:spacing w:before="100"/>
              <w:rPr>
                <w:color w:val="000000"/>
                <w:lang w:val="it-IT"/>
              </w:rPr>
            </w:pPr>
            <w:r w:rsidRPr="00857B1D">
              <w:rPr>
                <w:color w:val="000000"/>
                <w:lang w:val="it-IT"/>
              </w:rPr>
              <w:t>Na področju mednarodne zaščite se skladno z veljavno zakonodajo prosilce za mednarodno zaščito ob nastanitvi v njim razumljivem jeziku informira o pravicah, dolžnostih in pravilih bivanja v Azilnem domu in njegovih izpostavah.</w:t>
            </w:r>
          </w:p>
          <w:p w14:paraId="456DA9F1" w14:textId="77777777" w:rsidR="00A77B3E" w:rsidRPr="00857B1D" w:rsidRDefault="00A77B3E">
            <w:pPr>
              <w:spacing w:before="100"/>
              <w:rPr>
                <w:color w:val="000000"/>
                <w:lang w:val="it-IT"/>
              </w:rPr>
            </w:pPr>
          </w:p>
          <w:p w14:paraId="1B1D538D" w14:textId="77777777" w:rsidR="00A77B3E" w:rsidRDefault="00EE0419">
            <w:pPr>
              <w:spacing w:before="100"/>
              <w:rPr>
                <w:color w:val="000000"/>
              </w:rPr>
            </w:pPr>
            <w:r>
              <w:rPr>
                <w:color w:val="000000"/>
              </w:rPr>
              <w:t>Predvidene aktivnosti so:</w:t>
            </w:r>
          </w:p>
          <w:p w14:paraId="4F1B0943" w14:textId="77777777" w:rsidR="00A77B3E" w:rsidRDefault="00EE0419">
            <w:pPr>
              <w:numPr>
                <w:ilvl w:val="0"/>
                <w:numId w:val="1"/>
              </w:numPr>
              <w:spacing w:before="100"/>
              <w:rPr>
                <w:color w:val="000000"/>
              </w:rPr>
            </w:pPr>
            <w:r>
              <w:rPr>
                <w:color w:val="000000"/>
              </w:rPr>
              <w:t>Informiranje vlagateljev namere za podajo prošnje za mednarodno zaščito in prosilcev za mednarodno zaščito v času trajanja postopka in njihove nastanitve: Gre za zagotavljanje ustreznih informacij osebam, ki nameravajo oddati vlogo, ki zajema pravice in dolžnosti glede postopka, ter posredovanje ustreznih informacij v zvezi s pravili bivanja v Azilnem domu in njegovih izpostavah, požarnem redu, pravicah in dolžnostih ter izvedenih aktivnostih.</w:t>
            </w:r>
          </w:p>
          <w:p w14:paraId="5B3F1C4A" w14:textId="77777777" w:rsidR="00A77B3E" w:rsidRDefault="00EE0419">
            <w:pPr>
              <w:numPr>
                <w:ilvl w:val="0"/>
                <w:numId w:val="1"/>
              </w:numPr>
              <w:spacing w:before="100"/>
              <w:rPr>
                <w:color w:val="000000"/>
              </w:rPr>
            </w:pPr>
            <w:r>
              <w:rPr>
                <w:color w:val="000000"/>
              </w:rPr>
              <w:t>Pravno svetovanje tujcem na področju mednarodne zaščite: Zagotovitev pomoči tujcem in prosilcem za mednarodno zaščito na 1. stopnji pri oddaji vloge in zaslišanju.</w:t>
            </w:r>
          </w:p>
          <w:p w14:paraId="1F2D31A1" w14:textId="77777777" w:rsidR="00A77B3E" w:rsidRDefault="00EE0419">
            <w:pPr>
              <w:numPr>
                <w:ilvl w:val="0"/>
                <w:numId w:val="1"/>
              </w:numPr>
              <w:spacing w:before="100"/>
              <w:rPr>
                <w:color w:val="000000"/>
              </w:rPr>
            </w:pPr>
            <w:r>
              <w:rPr>
                <w:color w:val="000000"/>
              </w:rPr>
              <w:t>Brezplačna pravna pomoč pred Upravnim sodiščem RS in Vrhovnim sodiščem RS: Zagotovitev brezplačne pravne pomoči prosilcem za mednarodno zaščito v postopkih pred sodišči.</w:t>
            </w:r>
          </w:p>
          <w:p w14:paraId="23D5B2CD" w14:textId="77777777" w:rsidR="00A77B3E" w:rsidRDefault="00EE0419">
            <w:pPr>
              <w:numPr>
                <w:ilvl w:val="0"/>
                <w:numId w:val="1"/>
              </w:numPr>
              <w:spacing w:before="100"/>
              <w:rPr>
                <w:color w:val="000000"/>
              </w:rPr>
            </w:pPr>
            <w:r>
              <w:rPr>
                <w:color w:val="000000"/>
              </w:rPr>
              <w:t>Prevajanje in tolmačenje: Spremljanje postopka in sodelovanje v postopku v jeziku, ki ga oseba razume, je ena izmed osnovnih pravic prosilcev za mednarodno zaščito, kar jim želimo omogočiti (sprejem prošnje, osebni razgovor, prevod odločbe, vabil, pri socialnem delu, itd.) s pomočjo tolmača.</w:t>
            </w:r>
          </w:p>
          <w:p w14:paraId="5839169F" w14:textId="77777777" w:rsidR="00A77B3E" w:rsidRDefault="00EE0419">
            <w:pPr>
              <w:numPr>
                <w:ilvl w:val="0"/>
                <w:numId w:val="1"/>
              </w:numPr>
              <w:spacing w:before="100"/>
              <w:rPr>
                <w:color w:val="000000"/>
              </w:rPr>
            </w:pPr>
            <w:r>
              <w:rPr>
                <w:color w:val="000000"/>
              </w:rPr>
              <w:t>Podpora v postopku priznanja mednarodne zaščite (zakoniti zastopniki za mladoletnike brez spremstva, izvedeniška mnenja) (90% fin.): Zaradi povečanja števila mladoletnikov brez spremstva se je pokazala potreba po večjem številu zakonitih zastopnikov, usposobljenih za ravnanje z mladoletniki. Mladoletnikom brez spremstva pomoč in podporo zagotavljajo njihovi zakoniti zastopniki, ki jih določi Center za socialno delo. Omenjene zakonite zastopnike je potrebno tudi ustrezno izobraziti za svoje delo ter zagotoviti ustrezen nadzor in supervizijo nad njihovim delom. Z izvedbo izvedeniških mnenj pa prispevamo k omejitvi širitve polja zlorab postopkov mednarodne zaščite.</w:t>
            </w:r>
          </w:p>
          <w:p w14:paraId="2125BBCA" w14:textId="77777777" w:rsidR="00A77B3E" w:rsidRDefault="00EE0419">
            <w:pPr>
              <w:numPr>
                <w:ilvl w:val="0"/>
                <w:numId w:val="1"/>
              </w:numPr>
              <w:spacing w:before="100"/>
              <w:rPr>
                <w:color w:val="000000"/>
              </w:rPr>
            </w:pPr>
            <w:r w:rsidRPr="00857B1D">
              <w:rPr>
                <w:color w:val="000000"/>
                <w:lang w:val="it-IT"/>
              </w:rPr>
              <w:t xml:space="preserve">Nadgradnja informacijskega sistema s področja migracij: Azilni register in drugi povezani registri se ažurno prilagajajo zakonodajnim spremembam in potrebam po statistični obdelavi podatkov. Informacijski sistem potrebuje stalno nadgradnjo, in sicer zaradi sprememb zakonodaje ali njene implementacije. </w:t>
            </w:r>
            <w:r>
              <w:rPr>
                <w:color w:val="000000"/>
              </w:rPr>
              <w:t>Tudi skladno z regulativo 2020/851.</w:t>
            </w:r>
          </w:p>
          <w:p w14:paraId="4168532C" w14:textId="77777777" w:rsidR="00A77B3E" w:rsidRDefault="00EE0419">
            <w:pPr>
              <w:spacing w:before="100"/>
              <w:rPr>
                <w:color w:val="000000"/>
              </w:rPr>
            </w:pPr>
            <w:r>
              <w:rPr>
                <w:color w:val="000000"/>
              </w:rPr>
              <w:lastRenderedPageBreak/>
              <w:t xml:space="preserve">2) </w:t>
            </w:r>
            <w:r>
              <w:rPr>
                <w:color w:val="000000"/>
                <w:u w:val="single"/>
              </w:rPr>
              <w:t xml:space="preserve">Izvedbeni ukrep 1b: </w:t>
            </w:r>
          </w:p>
          <w:p w14:paraId="5A4B9167" w14:textId="77777777" w:rsidR="00A77B3E" w:rsidRDefault="00A77B3E">
            <w:pPr>
              <w:spacing w:before="100"/>
              <w:rPr>
                <w:color w:val="000000"/>
              </w:rPr>
            </w:pPr>
          </w:p>
          <w:p w14:paraId="20161521" w14:textId="77777777" w:rsidR="00A77B3E" w:rsidRDefault="00EE0419">
            <w:pPr>
              <w:spacing w:before="100"/>
              <w:rPr>
                <w:color w:val="000000"/>
              </w:rPr>
            </w:pPr>
            <w:r>
              <w:rPr>
                <w:color w:val="000000"/>
              </w:rPr>
              <w:t>Na področju zagotavljanja sprejema in oskrbe prosilcev za mednarodno zaščito UOIM skladno s področno zakonodajo zagotavlja aktivnosti, ki omogočajo lažjo začetno integracijo ter skrajšajo obdobje vključenosti v družbo sprejema. Aktivnosti, ki se zagotavljajo osebam, omogočajo večjo samostojnost ter vlogo pri prevzemu in odgovornosti za njihovo življenje. Nudijo tudi dodatno podporo ranlijvim kategorijam prosilcev za mednarodno zaščito. Prav tako se na področju vzpostavitve in izboljšanja sprejemne infrastrukture Slovenija sooča s čedalje večjimi izzivi na področju povečanja števila prosilcev za mednarodno zaščito. Zaradi predvidenega nadaljnjega trenda povečevanja prosilcev, je izkazana potreba po povečanju in prilagoditvi obstoječih sprejemnih in nastanitvenih prostorov.</w:t>
            </w:r>
          </w:p>
          <w:p w14:paraId="0A355E5F" w14:textId="77777777" w:rsidR="00A77B3E" w:rsidRDefault="00A77B3E">
            <w:pPr>
              <w:spacing w:before="100"/>
              <w:rPr>
                <w:color w:val="000000"/>
              </w:rPr>
            </w:pPr>
          </w:p>
          <w:p w14:paraId="3C720BA6" w14:textId="77777777" w:rsidR="00A77B3E" w:rsidRDefault="00EE0419">
            <w:pPr>
              <w:spacing w:before="100"/>
              <w:rPr>
                <w:color w:val="000000"/>
              </w:rPr>
            </w:pPr>
            <w:r>
              <w:rPr>
                <w:color w:val="000000"/>
              </w:rPr>
              <w:t>Za potrebe izvajanja postopkov učinkovitega upravljanja povečanih migracijskih tokov oz. v času povečanja števila prosilcev za mednarodno zaščito in postopkov obravnave tujcev in zaprosil za mednarodno zaščito, se kot del potrebne sprejemne infrastrukture zagotovijo tudi zabojniki. Z namenom zagotavljanja dostojne obravnave v postopku, je cilj dopolniti obstoječo podporno infrastrukturo zabojnikov z mobilno kuhinjo, sanitarnimi zabojniki in logističnimi zabojniki (skladiščne kapacitete). AMIF bo financiral nakup petih (5) sanitarnih zabojnikov, dveh (2) mobilnih kuhinj in štirih (4) mobilnih logističnih zabojnikov, s katerimi bi zagotovili bolj celovito podporo pristojnim organom (MNZ-Policija in Slovenska vojska) pri izvajanju postopkov učinkovitega upravljanja migracijskih tokov. Pri tem bo uporabljen ustrezen ključ delitve, saj bi se zabojnike lahko uporabilo tudi za nastanitev in oskrbo lokalnega prebivalstva v primeru nesreč.</w:t>
            </w:r>
          </w:p>
          <w:p w14:paraId="7E35AE6D" w14:textId="77777777" w:rsidR="00A77B3E" w:rsidRDefault="00A77B3E">
            <w:pPr>
              <w:spacing w:before="100"/>
              <w:rPr>
                <w:color w:val="000000"/>
              </w:rPr>
            </w:pPr>
          </w:p>
          <w:p w14:paraId="6C71849B" w14:textId="77777777" w:rsidR="00A77B3E" w:rsidRPr="00857B1D" w:rsidRDefault="00EE0419">
            <w:pPr>
              <w:spacing w:before="100"/>
              <w:rPr>
                <w:color w:val="000000"/>
                <w:lang w:val="it-IT"/>
              </w:rPr>
            </w:pPr>
            <w:r w:rsidRPr="00857B1D">
              <w:rPr>
                <w:color w:val="000000"/>
                <w:lang w:val="it-IT"/>
              </w:rPr>
              <w:t>Poleg zgoraj navedenih so predvideni tudi:</w:t>
            </w:r>
          </w:p>
          <w:p w14:paraId="59F915A2" w14:textId="77777777" w:rsidR="00A77B3E" w:rsidRPr="00857B1D" w:rsidRDefault="00EE0419">
            <w:pPr>
              <w:numPr>
                <w:ilvl w:val="0"/>
                <w:numId w:val="2"/>
              </w:numPr>
              <w:spacing w:before="100"/>
              <w:rPr>
                <w:color w:val="000000"/>
                <w:lang w:val="it-IT"/>
              </w:rPr>
            </w:pPr>
            <w:r w:rsidRPr="00857B1D">
              <w:rPr>
                <w:color w:val="000000"/>
                <w:lang w:val="it-IT"/>
              </w:rPr>
              <w:t>Zdravstveni pregledi vlagateljev namere za podajo prošnje za MZ: Preventivni zdravstveni in sanitarno – dezinfekcijski pregledi tujcev, ki izrazijo namero za vložitev prošnje za mednarodno zaščito.</w:t>
            </w:r>
          </w:p>
          <w:p w14:paraId="43BFD446" w14:textId="77777777" w:rsidR="00A77B3E" w:rsidRPr="00857B1D" w:rsidRDefault="00EE0419">
            <w:pPr>
              <w:numPr>
                <w:ilvl w:val="0"/>
                <w:numId w:val="2"/>
              </w:numPr>
              <w:spacing w:before="100"/>
              <w:rPr>
                <w:color w:val="000000"/>
                <w:lang w:val="it-IT"/>
              </w:rPr>
            </w:pPr>
            <w:r w:rsidRPr="00857B1D">
              <w:rPr>
                <w:color w:val="000000"/>
                <w:lang w:val="it-IT"/>
              </w:rPr>
              <w:t>Zagotavljanje informacij o kulturnih razlikah, sistemu delovanja različnih inštitucij v RS, družbenih normah: prosilcem se v času bivanja v Azilnem domu in njegovih izpostavah nudi različno informiranje in aktivnosti na temo vsakdanjega življenja, digitalizacije, vlog v družini in družbi, itd.</w:t>
            </w:r>
          </w:p>
          <w:p w14:paraId="313F54E7" w14:textId="77777777" w:rsidR="00A77B3E" w:rsidRPr="00857B1D" w:rsidRDefault="00EE0419">
            <w:pPr>
              <w:numPr>
                <w:ilvl w:val="0"/>
                <w:numId w:val="2"/>
              </w:numPr>
              <w:spacing w:before="100"/>
              <w:rPr>
                <w:color w:val="000000"/>
                <w:lang w:val="it-IT"/>
              </w:rPr>
            </w:pPr>
            <w:r w:rsidRPr="00857B1D">
              <w:rPr>
                <w:color w:val="000000"/>
                <w:lang w:val="it-IT"/>
              </w:rPr>
              <w:t>Tečaj slovenskega jezika: nastanjenim prosilcem je nuden tečaj slovenskega jezika.</w:t>
            </w:r>
          </w:p>
          <w:p w14:paraId="65A8E2BB" w14:textId="77777777" w:rsidR="00A77B3E" w:rsidRPr="00857B1D" w:rsidRDefault="00EE0419">
            <w:pPr>
              <w:numPr>
                <w:ilvl w:val="0"/>
                <w:numId w:val="2"/>
              </w:numPr>
              <w:spacing w:before="100"/>
              <w:rPr>
                <w:color w:val="000000"/>
                <w:lang w:val="it-IT"/>
              </w:rPr>
            </w:pPr>
            <w:r w:rsidRPr="00857B1D">
              <w:rPr>
                <w:color w:val="000000"/>
                <w:lang w:val="it-IT"/>
              </w:rPr>
              <w:t>Aktivnosti, namenjene prosilcem za mednarodno zaščito: v Azilnem domu in njegovih izpostavah se bodo izvajale različne prostočasne in terapevtske aktivnosti.</w:t>
            </w:r>
          </w:p>
          <w:p w14:paraId="1B0EFE59" w14:textId="77777777" w:rsidR="00A77B3E" w:rsidRPr="00857B1D" w:rsidRDefault="00EE0419">
            <w:pPr>
              <w:numPr>
                <w:ilvl w:val="0"/>
                <w:numId w:val="2"/>
              </w:numPr>
              <w:spacing w:before="100"/>
              <w:rPr>
                <w:color w:val="000000"/>
                <w:lang w:val="it-IT"/>
              </w:rPr>
            </w:pPr>
            <w:r w:rsidRPr="00857B1D">
              <w:rPr>
                <w:color w:val="000000"/>
                <w:lang w:val="it-IT"/>
              </w:rPr>
              <w:t>Zagotavljanje sredstev za nakup šolskih potrebščin: skladno z zakonodajo se otrokom in mladoletnikom brez spremstva (90% fin.) zagotavljajo šolske potrebščine in plačilo obšolskih ter šolskih dejavnosti.</w:t>
            </w:r>
          </w:p>
          <w:p w14:paraId="29404AB7" w14:textId="77777777" w:rsidR="00A77B3E" w:rsidRPr="00857B1D" w:rsidRDefault="00EE0419">
            <w:pPr>
              <w:numPr>
                <w:ilvl w:val="0"/>
                <w:numId w:val="2"/>
              </w:numPr>
              <w:spacing w:before="100"/>
              <w:rPr>
                <w:color w:val="000000"/>
                <w:lang w:val="it-IT"/>
              </w:rPr>
            </w:pPr>
            <w:r w:rsidRPr="00857B1D">
              <w:rPr>
                <w:color w:val="000000"/>
                <w:lang w:val="it-IT"/>
              </w:rPr>
              <w:t>Zagotavljanje sredstev za prevoz oseb do različnih institucij: za uveljavljanje različnih pravic se prosilcem za mednarodno zaščito zagotovi mesečne vozovnice, vozovnice za mestni promet in podobno, da se jim omogoči dostop do pristojnih institucij, ki to urejajo.</w:t>
            </w:r>
          </w:p>
          <w:p w14:paraId="227F12AB" w14:textId="77777777" w:rsidR="00A77B3E" w:rsidRPr="00857B1D" w:rsidRDefault="00EE0419">
            <w:pPr>
              <w:numPr>
                <w:ilvl w:val="0"/>
                <w:numId w:val="2"/>
              </w:numPr>
              <w:spacing w:before="100"/>
              <w:rPr>
                <w:color w:val="000000"/>
                <w:lang w:val="it-IT"/>
              </w:rPr>
            </w:pPr>
            <w:r w:rsidRPr="00857B1D">
              <w:rPr>
                <w:color w:val="000000"/>
                <w:lang w:val="it-IT"/>
              </w:rPr>
              <w:t>Zagotovitev nastanitve in oskrbe mladoletnikov brez spremstva (zaradi povečanja števila mladoletnikov brez spremstva se je pokazala potreba po sistemski ureditvi nastanitve in oskrbe mladoletnikov brez spremstva ter zagotovitvi programov za zagotavljanje psihosocialne pomoči in izvajanju določenih prostočasnih aktivnosti) (90% fin.).</w:t>
            </w:r>
          </w:p>
          <w:p w14:paraId="7FFBE8D5" w14:textId="77777777" w:rsidR="00A77B3E" w:rsidRPr="00857B1D" w:rsidRDefault="00EE0419">
            <w:pPr>
              <w:numPr>
                <w:ilvl w:val="0"/>
                <w:numId w:val="2"/>
              </w:numPr>
              <w:spacing w:before="100"/>
              <w:rPr>
                <w:color w:val="000000"/>
                <w:lang w:val="it-IT"/>
              </w:rPr>
            </w:pPr>
            <w:r w:rsidRPr="00857B1D">
              <w:rPr>
                <w:color w:val="000000"/>
                <w:lang w:val="it-IT"/>
              </w:rPr>
              <w:t>Materialna oskrba prosilcev za mednarodno zaščito: Zagotavljanje izplačevanja žepnin in nagrad za opravljanje osnovnih vzdrževalnih del v Azilnem domu (pobiranje smeti, čiščenje sob in okolice, pomoč pri deljenju obrokov in podobno)</w:t>
            </w:r>
            <w:r w:rsidRPr="00857B1D">
              <w:rPr>
                <w:i/>
                <w:iCs/>
                <w:color w:val="000000"/>
                <w:lang w:val="it-IT"/>
              </w:rPr>
              <w:t xml:space="preserve"> </w:t>
            </w:r>
            <w:r w:rsidRPr="00857B1D">
              <w:rPr>
                <w:color w:val="000000"/>
                <w:lang w:val="it-IT"/>
              </w:rPr>
              <w:t>ter potrebščin (pripomočki za osebno nego, obuvala in oblačila), ki prosilcem omogočajo uresničevanje pravic.</w:t>
            </w:r>
          </w:p>
          <w:p w14:paraId="7E2034DA" w14:textId="77777777" w:rsidR="00A77B3E" w:rsidRPr="00857B1D" w:rsidRDefault="00A77B3E">
            <w:pPr>
              <w:spacing w:before="100"/>
              <w:rPr>
                <w:color w:val="000000"/>
                <w:lang w:val="it-IT"/>
              </w:rPr>
            </w:pPr>
          </w:p>
          <w:p w14:paraId="34988A9A" w14:textId="77777777" w:rsidR="00A77B3E" w:rsidRDefault="00EE0419">
            <w:pPr>
              <w:spacing w:before="100"/>
              <w:rPr>
                <w:color w:val="000000"/>
              </w:rPr>
            </w:pPr>
            <w:r w:rsidRPr="00857B1D">
              <w:rPr>
                <w:color w:val="000000"/>
                <w:lang w:val="it-IT"/>
              </w:rPr>
              <w:lastRenderedPageBreak/>
              <w:t xml:space="preserve">Aktivnosti se bodo osredotočale tudi na usposabljanja zaposlenih strokovnih delavcev. </w:t>
            </w:r>
            <w:r>
              <w:rPr>
                <w:color w:val="000000"/>
              </w:rPr>
              <w:t>Načrtujemo izvedbo dveh operacij:</w:t>
            </w:r>
          </w:p>
          <w:p w14:paraId="5B0A1614" w14:textId="77777777" w:rsidR="00A77B3E" w:rsidRDefault="00EE0419">
            <w:pPr>
              <w:numPr>
                <w:ilvl w:val="0"/>
                <w:numId w:val="3"/>
              </w:numPr>
              <w:spacing w:before="100"/>
              <w:rPr>
                <w:color w:val="000000"/>
              </w:rPr>
            </w:pPr>
            <w:r>
              <w:rPr>
                <w:color w:val="000000"/>
              </w:rPr>
              <w:t>Zagotavljanje supervizije za strokovne sodelavce s področja sprejema: Supervizijo bomo uporabljali kot eno izmed strokovnih metod pri socialnih delavcih, kjer izmenjajo svoje izkušnje s ciljno skupino in si izmenjajo mnenja, kako v določenih situacijah postopati.</w:t>
            </w:r>
          </w:p>
          <w:p w14:paraId="2CFDD8D4" w14:textId="77777777" w:rsidR="00A77B3E" w:rsidRDefault="00EE0419">
            <w:pPr>
              <w:numPr>
                <w:ilvl w:val="0"/>
                <w:numId w:val="3"/>
              </w:numPr>
              <w:spacing w:before="100"/>
              <w:rPr>
                <w:color w:val="000000"/>
              </w:rPr>
            </w:pPr>
            <w:r>
              <w:rPr>
                <w:color w:val="000000"/>
              </w:rPr>
              <w:t>Študijski obiski strokovnih delavcev s področja sprejema migrantov z namenom prenosa dobrih praks: Namen študijskih obiskov je obiskati države, ki imajo bolj izpopolnjen sistem sprejema migrantov in daljšo tradicijo na tem področju, z namenom prenosa dobrih praks v naš sistem.</w:t>
            </w:r>
          </w:p>
          <w:p w14:paraId="21741582" w14:textId="77777777" w:rsidR="00A77B3E" w:rsidRDefault="00A77B3E">
            <w:pPr>
              <w:spacing w:before="100"/>
              <w:rPr>
                <w:color w:val="000000"/>
              </w:rPr>
            </w:pPr>
          </w:p>
          <w:p w14:paraId="7D69E38E" w14:textId="77777777" w:rsidR="00A77B3E" w:rsidRPr="00857B1D" w:rsidRDefault="00EE0419">
            <w:pPr>
              <w:spacing w:before="100"/>
              <w:rPr>
                <w:color w:val="000000"/>
                <w:lang w:val="it-IT"/>
              </w:rPr>
            </w:pPr>
            <w:r>
              <w:rPr>
                <w:color w:val="000000"/>
              </w:rPr>
              <w:t xml:space="preserve">Posebno pozornost je potrebno nameniti čedalje številčnejši ranljivi skupini mladoletnikov brez spremstva. V letu 2019 je bilo nastanjenih 670 mladoletnikov brez spremstva v Dijaškem domu Postojna in Azilnem domu oz. njegovi izpostavi, v letu 2020 pa je bilo nastanjenih 550 mladoletnikov brez spremstva. </w:t>
            </w:r>
            <w:r w:rsidRPr="00857B1D">
              <w:rPr>
                <w:color w:val="000000"/>
                <w:lang w:val="it-IT"/>
              </w:rPr>
              <w:t>Skladno s tem načrtujemo povečanje nastanitvenih kapacitet za 45 postelj (90% fin.).</w:t>
            </w:r>
          </w:p>
          <w:p w14:paraId="624BBBCA" w14:textId="77777777" w:rsidR="00A77B3E" w:rsidRPr="00857B1D" w:rsidRDefault="00A77B3E">
            <w:pPr>
              <w:spacing w:before="100"/>
              <w:rPr>
                <w:color w:val="000000"/>
                <w:lang w:val="it-IT"/>
              </w:rPr>
            </w:pPr>
          </w:p>
          <w:p w14:paraId="0E70224E" w14:textId="77777777" w:rsidR="00A77B3E" w:rsidRPr="00857B1D" w:rsidRDefault="00EE0419">
            <w:pPr>
              <w:spacing w:before="100"/>
              <w:rPr>
                <w:color w:val="000000"/>
                <w:lang w:val="it-IT"/>
              </w:rPr>
            </w:pPr>
            <w:r w:rsidRPr="00857B1D">
              <w:rPr>
                <w:color w:val="000000"/>
                <w:lang w:val="it-IT"/>
              </w:rPr>
              <w:t>Za mladoletnike brez spremstva je potrebno zagotoviti ustrezno nastanitev glede na ugotovljeno stopnjo ranljivosti posameznika.</w:t>
            </w:r>
          </w:p>
          <w:p w14:paraId="7EE0CFB7" w14:textId="77777777" w:rsidR="00A77B3E" w:rsidRPr="00857B1D" w:rsidRDefault="00A77B3E">
            <w:pPr>
              <w:spacing w:before="100"/>
              <w:rPr>
                <w:color w:val="000000"/>
                <w:lang w:val="it-IT"/>
              </w:rPr>
            </w:pPr>
          </w:p>
          <w:p w14:paraId="118DA754" w14:textId="77777777" w:rsidR="00A77B3E" w:rsidRDefault="00EE0419">
            <w:pPr>
              <w:spacing w:before="100"/>
              <w:rPr>
                <w:color w:val="000000"/>
              </w:rPr>
            </w:pPr>
            <w:r w:rsidRPr="00857B1D">
              <w:rPr>
                <w:color w:val="000000"/>
                <w:lang w:val="it-IT"/>
              </w:rPr>
              <w:t xml:space="preserve">Poleg tega je zaznati porast primerov oseb s težavami v duševnem zdravju, posebnimi potrebami in žrtev različnih zlorab. Potrebno je opolnomočenje in vzpodbujanje oseb k aktivnemu premagovanju težav, travm in soočanju z različnimi osebnimi okoliščinami. </w:t>
            </w:r>
            <w:r>
              <w:rPr>
                <w:color w:val="000000"/>
              </w:rPr>
              <w:t>Predlagane aktivnosti so:</w:t>
            </w:r>
          </w:p>
          <w:p w14:paraId="02590122" w14:textId="77777777" w:rsidR="00A77B3E" w:rsidRPr="00857B1D" w:rsidRDefault="00EE0419">
            <w:pPr>
              <w:numPr>
                <w:ilvl w:val="0"/>
                <w:numId w:val="4"/>
              </w:numPr>
              <w:spacing w:before="100"/>
              <w:rPr>
                <w:color w:val="000000"/>
                <w:lang w:val="it-IT"/>
              </w:rPr>
            </w:pPr>
            <w:r w:rsidRPr="00857B1D">
              <w:rPr>
                <w:color w:val="000000"/>
                <w:lang w:val="it-IT"/>
              </w:rPr>
              <w:t>Zagotavljanje ustrezne specialistične in druge strokovne obravnave (psihiater in druga ustrezna strokovna podpora). </w:t>
            </w:r>
          </w:p>
          <w:p w14:paraId="2B8D30FF" w14:textId="77777777" w:rsidR="00A77B3E" w:rsidRPr="00857B1D" w:rsidRDefault="00EE0419">
            <w:pPr>
              <w:numPr>
                <w:ilvl w:val="0"/>
                <w:numId w:val="4"/>
              </w:numPr>
              <w:spacing w:before="100"/>
              <w:rPr>
                <w:color w:val="000000"/>
                <w:lang w:val="it-IT"/>
              </w:rPr>
            </w:pPr>
            <w:r w:rsidRPr="00857B1D">
              <w:rPr>
                <w:color w:val="000000"/>
                <w:lang w:val="it-IT"/>
              </w:rPr>
              <w:t>Programi finančne pomoči za zagotavljanje ustrezne nastanitve za prosilce, ki so razseljeni v inštitucije. </w:t>
            </w:r>
          </w:p>
          <w:p w14:paraId="629D7097" w14:textId="77777777" w:rsidR="00A77B3E" w:rsidRPr="00857B1D" w:rsidRDefault="00EE0419">
            <w:pPr>
              <w:numPr>
                <w:ilvl w:val="0"/>
                <w:numId w:val="4"/>
              </w:numPr>
              <w:spacing w:before="100"/>
              <w:rPr>
                <w:color w:val="000000"/>
                <w:lang w:val="it-IT"/>
              </w:rPr>
            </w:pPr>
            <w:r w:rsidRPr="00857B1D">
              <w:rPr>
                <w:color w:val="000000"/>
                <w:lang w:val="it-IT"/>
              </w:rPr>
              <w:t>Vzpostavitev različnih programov in mehanizmov pomoči, prilagojenih potrebam posameznika. Mednje štejemo program opismenjevanja in zagotavljanje učne pomoči otrokom, program informiranja in osveščanja (potencialnih) žrtev trgovine z ljudmi, spolnega nasilja ali nasilja po spolu, ki bo obsegal tudi aktivnosti za preprečevanje različnih vrst nasilja, zgodnja identifikacija za napotitev na specializirane storitve pomoči in zaščite, usposabljanje interesne javnosti ter vodenje, koordinacijo in administrativno delo delovne skupine, ki je imenovana na podlagi Standardnih operativnih postopkov za preprečevanje in urejanje v primerih spolnega nasilja in nasilja na podlagi spola nad osebami, ki so obravnavane po določbah ZMZ, programe v podporo in opolnomočenje ženskam in različne aktivnosti za mladoletnike.</w:t>
            </w:r>
          </w:p>
          <w:p w14:paraId="4CF54C69" w14:textId="77777777" w:rsidR="00A77B3E" w:rsidRPr="00857B1D" w:rsidRDefault="00EE0419">
            <w:pPr>
              <w:numPr>
                <w:ilvl w:val="0"/>
                <w:numId w:val="4"/>
              </w:numPr>
              <w:spacing w:before="100"/>
              <w:rPr>
                <w:color w:val="000000"/>
                <w:lang w:val="it-IT"/>
              </w:rPr>
            </w:pPr>
            <w:r w:rsidRPr="00857B1D">
              <w:rPr>
                <w:color w:val="000000"/>
                <w:lang w:val="it-IT"/>
              </w:rPr>
              <w:t>Zagotovitev izvajanja 24-urne oskrbe otrok mlajših otrok v starosti do 10 let v kriznih centrih (90% fin.).</w:t>
            </w:r>
          </w:p>
          <w:p w14:paraId="79814623" w14:textId="77777777" w:rsidR="00A77B3E" w:rsidRPr="00857B1D" w:rsidRDefault="00A77B3E">
            <w:pPr>
              <w:spacing w:before="100"/>
              <w:rPr>
                <w:color w:val="000000"/>
                <w:lang w:val="it-IT"/>
              </w:rPr>
            </w:pPr>
          </w:p>
          <w:p w14:paraId="352D1C66" w14:textId="77777777" w:rsidR="00A77B3E" w:rsidRPr="00857B1D" w:rsidRDefault="00EE0419">
            <w:pPr>
              <w:spacing w:before="100"/>
              <w:rPr>
                <w:color w:val="000000"/>
                <w:lang w:val="it-IT"/>
              </w:rPr>
            </w:pPr>
            <w:r w:rsidRPr="00857B1D">
              <w:rPr>
                <w:color w:val="000000"/>
                <w:lang w:val="it-IT"/>
              </w:rPr>
              <w:t xml:space="preserve">3) </w:t>
            </w:r>
            <w:r w:rsidRPr="00857B1D">
              <w:rPr>
                <w:color w:val="000000"/>
                <w:u w:val="single"/>
                <w:lang w:val="it-IT"/>
              </w:rPr>
              <w:t>Operativna podpora:</w:t>
            </w:r>
          </w:p>
          <w:p w14:paraId="1EA73C04" w14:textId="77777777" w:rsidR="00A77B3E" w:rsidRPr="00857B1D" w:rsidRDefault="00A77B3E">
            <w:pPr>
              <w:spacing w:before="100"/>
              <w:rPr>
                <w:color w:val="000000"/>
                <w:lang w:val="it-IT"/>
              </w:rPr>
            </w:pPr>
          </w:p>
          <w:p w14:paraId="10B61975" w14:textId="77777777" w:rsidR="00A77B3E" w:rsidRPr="00857B1D" w:rsidRDefault="00EE0419">
            <w:pPr>
              <w:spacing w:before="100"/>
              <w:rPr>
                <w:color w:val="000000"/>
                <w:lang w:val="it-IT"/>
              </w:rPr>
            </w:pPr>
            <w:r w:rsidRPr="00857B1D">
              <w:rPr>
                <w:color w:val="000000"/>
                <w:lang w:val="it-IT"/>
              </w:rPr>
              <w:t>Na podlagi Zakona o spremembah in dopolnitvah ZMZ, ki določa temeljna načela in jamstva v postopkih mednarodne zaščite, postopek za priznanje, podaljšanje in odvzem mednarodne zaščite, trajanje in vsebino mednarodne zaščite ter obseg pravic in dolžnosti prosilcev za mednarodno zaščito, sta MNZ in UOIM pristojna organa, ki po tem zakonu izvajata postopke mednarodne zaščite in vse aktivnosti povezane s prosilci. Operativna podpora v okviru SO1 vezano na okrepitev in razvoj vseh vidikov skupnega evropskega azilnega sistema zajema stroške zaposlenih, stroške storitev, kot je vzdrževanje ali zamenjava opreme ter stroške storitev, kot sta vzdrževanje in popravilo infrastrukture.</w:t>
            </w:r>
          </w:p>
          <w:p w14:paraId="34FB533A" w14:textId="77777777" w:rsidR="00A77B3E" w:rsidRPr="00857B1D" w:rsidRDefault="00A77B3E">
            <w:pPr>
              <w:spacing w:before="100"/>
              <w:rPr>
                <w:color w:val="000000"/>
                <w:lang w:val="it-IT"/>
              </w:rPr>
            </w:pPr>
          </w:p>
          <w:p w14:paraId="28B4BAFA" w14:textId="77777777" w:rsidR="00A77B3E" w:rsidRPr="00857B1D" w:rsidRDefault="00EE0419">
            <w:pPr>
              <w:spacing w:before="100"/>
              <w:rPr>
                <w:color w:val="000000"/>
                <w:lang w:val="it-IT"/>
              </w:rPr>
            </w:pPr>
            <w:r w:rsidRPr="00857B1D">
              <w:rPr>
                <w:color w:val="000000"/>
                <w:lang w:val="it-IT"/>
              </w:rPr>
              <w:lastRenderedPageBreak/>
              <w:t>Stroški MNZ, vezani na postopek sprejema in obravnave prošenj za mednarodno zaščito sovzdrževanje/popravilo obstoječe infrastrukture, kot na primer vzdrževanje sob za zaslišanje, dublinskega oddelka in zamenjava opreme, ki je potrebna v procesu sprejema prošenj za mednarodno zaščito, vse do izdaje odločitve v postopku mednarodne zaščite, med drugim pridobitev sodobnejših tiskalnikov izkaznic za prosilce za mednarodno zaščito, oprema za dublinski oddelek, oprema za odvzem prstnih odtisov, ipd.</w:t>
            </w:r>
          </w:p>
          <w:p w14:paraId="3875D9AB" w14:textId="77777777" w:rsidR="00A77B3E" w:rsidRPr="00857B1D" w:rsidRDefault="00A77B3E">
            <w:pPr>
              <w:spacing w:before="100"/>
              <w:rPr>
                <w:color w:val="000000"/>
                <w:lang w:val="it-IT"/>
              </w:rPr>
            </w:pPr>
          </w:p>
          <w:p w14:paraId="1C2C4E97" w14:textId="77777777" w:rsidR="00A77B3E" w:rsidRPr="00857B1D" w:rsidRDefault="00EE0419">
            <w:pPr>
              <w:spacing w:before="100"/>
              <w:rPr>
                <w:color w:val="000000"/>
                <w:lang w:val="it-IT"/>
              </w:rPr>
            </w:pPr>
            <w:r w:rsidRPr="00857B1D">
              <w:rPr>
                <w:color w:val="000000"/>
                <w:lang w:val="it-IT"/>
              </w:rPr>
              <w:t>Stroški UOIM pa bodo vezani na stroške zaposlenih, ki so v neposrednem stiku s prosilci (npr. socialni delavci). Na ta način se bo zagotovilo nemoteno koriščenje sredstev iz sklada. Poleg tega v azilnih domovih zaradi razmeroma hitrih sprememb nastanjenih oseb prihaja do pogostega dotrajanja in občasno tudi uničenja opreme ter okvar, povezanih z vzdrževanjem infrastrukture. Iz naslova operativne podpore nameravamo kriti tudi tiste stroške, ki jih konkretneje vnaprej ni mogoče predvideti, vendar so nujni za zagotavljanje ustreznih nastanitvenih pogojev.</w:t>
            </w:r>
          </w:p>
          <w:p w14:paraId="6ACFA5AF" w14:textId="77777777" w:rsidR="00A77B3E" w:rsidRPr="00857B1D" w:rsidRDefault="00A77B3E">
            <w:pPr>
              <w:spacing w:before="100"/>
              <w:rPr>
                <w:color w:val="000000"/>
                <w:lang w:val="it-IT"/>
              </w:rPr>
            </w:pPr>
          </w:p>
        </w:tc>
      </w:tr>
    </w:tbl>
    <w:p w14:paraId="0CFF6565" w14:textId="77777777" w:rsidR="00A77B3E" w:rsidRPr="00857B1D" w:rsidRDefault="00A77B3E">
      <w:pPr>
        <w:spacing w:before="100"/>
        <w:rPr>
          <w:color w:val="000000"/>
          <w:lang w:val="it-IT"/>
        </w:rPr>
        <w:sectPr w:rsidR="00A77B3E" w:rsidRPr="00857B1D">
          <w:headerReference w:type="even" r:id="rId19"/>
          <w:headerReference w:type="default" r:id="rId20"/>
          <w:footerReference w:type="even" r:id="rId21"/>
          <w:footerReference w:type="default" r:id="rId22"/>
          <w:headerReference w:type="first" r:id="rId23"/>
          <w:footerReference w:type="first" r:id="rId24"/>
          <w:pgSz w:w="11906" w:h="16838"/>
          <w:pgMar w:top="720" w:right="936" w:bottom="864" w:left="720" w:header="0" w:footer="72" w:gutter="0"/>
          <w:cols w:space="720"/>
          <w:noEndnote/>
          <w:docGrid w:linePitch="360"/>
        </w:sectPr>
      </w:pPr>
    </w:p>
    <w:p w14:paraId="3CE18AB0" w14:textId="77777777" w:rsidR="00A77B3E" w:rsidRPr="00857B1D" w:rsidRDefault="00EE0419">
      <w:pPr>
        <w:spacing w:before="100"/>
        <w:rPr>
          <w:color w:val="000000"/>
          <w:lang w:val="it-IT"/>
        </w:rPr>
      </w:pPr>
      <w:r w:rsidRPr="00857B1D">
        <w:rPr>
          <w:color w:val="000000"/>
          <w:lang w:val="it-IT"/>
        </w:rPr>
        <w:lastRenderedPageBreak/>
        <w:t>2.1. Specifični cilj 1. Skupni evropski azilni sistem</w:t>
      </w:r>
    </w:p>
    <w:p w14:paraId="33926837" w14:textId="77777777" w:rsidR="00A77B3E" w:rsidRPr="00857B1D" w:rsidRDefault="00EE0419">
      <w:pPr>
        <w:pStyle w:val="Naslov3"/>
        <w:spacing w:before="100" w:after="0"/>
        <w:rPr>
          <w:rFonts w:ascii="Times New Roman" w:hAnsi="Times New Roman" w:cs="Times New Roman"/>
          <w:b w:val="0"/>
          <w:color w:val="000000"/>
          <w:sz w:val="24"/>
          <w:lang w:val="it-IT"/>
        </w:rPr>
      </w:pPr>
      <w:bookmarkStart w:id="4" w:name="_Toc256000069"/>
      <w:r w:rsidRPr="00857B1D">
        <w:rPr>
          <w:rFonts w:ascii="Times New Roman" w:hAnsi="Times New Roman" w:cs="Times New Roman"/>
          <w:b w:val="0"/>
          <w:color w:val="000000"/>
          <w:sz w:val="24"/>
          <w:lang w:val="it-IT"/>
        </w:rPr>
        <w:t>2.1.2. Kazalniki</w:t>
      </w:r>
      <w:bookmarkEnd w:id="4"/>
    </w:p>
    <w:p w14:paraId="12B4DD80" w14:textId="77777777" w:rsidR="00A77B3E" w:rsidRPr="00857B1D" w:rsidRDefault="00EE0419">
      <w:pPr>
        <w:spacing w:before="100"/>
        <w:rPr>
          <w:color w:val="000000"/>
          <w:sz w:val="12"/>
          <w:lang w:val="it-IT"/>
        </w:rPr>
      </w:pPr>
      <w:r w:rsidRPr="00857B1D">
        <w:rPr>
          <w:color w:val="000000"/>
          <w:lang w:val="it-IT"/>
        </w:rPr>
        <w:t>Sklic: člen 22(4)(e) uredbe o skupnih določbah</w:t>
      </w:r>
    </w:p>
    <w:p w14:paraId="3FA230F8" w14:textId="77777777" w:rsidR="00A77B3E" w:rsidRDefault="00EE0419">
      <w:pPr>
        <w:pStyle w:val="Naslov4"/>
        <w:spacing w:before="100" w:after="0"/>
        <w:rPr>
          <w:b w:val="0"/>
          <w:color w:val="000000"/>
          <w:sz w:val="24"/>
        </w:rPr>
      </w:pPr>
      <w:bookmarkStart w:id="5" w:name="_Toc256000070"/>
      <w:r>
        <w:rPr>
          <w:b w:val="0"/>
          <w:color w:val="000000"/>
          <w:sz w:val="24"/>
        </w:rPr>
        <w:t>Tabela 1: Kazalniki učinka</w:t>
      </w:r>
      <w:bookmarkEnd w:id="5"/>
    </w:p>
    <w:p w14:paraId="4C3D802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0561"/>
        <w:gridCol w:w="1204"/>
        <w:gridCol w:w="1282"/>
        <w:gridCol w:w="1005"/>
      </w:tblGrid>
      <w:tr w:rsidR="00EC4D24" w14:paraId="07AD4DA8"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69F46A" w14:textId="77777777" w:rsidR="00A77B3E" w:rsidRDefault="00EE0419">
            <w:pPr>
              <w:spacing w:before="100"/>
              <w:jc w:val="center"/>
              <w:rPr>
                <w:color w:val="000000"/>
                <w:sz w:val="20"/>
              </w:rPr>
            </w:pPr>
            <w:r>
              <w:rPr>
                <w:color w:val="000000"/>
                <w:sz w:val="20"/>
              </w:rPr>
              <w:t>Identifikator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D272B4" w14:textId="77777777" w:rsidR="00A77B3E" w:rsidRDefault="00EE0419">
            <w:pPr>
              <w:spacing w:before="100"/>
              <w:jc w:val="center"/>
              <w:rPr>
                <w:color w:val="000000"/>
                <w:sz w:val="20"/>
              </w:rPr>
            </w:pPr>
            <w:r>
              <w:rPr>
                <w:color w:val="000000"/>
                <w:sz w:val="20"/>
              </w:rPr>
              <w:t>Kazalnik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874852" w14:textId="77777777" w:rsidR="00A77B3E" w:rsidRDefault="00EE0419">
            <w:pPr>
              <w:spacing w:before="100"/>
              <w:jc w:val="center"/>
              <w:rPr>
                <w:color w:val="000000"/>
                <w:sz w:val="20"/>
              </w:rPr>
            </w:pPr>
            <w:r>
              <w:rPr>
                <w:color w:val="000000"/>
                <w:sz w:val="20"/>
              </w:rPr>
              <w:t>Merska enota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EE3F0B" w14:textId="77777777" w:rsidR="00A77B3E" w:rsidRDefault="00EE0419">
            <w:pPr>
              <w:spacing w:before="100"/>
              <w:jc w:val="center"/>
              <w:rPr>
                <w:color w:val="000000"/>
                <w:sz w:val="20"/>
              </w:rPr>
            </w:pPr>
            <w:r>
              <w:rPr>
                <w:color w:val="000000"/>
                <w:sz w:val="20"/>
              </w:rPr>
              <w:t>Mejnik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F546E3" w14:textId="77777777" w:rsidR="00A77B3E" w:rsidRDefault="00EE0419">
            <w:pPr>
              <w:spacing w:before="100"/>
              <w:jc w:val="center"/>
              <w:rPr>
                <w:color w:val="000000"/>
                <w:sz w:val="20"/>
              </w:rPr>
            </w:pPr>
            <w:r>
              <w:rPr>
                <w:color w:val="000000"/>
                <w:sz w:val="20"/>
              </w:rPr>
              <w:t>Cilj (2029)</w:t>
            </w:r>
          </w:p>
        </w:tc>
      </w:tr>
      <w:tr w:rsidR="00EC4D24" w14:paraId="2DBA5EA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88DBAF" w14:textId="77777777" w:rsidR="00A77B3E" w:rsidRDefault="00EE0419">
            <w:pPr>
              <w:spacing w:before="100"/>
              <w:rPr>
                <w:color w:val="000000"/>
                <w:sz w:val="20"/>
              </w:rPr>
            </w:pPr>
            <w:r>
              <w:rPr>
                <w:color w:val="000000"/>
                <w:sz w:val="20"/>
              </w:rPr>
              <w:t>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607E27" w14:textId="77777777" w:rsidR="00A77B3E" w:rsidRPr="00857B1D" w:rsidRDefault="00EE0419">
            <w:pPr>
              <w:spacing w:before="100"/>
              <w:rPr>
                <w:color w:val="000000"/>
                <w:sz w:val="20"/>
                <w:lang w:val="it-IT"/>
              </w:rPr>
            </w:pPr>
            <w:r w:rsidRPr="00857B1D">
              <w:rPr>
                <w:color w:val="000000"/>
                <w:sz w:val="20"/>
                <w:lang w:val="it-IT"/>
              </w:rPr>
              <w:t>Število udeležencev, ki so prejeli podporo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D44CC6"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922106" w14:textId="77777777" w:rsidR="00A77B3E" w:rsidRDefault="00EE0419">
            <w:pPr>
              <w:spacing w:before="100"/>
              <w:jc w:val="right"/>
              <w:rPr>
                <w:color w:val="000000"/>
                <w:sz w:val="20"/>
              </w:rPr>
            </w:pPr>
            <w:r>
              <w:rPr>
                <w:color w:val="000000"/>
                <w:sz w:val="20"/>
              </w:rPr>
              <w:t>10.644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099587" w14:textId="77777777" w:rsidR="00A77B3E" w:rsidRDefault="00EE0419">
            <w:pPr>
              <w:spacing w:before="100"/>
              <w:jc w:val="right"/>
              <w:rPr>
                <w:color w:val="000000"/>
                <w:sz w:val="20"/>
              </w:rPr>
            </w:pPr>
            <w:r>
              <w:rPr>
                <w:color w:val="000000"/>
                <w:sz w:val="20"/>
              </w:rPr>
              <w:t>17.740</w:t>
            </w:r>
          </w:p>
        </w:tc>
      </w:tr>
      <w:tr w:rsidR="00EC4D24" w14:paraId="59B2823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CDAA7E" w14:textId="77777777" w:rsidR="00A77B3E" w:rsidRDefault="00EE0419">
            <w:pPr>
              <w:spacing w:before="100"/>
              <w:rPr>
                <w:color w:val="000000"/>
                <w:sz w:val="20"/>
              </w:rPr>
            </w:pPr>
            <w:r>
              <w:rPr>
                <w:color w:val="000000"/>
                <w:sz w:val="20"/>
              </w:rPr>
              <w:t>O.1.1.1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1299B6" w14:textId="77777777" w:rsidR="00A77B3E" w:rsidRPr="00857B1D" w:rsidRDefault="00EE0419">
            <w:pPr>
              <w:spacing w:before="100"/>
              <w:rPr>
                <w:color w:val="000000"/>
                <w:sz w:val="20"/>
                <w:lang w:val="it-IT"/>
              </w:rPr>
            </w:pPr>
            <w:r w:rsidRPr="00857B1D">
              <w:rPr>
                <w:color w:val="000000"/>
                <w:sz w:val="20"/>
                <w:lang w:val="it-IT"/>
              </w:rPr>
              <w:t>od tega število udeležencev, ki so prejeli pravno pomoč</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9FB136"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5E3324" w14:textId="77777777" w:rsidR="00A77B3E" w:rsidRDefault="00EE0419">
            <w:pPr>
              <w:spacing w:before="100"/>
              <w:jc w:val="right"/>
              <w:rPr>
                <w:color w:val="000000"/>
                <w:sz w:val="20"/>
              </w:rPr>
            </w:pPr>
            <w:r>
              <w:rPr>
                <w:color w:val="000000"/>
                <w:sz w:val="20"/>
              </w:rPr>
              <w:t>10.644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DCD3B4" w14:textId="77777777" w:rsidR="00A77B3E" w:rsidRDefault="00EE0419">
            <w:pPr>
              <w:spacing w:before="100"/>
              <w:jc w:val="right"/>
              <w:rPr>
                <w:color w:val="000000"/>
                <w:sz w:val="20"/>
              </w:rPr>
            </w:pPr>
            <w:r>
              <w:rPr>
                <w:color w:val="000000"/>
                <w:sz w:val="20"/>
              </w:rPr>
              <w:t>17.740</w:t>
            </w:r>
          </w:p>
        </w:tc>
      </w:tr>
      <w:tr w:rsidR="00EC4D24" w14:paraId="562AA26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3B8D45" w14:textId="77777777" w:rsidR="00A77B3E" w:rsidRDefault="00EE0419">
            <w:pPr>
              <w:spacing w:before="100"/>
              <w:rPr>
                <w:color w:val="000000"/>
                <w:sz w:val="20"/>
              </w:rPr>
            </w:pPr>
            <w:r>
              <w:rPr>
                <w:color w:val="000000"/>
                <w:sz w:val="20"/>
              </w:rPr>
              <w:t>O.1.1.2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A7567F" w14:textId="77777777" w:rsidR="00A77B3E" w:rsidRDefault="00EE0419">
            <w:pPr>
              <w:spacing w:before="100"/>
              <w:rPr>
                <w:color w:val="000000"/>
                <w:sz w:val="20"/>
              </w:rPr>
            </w:pPr>
            <w:r>
              <w:rPr>
                <w:color w:val="000000"/>
                <w:sz w:val="20"/>
              </w:rPr>
              <w:t>od tega število udeležencev, ki prejemajo druge vrste podpore, vključno z informacijami in pomočjo v celotnem azilnem postopku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AE3C72"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51DA6C" w14:textId="77777777" w:rsidR="00A77B3E" w:rsidRDefault="00EE0419">
            <w:pPr>
              <w:spacing w:before="100"/>
              <w:jc w:val="right"/>
              <w:rPr>
                <w:color w:val="000000"/>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35487C" w14:textId="77777777" w:rsidR="00A77B3E" w:rsidRDefault="00EE0419">
            <w:pPr>
              <w:spacing w:before="100"/>
              <w:jc w:val="right"/>
              <w:rPr>
                <w:color w:val="000000"/>
                <w:sz w:val="20"/>
              </w:rPr>
            </w:pPr>
            <w:r>
              <w:rPr>
                <w:color w:val="000000"/>
                <w:sz w:val="20"/>
              </w:rPr>
              <w:t>0</w:t>
            </w:r>
          </w:p>
        </w:tc>
      </w:tr>
      <w:tr w:rsidR="00EC4D24" w14:paraId="02FECC3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A60039" w14:textId="77777777" w:rsidR="00A77B3E" w:rsidRDefault="00EE0419">
            <w:pPr>
              <w:spacing w:before="100"/>
              <w:rPr>
                <w:color w:val="000000"/>
                <w:sz w:val="20"/>
              </w:rPr>
            </w:pPr>
            <w:r>
              <w:rPr>
                <w:color w:val="000000"/>
                <w:sz w:val="20"/>
              </w:rPr>
              <w:t>O.1.1.3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634F44" w14:textId="77777777" w:rsidR="00A77B3E" w:rsidRDefault="00EE0419">
            <w:pPr>
              <w:spacing w:before="100"/>
              <w:rPr>
                <w:color w:val="000000"/>
                <w:sz w:val="20"/>
              </w:rPr>
            </w:pPr>
            <w:r>
              <w:rPr>
                <w:color w:val="000000"/>
                <w:sz w:val="20"/>
              </w:rPr>
              <w:t>od tega število ranljivih udeležencev, ki so prejeli pomoč</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E4C542"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7061D9" w14:textId="77777777" w:rsidR="00A77B3E" w:rsidRDefault="00EE0419">
            <w:pPr>
              <w:spacing w:before="100"/>
              <w:jc w:val="right"/>
              <w:rPr>
                <w:color w:val="000000"/>
                <w:sz w:val="20"/>
              </w:rPr>
            </w:pPr>
            <w:r>
              <w:rPr>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6698C0" w14:textId="77777777" w:rsidR="00A77B3E" w:rsidRDefault="00EE0419">
            <w:pPr>
              <w:spacing w:before="100"/>
              <w:jc w:val="right"/>
              <w:rPr>
                <w:color w:val="000000"/>
                <w:sz w:val="20"/>
              </w:rPr>
            </w:pPr>
            <w:r>
              <w:rPr>
                <w:color w:val="000000"/>
                <w:sz w:val="20"/>
              </w:rPr>
              <w:t>2.750</w:t>
            </w:r>
          </w:p>
        </w:tc>
      </w:tr>
      <w:tr w:rsidR="00EC4D24" w14:paraId="78E68FE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ECA130" w14:textId="77777777" w:rsidR="00A77B3E" w:rsidRDefault="00EE0419">
            <w:pPr>
              <w:spacing w:before="100"/>
              <w:rPr>
                <w:color w:val="000000"/>
                <w:sz w:val="20"/>
              </w:rPr>
            </w:pPr>
            <w:r>
              <w:rPr>
                <w:color w:val="000000"/>
                <w:sz w:val="20"/>
              </w:rPr>
              <w:t>O.1.2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F06E0E" w14:textId="77777777" w:rsidR="00A77B3E" w:rsidRDefault="00EE0419">
            <w:pPr>
              <w:spacing w:before="100"/>
              <w:rPr>
                <w:color w:val="000000"/>
                <w:sz w:val="20"/>
              </w:rPr>
            </w:pPr>
            <w:r>
              <w:rPr>
                <w:color w:val="000000"/>
                <w:sz w:val="20"/>
              </w:rPr>
              <w:t>Število udeležencev dejavnosti usposabljanja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BAE1B9"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724E37" w14:textId="77777777" w:rsidR="00A77B3E" w:rsidRDefault="00EE0419">
            <w:pPr>
              <w:spacing w:before="100"/>
              <w:jc w:val="right"/>
              <w:rPr>
                <w:color w:val="000000"/>
                <w:sz w:val="20"/>
              </w:rPr>
            </w:pPr>
            <w:r>
              <w:rPr>
                <w:color w:val="000000"/>
                <w:sz w:val="20"/>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2F413C" w14:textId="77777777" w:rsidR="00A77B3E" w:rsidRDefault="00EE0419">
            <w:pPr>
              <w:spacing w:before="100"/>
              <w:jc w:val="right"/>
              <w:rPr>
                <w:color w:val="000000"/>
                <w:sz w:val="20"/>
              </w:rPr>
            </w:pPr>
            <w:r>
              <w:rPr>
                <w:color w:val="000000"/>
                <w:sz w:val="20"/>
              </w:rPr>
              <w:t>80</w:t>
            </w:r>
          </w:p>
        </w:tc>
      </w:tr>
      <w:tr w:rsidR="00EC4D24" w14:paraId="448AC32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2BB3D0" w14:textId="77777777" w:rsidR="00A77B3E" w:rsidRDefault="00EE0419">
            <w:pPr>
              <w:spacing w:before="100"/>
              <w:rPr>
                <w:color w:val="000000"/>
                <w:sz w:val="20"/>
              </w:rPr>
            </w:pPr>
            <w:r>
              <w:rPr>
                <w:color w:val="000000"/>
                <w:sz w:val="20"/>
              </w:rPr>
              <w:t>O.1.3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9E0834" w14:textId="77777777" w:rsidR="00A77B3E" w:rsidRDefault="00EE0419">
            <w:pPr>
              <w:spacing w:before="100"/>
              <w:rPr>
                <w:color w:val="000000"/>
                <w:sz w:val="20"/>
              </w:rPr>
            </w:pPr>
            <w:r>
              <w:rPr>
                <w:color w:val="000000"/>
                <w:sz w:val="20"/>
              </w:rPr>
              <w:t>Število novo ustvarjenih mest v sprejemni infrastrukturi v skladu s pravnim redom Unije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ADA455"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862ADF" w14:textId="77777777" w:rsidR="00A77B3E" w:rsidRDefault="00EE0419">
            <w:pPr>
              <w:spacing w:before="100"/>
              <w:jc w:val="right"/>
              <w:rPr>
                <w:color w:val="000000"/>
                <w:sz w:val="20"/>
              </w:rPr>
            </w:pPr>
            <w:r>
              <w:rPr>
                <w:color w:val="000000"/>
                <w:sz w:val="20"/>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276642" w14:textId="77777777" w:rsidR="00A77B3E" w:rsidRDefault="00EE0419">
            <w:pPr>
              <w:spacing w:before="100"/>
              <w:jc w:val="right"/>
              <w:rPr>
                <w:color w:val="000000"/>
                <w:sz w:val="20"/>
              </w:rPr>
            </w:pPr>
            <w:r>
              <w:rPr>
                <w:color w:val="000000"/>
                <w:sz w:val="20"/>
              </w:rPr>
              <w:t>45</w:t>
            </w:r>
          </w:p>
        </w:tc>
      </w:tr>
      <w:tr w:rsidR="00EC4D24" w14:paraId="4D28ADB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6C719A" w14:textId="77777777" w:rsidR="00A77B3E" w:rsidRDefault="00EE0419">
            <w:pPr>
              <w:spacing w:before="100"/>
              <w:rPr>
                <w:color w:val="000000"/>
                <w:sz w:val="20"/>
              </w:rPr>
            </w:pPr>
            <w:r>
              <w:rPr>
                <w:color w:val="000000"/>
                <w:sz w:val="20"/>
              </w:rPr>
              <w:t>O.1.3.1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4EE5A7" w14:textId="77777777" w:rsidR="00A77B3E" w:rsidRDefault="00EE0419">
            <w:pPr>
              <w:spacing w:before="100"/>
              <w:rPr>
                <w:color w:val="000000"/>
                <w:sz w:val="20"/>
              </w:rPr>
            </w:pPr>
            <w:r>
              <w:rPr>
                <w:color w:val="000000"/>
                <w:sz w:val="20"/>
              </w:rPr>
              <w:t>od tega število novoustvarjenih mest za mladoletnike brez spremstva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CD2729"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643485" w14:textId="77777777" w:rsidR="00A77B3E" w:rsidRDefault="00EE0419">
            <w:pPr>
              <w:spacing w:before="100"/>
              <w:jc w:val="right"/>
              <w:rPr>
                <w:color w:val="000000"/>
                <w:sz w:val="20"/>
              </w:rPr>
            </w:pPr>
            <w:r>
              <w:rPr>
                <w:color w:val="000000"/>
                <w:sz w:val="20"/>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3FD059" w14:textId="77777777" w:rsidR="00A77B3E" w:rsidRDefault="00EE0419">
            <w:pPr>
              <w:spacing w:before="100"/>
              <w:jc w:val="right"/>
              <w:rPr>
                <w:color w:val="000000"/>
                <w:sz w:val="20"/>
              </w:rPr>
            </w:pPr>
            <w:r>
              <w:rPr>
                <w:color w:val="000000"/>
                <w:sz w:val="20"/>
              </w:rPr>
              <w:t>45</w:t>
            </w:r>
          </w:p>
        </w:tc>
      </w:tr>
      <w:tr w:rsidR="00EC4D24" w14:paraId="71DFC66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9E0979" w14:textId="77777777" w:rsidR="00A77B3E" w:rsidRDefault="00EE0419">
            <w:pPr>
              <w:spacing w:before="100"/>
              <w:rPr>
                <w:color w:val="000000"/>
                <w:sz w:val="20"/>
              </w:rPr>
            </w:pPr>
            <w:r>
              <w:rPr>
                <w:color w:val="000000"/>
                <w:sz w:val="20"/>
              </w:rPr>
              <w:t>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DE2A51" w14:textId="77777777" w:rsidR="00A77B3E" w:rsidRDefault="00EE0419">
            <w:pPr>
              <w:spacing w:before="100"/>
              <w:rPr>
                <w:color w:val="000000"/>
                <w:sz w:val="20"/>
              </w:rPr>
            </w:pPr>
            <w:r>
              <w:rPr>
                <w:color w:val="000000"/>
                <w:sz w:val="20"/>
              </w:rPr>
              <w:t>Število prenovljenih/obnovljenih mest v sprejemni infrastrukturi v skladu s pravnim redom Unije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0A4A93"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DBF1D8" w14:textId="77777777" w:rsidR="00A77B3E" w:rsidRDefault="00EE0419">
            <w:pPr>
              <w:spacing w:before="100"/>
              <w:jc w:val="right"/>
              <w:rPr>
                <w:color w:val="000000"/>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D9E2D4" w14:textId="77777777" w:rsidR="00A77B3E" w:rsidRDefault="00EE0419">
            <w:pPr>
              <w:spacing w:before="100"/>
              <w:jc w:val="right"/>
              <w:rPr>
                <w:color w:val="000000"/>
                <w:sz w:val="20"/>
              </w:rPr>
            </w:pPr>
            <w:r>
              <w:rPr>
                <w:color w:val="000000"/>
                <w:sz w:val="20"/>
              </w:rPr>
              <w:t>0</w:t>
            </w:r>
          </w:p>
        </w:tc>
      </w:tr>
      <w:tr w:rsidR="00EC4D24" w14:paraId="2AF1B8F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CBC3D3" w14:textId="77777777" w:rsidR="00A77B3E" w:rsidRDefault="00EE0419">
            <w:pPr>
              <w:spacing w:before="100"/>
              <w:rPr>
                <w:color w:val="000000"/>
                <w:sz w:val="20"/>
              </w:rPr>
            </w:pPr>
            <w:r>
              <w:rPr>
                <w:color w:val="000000"/>
                <w:sz w:val="20"/>
              </w:rPr>
              <w:t>O.1.4.1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243E1C" w14:textId="77777777" w:rsidR="00A77B3E" w:rsidRDefault="00EE0419">
            <w:pPr>
              <w:spacing w:before="100"/>
              <w:rPr>
                <w:color w:val="000000"/>
                <w:sz w:val="20"/>
              </w:rPr>
            </w:pPr>
            <w:r>
              <w:rPr>
                <w:color w:val="000000"/>
                <w:sz w:val="20"/>
              </w:rPr>
              <w:t>od tega število prenovljenih/obnovljenih mest za mladoletnike brez spremstva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6F8473"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39062B" w14:textId="77777777" w:rsidR="00A77B3E" w:rsidRDefault="00EE0419">
            <w:pPr>
              <w:spacing w:before="100"/>
              <w:jc w:val="right"/>
              <w:rPr>
                <w:color w:val="000000"/>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AE8A06" w14:textId="77777777" w:rsidR="00A77B3E" w:rsidRDefault="00EE0419">
            <w:pPr>
              <w:spacing w:before="100"/>
              <w:jc w:val="right"/>
              <w:rPr>
                <w:color w:val="000000"/>
                <w:sz w:val="20"/>
              </w:rPr>
            </w:pPr>
            <w:r>
              <w:rPr>
                <w:color w:val="000000"/>
                <w:sz w:val="20"/>
              </w:rPr>
              <w:t>0</w:t>
            </w:r>
          </w:p>
        </w:tc>
      </w:tr>
    </w:tbl>
    <w:p w14:paraId="1651725D" w14:textId="77777777" w:rsidR="00A77B3E" w:rsidRPr="00857B1D" w:rsidRDefault="00EE0419">
      <w:pPr>
        <w:spacing w:before="100"/>
        <w:rPr>
          <w:color w:val="000000"/>
          <w:lang w:val="it-IT"/>
        </w:rPr>
      </w:pPr>
      <w:r w:rsidRPr="00857B1D">
        <w:rPr>
          <w:color w:val="000000"/>
          <w:sz w:val="20"/>
          <w:lang w:val="it-IT"/>
        </w:rPr>
        <w:br w:type="page"/>
      </w:r>
      <w:r w:rsidRPr="00857B1D">
        <w:rPr>
          <w:color w:val="000000"/>
          <w:lang w:val="it-IT"/>
        </w:rPr>
        <w:lastRenderedPageBreak/>
        <w:t>2.1. Specifični cilj 1. Skupni evropski azilni sistem</w:t>
      </w:r>
    </w:p>
    <w:p w14:paraId="4D9D07B7" w14:textId="77777777" w:rsidR="00A77B3E" w:rsidRPr="00857B1D" w:rsidRDefault="00EE0419">
      <w:pPr>
        <w:spacing w:before="100"/>
        <w:rPr>
          <w:color w:val="000000"/>
          <w:sz w:val="0"/>
          <w:lang w:val="it-IT"/>
        </w:rPr>
      </w:pPr>
      <w:r w:rsidRPr="00857B1D">
        <w:rPr>
          <w:color w:val="000000"/>
          <w:lang w:val="it-IT"/>
        </w:rPr>
        <w:t>2.1.2. Kazalniki</w:t>
      </w:r>
    </w:p>
    <w:p w14:paraId="1C3DDE96" w14:textId="77777777" w:rsidR="00A77B3E" w:rsidRPr="00857B1D" w:rsidRDefault="00EE0419">
      <w:pPr>
        <w:spacing w:before="100"/>
        <w:rPr>
          <w:color w:val="000000"/>
          <w:sz w:val="12"/>
          <w:lang w:val="it-IT"/>
        </w:rPr>
      </w:pPr>
      <w:r w:rsidRPr="00857B1D">
        <w:rPr>
          <w:color w:val="000000"/>
          <w:lang w:val="it-IT"/>
        </w:rPr>
        <w:t>Sklic: člen 22(4)(e) uredbe o skupnih določbah</w:t>
      </w:r>
    </w:p>
    <w:p w14:paraId="0C90D193" w14:textId="77777777" w:rsidR="00A77B3E" w:rsidRDefault="00EE0419">
      <w:pPr>
        <w:pStyle w:val="Naslov4"/>
        <w:spacing w:before="100" w:after="0"/>
        <w:rPr>
          <w:b w:val="0"/>
          <w:color w:val="000000"/>
          <w:sz w:val="24"/>
        </w:rPr>
      </w:pPr>
      <w:bookmarkStart w:id="6" w:name="_Toc256000071"/>
      <w:r>
        <w:rPr>
          <w:b w:val="0"/>
          <w:color w:val="000000"/>
          <w:sz w:val="24"/>
        </w:rPr>
        <w:t>Tabela 2: Kazalniki rezultatov</w:t>
      </w:r>
      <w:bookmarkEnd w:id="6"/>
    </w:p>
    <w:p w14:paraId="2AC4A6E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76"/>
        <w:gridCol w:w="1517"/>
        <w:gridCol w:w="1517"/>
        <w:gridCol w:w="1517"/>
        <w:gridCol w:w="1517"/>
        <w:gridCol w:w="1517"/>
        <w:gridCol w:w="1517"/>
        <w:gridCol w:w="1517"/>
        <w:gridCol w:w="1517"/>
      </w:tblGrid>
      <w:tr w:rsidR="00EC4D24" w14:paraId="251058BF" w14:textId="77777777">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43D617" w14:textId="77777777" w:rsidR="00A77B3E" w:rsidRDefault="00EE0419">
            <w:pPr>
              <w:spacing w:before="100"/>
              <w:jc w:val="center"/>
              <w:rPr>
                <w:color w:val="000000"/>
                <w:sz w:val="20"/>
              </w:rPr>
            </w:pPr>
            <w:r>
              <w:rPr>
                <w:color w:val="000000"/>
                <w:sz w:val="20"/>
              </w:rPr>
              <w:t>Identifikator</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7918F5" w14:textId="77777777" w:rsidR="00A77B3E" w:rsidRDefault="00EE0419">
            <w:pPr>
              <w:spacing w:before="100"/>
              <w:jc w:val="center"/>
              <w:rPr>
                <w:color w:val="000000"/>
                <w:sz w:val="20"/>
              </w:rPr>
            </w:pPr>
            <w:r>
              <w:rPr>
                <w:color w:val="000000"/>
                <w:sz w:val="20"/>
              </w:rPr>
              <w:t>Kazalnik</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BF385D" w14:textId="77777777" w:rsidR="00A77B3E" w:rsidRDefault="00EE0419">
            <w:pPr>
              <w:spacing w:before="100"/>
              <w:jc w:val="center"/>
              <w:rPr>
                <w:color w:val="000000"/>
                <w:sz w:val="20"/>
              </w:rPr>
            </w:pPr>
            <w:r>
              <w:rPr>
                <w:color w:val="000000"/>
                <w:sz w:val="20"/>
              </w:rPr>
              <w:t>Merska enota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E1F497" w14:textId="77777777" w:rsidR="00A77B3E" w:rsidRDefault="00EE0419">
            <w:pPr>
              <w:spacing w:before="100"/>
              <w:jc w:val="center"/>
              <w:rPr>
                <w:color w:val="000000"/>
                <w:sz w:val="20"/>
              </w:rPr>
            </w:pPr>
            <w:r>
              <w:rPr>
                <w:color w:val="000000"/>
                <w:sz w:val="20"/>
              </w:rPr>
              <w:t>Izhodišče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713685" w14:textId="77777777" w:rsidR="00A77B3E" w:rsidRDefault="00EE0419">
            <w:pPr>
              <w:spacing w:before="100"/>
              <w:jc w:val="center"/>
              <w:rPr>
                <w:color w:val="000000"/>
                <w:sz w:val="20"/>
              </w:rPr>
            </w:pPr>
            <w:r>
              <w:rPr>
                <w:color w:val="000000"/>
                <w:sz w:val="20"/>
              </w:rPr>
              <w:t>Merska enota za izhodišče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457B35" w14:textId="77777777" w:rsidR="00A77B3E" w:rsidRDefault="00EE0419">
            <w:pPr>
              <w:spacing w:before="100"/>
              <w:jc w:val="center"/>
              <w:rPr>
                <w:color w:val="000000"/>
                <w:sz w:val="20"/>
              </w:rPr>
            </w:pPr>
            <w:r>
              <w:rPr>
                <w:color w:val="000000"/>
                <w:sz w:val="20"/>
              </w:rPr>
              <w:t>Referenčna leta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9499DD" w14:textId="77777777" w:rsidR="00A77B3E" w:rsidRDefault="00EE0419">
            <w:pPr>
              <w:spacing w:before="100"/>
              <w:jc w:val="center"/>
              <w:rPr>
                <w:color w:val="000000"/>
                <w:sz w:val="20"/>
              </w:rPr>
            </w:pPr>
            <w:r>
              <w:rPr>
                <w:color w:val="000000"/>
                <w:sz w:val="20"/>
              </w:rPr>
              <w:t>Cilj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DF858F" w14:textId="77777777" w:rsidR="00A77B3E" w:rsidRDefault="00EE0419">
            <w:pPr>
              <w:spacing w:before="100"/>
              <w:jc w:val="center"/>
              <w:rPr>
                <w:color w:val="000000"/>
                <w:sz w:val="20"/>
              </w:rPr>
            </w:pPr>
            <w:r>
              <w:rPr>
                <w:color w:val="000000"/>
                <w:sz w:val="20"/>
              </w:rPr>
              <w:t>Merska enota za cilj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13835C" w14:textId="77777777" w:rsidR="00A77B3E" w:rsidRDefault="00EE0419">
            <w:pPr>
              <w:spacing w:before="100"/>
              <w:jc w:val="center"/>
              <w:rPr>
                <w:color w:val="000000"/>
                <w:sz w:val="20"/>
              </w:rPr>
            </w:pPr>
            <w:r>
              <w:rPr>
                <w:color w:val="000000"/>
                <w:sz w:val="20"/>
              </w:rPr>
              <w:t>Vir podatkov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A3340B" w14:textId="77777777" w:rsidR="00A77B3E" w:rsidRDefault="00EE0419">
            <w:pPr>
              <w:spacing w:before="100"/>
              <w:rPr>
                <w:color w:val="000000"/>
                <w:sz w:val="20"/>
              </w:rPr>
            </w:pPr>
            <w:r>
              <w:rPr>
                <w:color w:val="000000"/>
                <w:sz w:val="20"/>
              </w:rPr>
              <w:t>Opombe</w:t>
            </w:r>
          </w:p>
        </w:tc>
      </w:tr>
      <w:tr w:rsidR="00EC4D24" w14:paraId="71560370"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296D8D" w14:textId="77777777" w:rsidR="00A77B3E" w:rsidRDefault="00EE0419">
            <w:pPr>
              <w:spacing w:before="100"/>
              <w:rPr>
                <w:color w:val="000000"/>
                <w:sz w:val="20"/>
              </w:rPr>
            </w:pPr>
            <w:r>
              <w:rPr>
                <w:color w:val="000000"/>
                <w:sz w:val="20"/>
              </w:rPr>
              <w:t>R.1.5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5CB614" w14:textId="77777777" w:rsidR="00A77B3E" w:rsidRDefault="00EE0419">
            <w:pPr>
              <w:spacing w:before="100"/>
              <w:rPr>
                <w:color w:val="000000"/>
                <w:sz w:val="20"/>
              </w:rPr>
            </w:pPr>
            <w:r>
              <w:rPr>
                <w:color w:val="000000"/>
                <w:sz w:val="20"/>
              </w:rPr>
              <w:t>Število udeležencev, ki menijo, da je usposabljanje koristno za njihovo delo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C200D8"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A747BF" w14:textId="77777777" w:rsidR="00A77B3E" w:rsidRDefault="00EE0419">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7825BA" w14:textId="77777777" w:rsidR="00A77B3E" w:rsidRDefault="00EE0419">
            <w:pPr>
              <w:spacing w:before="100"/>
              <w:rPr>
                <w:color w:val="000000"/>
                <w:sz w:val="20"/>
              </w:rPr>
            </w:pPr>
            <w:r>
              <w:rPr>
                <w:color w:val="000000"/>
                <w:sz w:val="20"/>
              </w:rPr>
              <w:t>delež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4C4B61" w14:textId="77777777" w:rsidR="00A77B3E" w:rsidRDefault="00EE0419">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F496FD" w14:textId="77777777" w:rsidR="00A77B3E" w:rsidRDefault="00EE0419">
            <w:pPr>
              <w:spacing w:before="100"/>
              <w:jc w:val="center"/>
              <w:rPr>
                <w:color w:val="000000"/>
                <w:sz w:val="20"/>
              </w:rPr>
            </w:pPr>
            <w:r>
              <w:rPr>
                <w:color w:val="000000"/>
                <w:sz w:val="20"/>
              </w:rPr>
              <w:t>60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513E13"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C75AC2" w14:textId="77777777" w:rsidR="00A77B3E" w:rsidRDefault="00EE0419">
            <w:pPr>
              <w:spacing w:before="100"/>
              <w:rPr>
                <w:color w:val="000000"/>
                <w:sz w:val="20"/>
              </w:rPr>
            </w:pPr>
            <w:r>
              <w:rPr>
                <w:color w:val="000000"/>
                <w:sz w:val="20"/>
              </w:rPr>
              <w:t>Rezultati ankete, ki jih na koncu usposabljanja oz. izobraževanja izpolnijo udeleženci; interne evidence UOIM.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F1A7FA" w14:textId="77777777" w:rsidR="00A77B3E" w:rsidRDefault="00A77B3E">
            <w:pPr>
              <w:spacing w:before="100"/>
              <w:rPr>
                <w:color w:val="000000"/>
                <w:sz w:val="20"/>
              </w:rPr>
            </w:pPr>
          </w:p>
          <w:p w14:paraId="74C62A69" w14:textId="77777777" w:rsidR="00A77B3E" w:rsidRDefault="00A77B3E">
            <w:pPr>
              <w:spacing w:before="100"/>
              <w:rPr>
                <w:color w:val="000000"/>
                <w:sz w:val="20"/>
              </w:rPr>
            </w:pPr>
          </w:p>
        </w:tc>
      </w:tr>
      <w:tr w:rsidR="00EC4D24" w14:paraId="28AF6059"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CEE54A" w14:textId="77777777" w:rsidR="00A77B3E" w:rsidRDefault="00EE0419">
            <w:pPr>
              <w:spacing w:before="100"/>
              <w:rPr>
                <w:color w:val="000000"/>
                <w:sz w:val="20"/>
              </w:rPr>
            </w:pPr>
            <w:r>
              <w:rPr>
                <w:color w:val="000000"/>
                <w:sz w:val="20"/>
              </w:rPr>
              <w:t>R.1.6</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3EF644" w14:textId="77777777" w:rsidR="00A77B3E" w:rsidRDefault="00EE0419">
            <w:pPr>
              <w:spacing w:before="100"/>
              <w:rPr>
                <w:color w:val="000000"/>
                <w:sz w:val="20"/>
              </w:rPr>
            </w:pPr>
            <w:r>
              <w:rPr>
                <w:color w:val="000000"/>
                <w:sz w:val="20"/>
              </w:rPr>
              <w:t>Število udeležencev, ki tri mesece po usposabljanju poročajo, da uporabljajo spretnosti in kompetence, pridobljene med usposabljanjem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7A52E3"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CAB38B" w14:textId="77777777" w:rsidR="00A77B3E" w:rsidRDefault="00EE0419">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56B69C" w14:textId="77777777" w:rsidR="00A77B3E" w:rsidRDefault="00EE0419">
            <w:pPr>
              <w:spacing w:before="100"/>
              <w:rPr>
                <w:color w:val="000000"/>
                <w:sz w:val="20"/>
              </w:rPr>
            </w:pPr>
            <w:r>
              <w:rPr>
                <w:color w:val="000000"/>
                <w:sz w:val="20"/>
              </w:rPr>
              <w:t>delež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A853B8" w14:textId="77777777" w:rsidR="00A77B3E" w:rsidRDefault="00EE0419">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A0738A" w14:textId="77777777" w:rsidR="00A77B3E" w:rsidRDefault="00EE0419">
            <w:pPr>
              <w:spacing w:before="100"/>
              <w:jc w:val="center"/>
              <w:rPr>
                <w:color w:val="000000"/>
                <w:sz w:val="20"/>
              </w:rPr>
            </w:pPr>
            <w:r>
              <w:rPr>
                <w:color w:val="000000"/>
                <w:sz w:val="20"/>
              </w:rPr>
              <w:t>60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7D49BA"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82412E" w14:textId="77777777" w:rsidR="00A77B3E" w:rsidRDefault="00EE0419">
            <w:pPr>
              <w:spacing w:before="100"/>
              <w:rPr>
                <w:color w:val="000000"/>
                <w:sz w:val="20"/>
              </w:rPr>
            </w:pPr>
            <w:r>
              <w:rPr>
                <w:color w:val="000000"/>
                <w:sz w:val="20"/>
              </w:rPr>
              <w:t>Rezultati ankete, ki jih na koncu usposabljanja oz. izobraževanja izpolnijo udeleženci; interne evidence UOIM.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0B6F08" w14:textId="77777777" w:rsidR="00A77B3E" w:rsidRDefault="00A77B3E">
            <w:pPr>
              <w:spacing w:before="100"/>
              <w:rPr>
                <w:color w:val="000000"/>
                <w:sz w:val="20"/>
              </w:rPr>
            </w:pPr>
          </w:p>
        </w:tc>
      </w:tr>
      <w:tr w:rsidR="00EC4D24" w:rsidRPr="00857B1D" w14:paraId="1E56A77F"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0FF306" w14:textId="77777777" w:rsidR="00A77B3E" w:rsidRDefault="00EE0419">
            <w:pPr>
              <w:spacing w:before="100"/>
              <w:rPr>
                <w:color w:val="000000"/>
                <w:sz w:val="20"/>
              </w:rPr>
            </w:pPr>
            <w:r>
              <w:rPr>
                <w:color w:val="000000"/>
                <w:sz w:val="20"/>
              </w:rPr>
              <w:t>R.1.7</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EB0BF6" w14:textId="77777777" w:rsidR="00A77B3E" w:rsidRPr="00857B1D" w:rsidRDefault="00EE0419">
            <w:pPr>
              <w:spacing w:before="100"/>
              <w:rPr>
                <w:color w:val="000000"/>
                <w:sz w:val="20"/>
                <w:lang w:val="it-IT"/>
              </w:rPr>
            </w:pPr>
            <w:r w:rsidRPr="00857B1D">
              <w:rPr>
                <w:color w:val="000000"/>
                <w:sz w:val="20"/>
                <w:lang w:val="it-IT"/>
              </w:rPr>
              <w:t>Število oseb, za katere so se uporabile alternative pridržanju</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36D408"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70ED74" w14:textId="77777777" w:rsidR="00A77B3E" w:rsidRDefault="00EE0419">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525DF9"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EBE355" w14:textId="77777777" w:rsidR="00A77B3E" w:rsidRDefault="00EE0419">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7D37D4" w14:textId="77777777" w:rsidR="00A77B3E" w:rsidRDefault="00EE0419">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D394E8"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0480C4" w14:textId="77777777" w:rsidR="00A77B3E" w:rsidRPr="00857B1D" w:rsidRDefault="00EE0419">
            <w:pPr>
              <w:spacing w:before="100"/>
              <w:rPr>
                <w:color w:val="000000"/>
                <w:sz w:val="20"/>
                <w:lang w:val="it-IT"/>
              </w:rPr>
            </w:pPr>
            <w:r w:rsidRPr="00857B1D">
              <w:rPr>
                <w:color w:val="000000"/>
                <w:sz w:val="20"/>
                <w:lang w:val="it-IT"/>
              </w:rPr>
              <w:t>Interne evidence in letna poročila Centra za tujce.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CCBC0A" w14:textId="77777777" w:rsidR="00A77B3E" w:rsidRPr="00857B1D" w:rsidRDefault="00A77B3E">
            <w:pPr>
              <w:spacing w:before="100"/>
              <w:rPr>
                <w:color w:val="000000"/>
                <w:sz w:val="20"/>
                <w:lang w:val="it-IT"/>
              </w:rPr>
            </w:pPr>
          </w:p>
        </w:tc>
      </w:tr>
      <w:tr w:rsidR="00EC4D24" w:rsidRPr="00857B1D" w14:paraId="75717C67"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648122" w14:textId="77777777" w:rsidR="00A77B3E" w:rsidRDefault="00EE0419">
            <w:pPr>
              <w:spacing w:before="100"/>
              <w:rPr>
                <w:color w:val="000000"/>
                <w:sz w:val="20"/>
              </w:rPr>
            </w:pPr>
            <w:r>
              <w:rPr>
                <w:color w:val="000000"/>
                <w:sz w:val="20"/>
              </w:rPr>
              <w:t>R.1.7.1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BAF8EE" w14:textId="77777777" w:rsidR="00A77B3E" w:rsidRPr="00857B1D" w:rsidRDefault="00EE0419">
            <w:pPr>
              <w:spacing w:before="100"/>
              <w:rPr>
                <w:color w:val="000000"/>
                <w:sz w:val="20"/>
                <w:lang w:val="it-IT"/>
              </w:rPr>
            </w:pPr>
            <w:r w:rsidRPr="00857B1D">
              <w:rPr>
                <w:color w:val="000000"/>
                <w:sz w:val="20"/>
                <w:lang w:val="it-IT"/>
              </w:rPr>
              <w:t>od tega število mladoletnikov brez spremstva, za katere so se uporabile alternative pridržanju</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EC7471"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3BCC72" w14:textId="77777777" w:rsidR="00A77B3E" w:rsidRDefault="00EE0419">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1F107F"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C8C53B" w14:textId="77777777" w:rsidR="00A77B3E" w:rsidRDefault="00EE0419">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435442" w14:textId="77777777" w:rsidR="00A77B3E" w:rsidRDefault="00EE0419">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042A10"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CE8998" w14:textId="77777777" w:rsidR="00A77B3E" w:rsidRPr="00857B1D" w:rsidRDefault="00EE0419">
            <w:pPr>
              <w:spacing w:before="100"/>
              <w:rPr>
                <w:color w:val="000000"/>
                <w:sz w:val="20"/>
                <w:lang w:val="it-IT"/>
              </w:rPr>
            </w:pPr>
            <w:r w:rsidRPr="00857B1D">
              <w:rPr>
                <w:color w:val="000000"/>
                <w:sz w:val="20"/>
                <w:lang w:val="it-IT"/>
              </w:rPr>
              <w:t>Interne evidence in letna poročila Centra za tujce.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8167A1" w14:textId="77777777" w:rsidR="00A77B3E" w:rsidRPr="00857B1D" w:rsidRDefault="00A77B3E">
            <w:pPr>
              <w:spacing w:before="100"/>
              <w:rPr>
                <w:color w:val="000000"/>
                <w:sz w:val="20"/>
                <w:lang w:val="it-IT"/>
              </w:rPr>
            </w:pPr>
          </w:p>
        </w:tc>
      </w:tr>
      <w:tr w:rsidR="00EC4D24" w:rsidRPr="00857B1D" w14:paraId="3F186FC4"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BE716F" w14:textId="77777777" w:rsidR="00A77B3E" w:rsidRDefault="00EE0419">
            <w:pPr>
              <w:spacing w:before="100"/>
              <w:rPr>
                <w:color w:val="000000"/>
                <w:sz w:val="20"/>
              </w:rPr>
            </w:pPr>
            <w:r>
              <w:rPr>
                <w:color w:val="000000"/>
                <w:sz w:val="20"/>
              </w:rPr>
              <w:t>R.1.7.2</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126619" w14:textId="77777777" w:rsidR="00A77B3E" w:rsidRPr="00857B1D" w:rsidRDefault="00EE0419">
            <w:pPr>
              <w:spacing w:before="100"/>
              <w:rPr>
                <w:color w:val="000000"/>
                <w:sz w:val="20"/>
                <w:lang w:val="it-IT"/>
              </w:rPr>
            </w:pPr>
            <w:r w:rsidRPr="00857B1D">
              <w:rPr>
                <w:color w:val="000000"/>
                <w:sz w:val="20"/>
                <w:lang w:val="it-IT"/>
              </w:rPr>
              <w:t>od tega število družin, za katere so se uporabile alternative pridržanju</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E39E75"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42AC05" w14:textId="77777777" w:rsidR="00A77B3E" w:rsidRDefault="00EE0419">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CE1A87"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DC774C" w14:textId="77777777" w:rsidR="00A77B3E" w:rsidRDefault="00EE0419">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D978AD" w14:textId="77777777" w:rsidR="00A77B3E" w:rsidRDefault="00EE0419">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F7450F"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2143D6" w14:textId="77777777" w:rsidR="00A77B3E" w:rsidRPr="00857B1D" w:rsidRDefault="00EE0419">
            <w:pPr>
              <w:spacing w:before="100"/>
              <w:rPr>
                <w:color w:val="000000"/>
                <w:sz w:val="20"/>
                <w:lang w:val="it-IT"/>
              </w:rPr>
            </w:pPr>
            <w:r w:rsidRPr="00857B1D">
              <w:rPr>
                <w:color w:val="000000"/>
                <w:sz w:val="20"/>
                <w:lang w:val="it-IT"/>
              </w:rPr>
              <w:t>Interne evidence in letna poročila Centra za tujce.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345E74" w14:textId="77777777" w:rsidR="00A77B3E" w:rsidRPr="00857B1D" w:rsidRDefault="00A77B3E">
            <w:pPr>
              <w:spacing w:before="100"/>
              <w:rPr>
                <w:color w:val="000000"/>
                <w:sz w:val="20"/>
                <w:lang w:val="it-IT"/>
              </w:rPr>
            </w:pPr>
          </w:p>
        </w:tc>
      </w:tr>
    </w:tbl>
    <w:p w14:paraId="27849410" w14:textId="77777777" w:rsidR="00A77B3E" w:rsidRPr="00857B1D" w:rsidRDefault="00A77B3E">
      <w:pPr>
        <w:spacing w:before="100"/>
        <w:rPr>
          <w:color w:val="000000"/>
          <w:sz w:val="20"/>
          <w:lang w:val="it-IT"/>
        </w:rPr>
        <w:sectPr w:rsidR="00A77B3E" w:rsidRPr="00857B1D">
          <w:headerReference w:type="even" r:id="rId25"/>
          <w:headerReference w:type="default" r:id="rId26"/>
          <w:footerReference w:type="even" r:id="rId27"/>
          <w:footerReference w:type="default" r:id="rId28"/>
          <w:headerReference w:type="first" r:id="rId29"/>
          <w:footerReference w:type="first" r:id="rId30"/>
          <w:pgSz w:w="16838" w:h="11906" w:orient="landscape"/>
          <w:pgMar w:top="720" w:right="720" w:bottom="864" w:left="936" w:header="288" w:footer="72" w:gutter="0"/>
          <w:cols w:space="720"/>
          <w:noEndnote/>
          <w:docGrid w:linePitch="360"/>
        </w:sectPr>
      </w:pPr>
    </w:p>
    <w:p w14:paraId="2430E5D5" w14:textId="77777777" w:rsidR="00A77B3E" w:rsidRPr="00857B1D" w:rsidRDefault="00EE0419">
      <w:pPr>
        <w:spacing w:before="100"/>
        <w:rPr>
          <w:color w:val="000000"/>
          <w:sz w:val="0"/>
          <w:lang w:val="it-IT"/>
        </w:rPr>
      </w:pPr>
      <w:r w:rsidRPr="00857B1D">
        <w:rPr>
          <w:color w:val="000000"/>
          <w:lang w:val="it-IT"/>
        </w:rPr>
        <w:lastRenderedPageBreak/>
        <w:t>2.1. Specifični cilj 1. Skupni evropski azilni sistem</w:t>
      </w:r>
    </w:p>
    <w:p w14:paraId="02EDE2D1" w14:textId="77777777" w:rsidR="00A77B3E" w:rsidRDefault="00EE0419">
      <w:pPr>
        <w:pStyle w:val="Naslov3"/>
        <w:spacing w:before="100" w:after="0"/>
        <w:rPr>
          <w:rFonts w:ascii="Times New Roman" w:hAnsi="Times New Roman" w:cs="Times New Roman"/>
          <w:b w:val="0"/>
          <w:color w:val="000000"/>
          <w:sz w:val="24"/>
        </w:rPr>
      </w:pPr>
      <w:bookmarkStart w:id="7" w:name="_Toc256000072"/>
      <w:r>
        <w:rPr>
          <w:rFonts w:ascii="Times New Roman" w:hAnsi="Times New Roman" w:cs="Times New Roman"/>
          <w:b w:val="0"/>
          <w:color w:val="000000"/>
          <w:sz w:val="24"/>
        </w:rPr>
        <w:t>2.1.3. Okvirna razčlenitev programskih sredstev (EU) po vrsti ukrepa</w:t>
      </w:r>
      <w:bookmarkEnd w:id="7"/>
    </w:p>
    <w:p w14:paraId="7B231582" w14:textId="77777777" w:rsidR="00A77B3E" w:rsidRDefault="00EE0419">
      <w:pPr>
        <w:spacing w:before="100"/>
        <w:rPr>
          <w:color w:val="000000"/>
        </w:rPr>
      </w:pPr>
      <w:r>
        <w:rPr>
          <w:color w:val="000000"/>
        </w:rPr>
        <w:t>Sklic: člen 22(5) uredbe o skupnih določbah, člen 16(2) uredbe o AMIF, člen 13(12) uredbe o SNV ali člen 13(18) uredbe o IUMV</w:t>
      </w:r>
    </w:p>
    <w:p w14:paraId="0BFD152B" w14:textId="77777777" w:rsidR="00A77B3E" w:rsidRDefault="00EE0419">
      <w:pPr>
        <w:pStyle w:val="Naslov4"/>
        <w:spacing w:before="100" w:after="0"/>
        <w:rPr>
          <w:b w:val="0"/>
          <w:color w:val="000000"/>
          <w:sz w:val="24"/>
        </w:rPr>
      </w:pPr>
      <w:bookmarkStart w:id="8" w:name="_Toc256000073"/>
      <w:r>
        <w:rPr>
          <w:b w:val="0"/>
          <w:color w:val="000000"/>
          <w:sz w:val="24"/>
        </w:rPr>
        <w:t>Tabela 3: Okvirna razčlenitev</w:t>
      </w:r>
      <w:bookmarkEnd w:id="8"/>
    </w:p>
    <w:p w14:paraId="0721BD4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10781"/>
        <w:gridCol w:w="2334"/>
      </w:tblGrid>
      <w:tr w:rsidR="00EC4D24" w14:paraId="2317D292"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664E04" w14:textId="77777777" w:rsidR="00A77B3E" w:rsidRDefault="00EE0419">
            <w:pPr>
              <w:spacing w:before="100"/>
              <w:rPr>
                <w:color w:val="000000"/>
                <w:sz w:val="20"/>
              </w:rPr>
            </w:pPr>
            <w:r>
              <w:rPr>
                <w:color w:val="000000"/>
                <w:sz w:val="20"/>
              </w:rPr>
              <w:t>Vrsta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CBBC67" w14:textId="77777777" w:rsidR="00A77B3E" w:rsidRDefault="00EE0419">
            <w:pPr>
              <w:spacing w:before="100"/>
              <w:rPr>
                <w:color w:val="000000"/>
                <w:sz w:val="20"/>
              </w:rPr>
            </w:pPr>
            <w:r>
              <w:rPr>
                <w:color w:val="000000"/>
                <w:sz w:val="20"/>
              </w:rPr>
              <w:t>Oznaka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07AA29" w14:textId="77777777" w:rsidR="00A77B3E" w:rsidRDefault="00EE0419">
            <w:pPr>
              <w:spacing w:before="100"/>
              <w:jc w:val="right"/>
              <w:rPr>
                <w:color w:val="000000"/>
                <w:sz w:val="20"/>
              </w:rPr>
            </w:pPr>
            <w:r>
              <w:rPr>
                <w:color w:val="000000"/>
                <w:sz w:val="20"/>
              </w:rPr>
              <w:t>Okvirni znesek (v EUR)</w:t>
            </w:r>
          </w:p>
        </w:tc>
      </w:tr>
      <w:tr w:rsidR="00EC4D24" w14:paraId="144C860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F5DF30"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801E75" w14:textId="77777777" w:rsidR="00A77B3E" w:rsidRDefault="00EE0419">
            <w:pPr>
              <w:spacing w:before="100"/>
              <w:rPr>
                <w:color w:val="000000"/>
                <w:sz w:val="20"/>
              </w:rPr>
            </w:pPr>
            <w:r>
              <w:rPr>
                <w:color w:val="000000"/>
                <w:sz w:val="20"/>
              </w:rPr>
              <w:t>001.Pogoji za sprejem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1D6F88" w14:textId="77777777" w:rsidR="00A77B3E" w:rsidRDefault="00EE0419" w:rsidP="003F6B0F">
            <w:pPr>
              <w:spacing w:before="100"/>
              <w:jc w:val="right"/>
              <w:rPr>
                <w:color w:val="000000"/>
                <w:sz w:val="20"/>
              </w:rPr>
            </w:pPr>
            <w:r w:rsidRPr="00857B1D">
              <w:rPr>
                <w:color w:val="000000"/>
                <w:sz w:val="20"/>
              </w:rPr>
              <w:t>4.</w:t>
            </w:r>
            <w:r w:rsidR="003F6B0F" w:rsidRPr="00857B1D">
              <w:rPr>
                <w:color w:val="000000"/>
                <w:sz w:val="20"/>
              </w:rPr>
              <w:t>270</w:t>
            </w:r>
            <w:r w:rsidRPr="00857B1D">
              <w:rPr>
                <w:color w:val="000000"/>
                <w:sz w:val="20"/>
              </w:rPr>
              <w:t>.700,00</w:t>
            </w:r>
          </w:p>
        </w:tc>
      </w:tr>
      <w:tr w:rsidR="00EC4D24" w14:paraId="76533E8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BDA6C9"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B43F5E" w14:textId="77777777" w:rsidR="00A77B3E" w:rsidRDefault="00EE0419">
            <w:pPr>
              <w:spacing w:before="100"/>
              <w:rPr>
                <w:color w:val="000000"/>
                <w:sz w:val="20"/>
              </w:rPr>
            </w:pPr>
            <w:r>
              <w:rPr>
                <w:color w:val="000000"/>
                <w:sz w:val="20"/>
              </w:rPr>
              <w:t>002.Azilni postopki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EFC487" w14:textId="77777777" w:rsidR="00A77B3E" w:rsidRDefault="00EE0419">
            <w:pPr>
              <w:spacing w:before="100"/>
              <w:jc w:val="right"/>
              <w:rPr>
                <w:color w:val="000000"/>
                <w:sz w:val="20"/>
              </w:rPr>
            </w:pPr>
            <w:r>
              <w:rPr>
                <w:color w:val="000000"/>
                <w:sz w:val="20"/>
              </w:rPr>
              <w:t>2.733.530,00</w:t>
            </w:r>
          </w:p>
        </w:tc>
      </w:tr>
      <w:tr w:rsidR="00EC4D24" w14:paraId="6734842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93299E"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B08B69" w14:textId="77777777" w:rsidR="00A77B3E" w:rsidRDefault="00EE0419">
            <w:pPr>
              <w:spacing w:before="100"/>
              <w:rPr>
                <w:color w:val="000000"/>
                <w:sz w:val="20"/>
              </w:rPr>
            </w:pPr>
            <w:r>
              <w:rPr>
                <w:color w:val="000000"/>
                <w:sz w:val="20"/>
              </w:rPr>
              <w:t>003.Izvajanje pravnega reda Unije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E0FC1C" w14:textId="77777777" w:rsidR="00A77B3E" w:rsidRDefault="00EE0419">
            <w:pPr>
              <w:spacing w:before="100"/>
              <w:jc w:val="right"/>
              <w:rPr>
                <w:color w:val="000000"/>
                <w:sz w:val="20"/>
              </w:rPr>
            </w:pPr>
            <w:r>
              <w:rPr>
                <w:color w:val="000000"/>
                <w:sz w:val="20"/>
              </w:rPr>
              <w:t>35.000,00</w:t>
            </w:r>
          </w:p>
        </w:tc>
      </w:tr>
      <w:tr w:rsidR="00EC4D24" w14:paraId="78CEAD5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BEBF08"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B38135" w14:textId="77777777" w:rsidR="00A77B3E" w:rsidRDefault="00EE0419">
            <w:pPr>
              <w:spacing w:before="100"/>
              <w:rPr>
                <w:color w:val="000000"/>
                <w:sz w:val="20"/>
              </w:rPr>
            </w:pPr>
            <w:r>
              <w:rPr>
                <w:color w:val="000000"/>
                <w:sz w:val="20"/>
              </w:rPr>
              <w:t>004.Otroci v migracijah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7085EC" w14:textId="77777777" w:rsidR="00A77B3E" w:rsidRDefault="00EE0419">
            <w:pPr>
              <w:spacing w:before="100"/>
              <w:jc w:val="right"/>
              <w:rPr>
                <w:color w:val="000000"/>
                <w:sz w:val="20"/>
              </w:rPr>
            </w:pPr>
            <w:r>
              <w:rPr>
                <w:color w:val="000000"/>
                <w:sz w:val="20"/>
              </w:rPr>
              <w:t>7.770.000,00</w:t>
            </w:r>
          </w:p>
        </w:tc>
      </w:tr>
      <w:tr w:rsidR="00EC4D24" w14:paraId="2921105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DDA1BA"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92276C" w14:textId="77777777" w:rsidR="00A77B3E" w:rsidRPr="00857B1D" w:rsidRDefault="00EE0419">
            <w:pPr>
              <w:spacing w:before="100"/>
              <w:rPr>
                <w:color w:val="000000"/>
                <w:sz w:val="20"/>
                <w:lang w:val="it-IT"/>
              </w:rPr>
            </w:pPr>
            <w:r w:rsidRPr="00857B1D">
              <w:rPr>
                <w:color w:val="000000"/>
                <w:sz w:val="20"/>
                <w:lang w:val="it-IT"/>
              </w:rPr>
              <w:t>005.Osebe s posebnimi potrebami glede sprejema in postopkovnimi potrebami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FF45AF" w14:textId="77777777" w:rsidR="00A77B3E" w:rsidRDefault="00EE0419" w:rsidP="003F6B0F">
            <w:pPr>
              <w:spacing w:before="100"/>
              <w:jc w:val="right"/>
              <w:rPr>
                <w:color w:val="000000"/>
                <w:sz w:val="20"/>
              </w:rPr>
            </w:pPr>
            <w:r w:rsidRPr="00857B1D">
              <w:rPr>
                <w:color w:val="000000"/>
                <w:sz w:val="20"/>
              </w:rPr>
              <w:t>1.</w:t>
            </w:r>
            <w:r w:rsidR="003F6B0F" w:rsidRPr="00857B1D">
              <w:rPr>
                <w:color w:val="000000"/>
                <w:sz w:val="20"/>
              </w:rPr>
              <w:t>420</w:t>
            </w:r>
            <w:r w:rsidRPr="00857B1D">
              <w:rPr>
                <w:color w:val="000000"/>
                <w:sz w:val="20"/>
              </w:rPr>
              <w:t>.000,00</w:t>
            </w:r>
          </w:p>
        </w:tc>
      </w:tr>
      <w:tr w:rsidR="00EC4D24" w14:paraId="4BEB183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7C6AD6"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1B8B67" w14:textId="77777777" w:rsidR="00A77B3E" w:rsidRPr="00857B1D" w:rsidRDefault="00EE0419">
            <w:pPr>
              <w:spacing w:before="100"/>
              <w:rPr>
                <w:color w:val="000000"/>
                <w:sz w:val="20"/>
                <w:lang w:val="it-IT"/>
              </w:rPr>
            </w:pPr>
            <w:r w:rsidRPr="00857B1D">
              <w:rPr>
                <w:color w:val="000000"/>
                <w:sz w:val="20"/>
                <w:lang w:val="it-IT"/>
              </w:rPr>
              <w:t>006.Programi Unije za preselitev ali nacionalnimi sistemi za preselitev in humanitarni sprejem (točka 2(g) Priloge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BFCB68" w14:textId="77777777" w:rsidR="00A77B3E" w:rsidRDefault="00EE0419">
            <w:pPr>
              <w:spacing w:before="100"/>
              <w:jc w:val="right"/>
              <w:rPr>
                <w:color w:val="000000"/>
                <w:sz w:val="20"/>
              </w:rPr>
            </w:pPr>
            <w:r>
              <w:rPr>
                <w:color w:val="000000"/>
                <w:sz w:val="20"/>
              </w:rPr>
              <w:t>0,00</w:t>
            </w:r>
          </w:p>
        </w:tc>
      </w:tr>
      <w:tr w:rsidR="00EC4D24" w14:paraId="089BCC2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0CE21B"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4ADD68" w14:textId="77777777" w:rsidR="00A77B3E" w:rsidRDefault="00EE0419">
            <w:pPr>
              <w:spacing w:before="100"/>
              <w:rPr>
                <w:color w:val="000000"/>
                <w:sz w:val="20"/>
              </w:rPr>
            </w:pPr>
            <w:r>
              <w:rPr>
                <w:color w:val="000000"/>
                <w:sz w:val="20"/>
              </w:rPr>
              <w:t>007.Operativna podpora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1CB015" w14:textId="77777777" w:rsidR="00A77B3E" w:rsidRDefault="00EE0419">
            <w:pPr>
              <w:spacing w:before="100"/>
              <w:jc w:val="right"/>
              <w:rPr>
                <w:color w:val="000000"/>
                <w:sz w:val="20"/>
              </w:rPr>
            </w:pPr>
            <w:r>
              <w:rPr>
                <w:color w:val="000000"/>
                <w:sz w:val="20"/>
              </w:rPr>
              <w:t>1.530.000,00</w:t>
            </w:r>
          </w:p>
        </w:tc>
      </w:tr>
    </w:tbl>
    <w:p w14:paraId="5BF4BD2D" w14:textId="77777777" w:rsidR="00A77B3E" w:rsidRDefault="00A77B3E">
      <w:pPr>
        <w:spacing w:before="100"/>
        <w:rPr>
          <w:color w:val="000000"/>
          <w:sz w:val="20"/>
        </w:rPr>
        <w:sectPr w:rsidR="00A77B3E">
          <w:pgSz w:w="16838" w:h="11906" w:orient="landscape"/>
          <w:pgMar w:top="720" w:right="720" w:bottom="864" w:left="936" w:header="288" w:footer="72" w:gutter="0"/>
          <w:cols w:space="720"/>
          <w:noEndnote/>
          <w:docGrid w:linePitch="360"/>
        </w:sectPr>
      </w:pPr>
    </w:p>
    <w:p w14:paraId="570A5797" w14:textId="77777777" w:rsidR="00A77B3E" w:rsidRPr="00857B1D" w:rsidRDefault="00EE0419">
      <w:pPr>
        <w:pStyle w:val="Naslov2"/>
        <w:spacing w:before="100" w:after="0"/>
        <w:rPr>
          <w:rFonts w:ascii="Times New Roman" w:hAnsi="Times New Roman" w:cs="Times New Roman"/>
          <w:b w:val="0"/>
          <w:i w:val="0"/>
          <w:color w:val="000000"/>
          <w:sz w:val="24"/>
          <w:lang w:val="it-IT"/>
        </w:rPr>
      </w:pPr>
      <w:bookmarkStart w:id="9" w:name="_Toc256000074"/>
      <w:r w:rsidRPr="00857B1D">
        <w:rPr>
          <w:rFonts w:ascii="Times New Roman" w:hAnsi="Times New Roman" w:cs="Times New Roman"/>
          <w:b w:val="0"/>
          <w:i w:val="0"/>
          <w:color w:val="000000"/>
          <w:sz w:val="24"/>
          <w:lang w:val="it-IT"/>
        </w:rPr>
        <w:lastRenderedPageBreak/>
        <w:t>2.1. Specifični cilj: 2. Zakonite migracije in vključevanje</w:t>
      </w:r>
      <w:bookmarkEnd w:id="9"/>
    </w:p>
    <w:p w14:paraId="42CF1971" w14:textId="77777777" w:rsidR="00A77B3E" w:rsidRPr="00857B1D" w:rsidRDefault="00A77B3E">
      <w:pPr>
        <w:spacing w:before="100"/>
        <w:rPr>
          <w:color w:val="000000"/>
          <w:sz w:val="0"/>
          <w:lang w:val="it-IT"/>
        </w:rPr>
      </w:pPr>
    </w:p>
    <w:p w14:paraId="1E0FD8DF" w14:textId="77777777" w:rsidR="00A77B3E" w:rsidRDefault="00EE0419">
      <w:pPr>
        <w:pStyle w:val="Naslov3"/>
        <w:spacing w:before="100" w:after="0"/>
        <w:rPr>
          <w:rFonts w:ascii="Times New Roman" w:hAnsi="Times New Roman" w:cs="Times New Roman"/>
          <w:b w:val="0"/>
          <w:color w:val="000000"/>
          <w:sz w:val="24"/>
        </w:rPr>
      </w:pPr>
      <w:bookmarkStart w:id="10" w:name="_Toc256000075"/>
      <w:r>
        <w:rPr>
          <w:rFonts w:ascii="Times New Roman" w:hAnsi="Times New Roman" w:cs="Times New Roman"/>
          <w:b w:val="0"/>
          <w:color w:val="000000"/>
          <w:sz w:val="24"/>
        </w:rPr>
        <w:t>2.1.1. Opis specifičnega cilja</w:t>
      </w:r>
      <w:bookmarkEnd w:id="10"/>
    </w:p>
    <w:p w14:paraId="60FFAE2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C4D24" w:rsidRPr="00857B1D" w14:paraId="2700BE7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C96237" w14:textId="77777777" w:rsidR="00A77B3E" w:rsidRDefault="00A77B3E">
            <w:pPr>
              <w:spacing w:before="100"/>
              <w:rPr>
                <w:color w:val="000000"/>
                <w:sz w:val="0"/>
              </w:rPr>
            </w:pPr>
          </w:p>
          <w:p w14:paraId="07C9B379" w14:textId="77777777" w:rsidR="00A77B3E" w:rsidRDefault="00EE0419">
            <w:pPr>
              <w:spacing w:before="100"/>
              <w:rPr>
                <w:color w:val="000000"/>
              </w:rPr>
            </w:pPr>
            <w:r>
              <w:rPr>
                <w:color w:val="000000"/>
              </w:rPr>
              <w:t>Dejavnosti poskušajo osebam z mednarodno zaščito in DTD zagotoviti (lokalni) dostop do celostnega svetovanja in informacij o življenju in delu ter jih seznaniti z dolžnostmi in pričakovanji države gostiteljice To vključuje tudi ukrepe, ki bodo varovali enotni sistem priseljevanja v državah članicah Evropske unije. Skladno z Zakonom o začasni zaščiti razseljenih oseb bodo vključene tudi osebe s statusom začasne zaščite.</w:t>
            </w:r>
          </w:p>
          <w:p w14:paraId="5FF6D41D" w14:textId="77777777" w:rsidR="00A77B3E" w:rsidRDefault="00A77B3E">
            <w:pPr>
              <w:spacing w:before="100"/>
              <w:rPr>
                <w:color w:val="000000"/>
              </w:rPr>
            </w:pPr>
          </w:p>
          <w:p w14:paraId="1B344E5B" w14:textId="77777777" w:rsidR="00A77B3E" w:rsidRDefault="00EE0419">
            <w:pPr>
              <w:spacing w:before="100"/>
              <w:rPr>
                <w:color w:val="000000"/>
              </w:rPr>
            </w:pPr>
            <w:r>
              <w:rPr>
                <w:color w:val="000000"/>
              </w:rPr>
              <w:t>Splošne nacionalne prioritete, za katere Slovenija zagotavlja državno financiranje, so zagotavljanje delovanja sistema za upravljanje zakonitega priseljevanja in vključevanja DTD.</w:t>
            </w:r>
          </w:p>
          <w:p w14:paraId="40AEA92A" w14:textId="77777777" w:rsidR="00A77B3E" w:rsidRDefault="00A77B3E">
            <w:pPr>
              <w:spacing w:before="100"/>
              <w:rPr>
                <w:color w:val="000000"/>
              </w:rPr>
            </w:pPr>
          </w:p>
          <w:p w14:paraId="079C7B44" w14:textId="77777777" w:rsidR="00A77B3E" w:rsidRDefault="00EE0419">
            <w:pPr>
              <w:spacing w:before="100"/>
              <w:rPr>
                <w:color w:val="000000"/>
              </w:rPr>
            </w:pPr>
            <w:r>
              <w:rPr>
                <w:color w:val="000000"/>
              </w:rPr>
              <w:t>Glavni ukrepi, ki jih sofinancira AMIF, vključujejo stalno delovanje informacijske točke (www.infotujci.si) za DTD in osebe z mednarodno zaščito, ki zagotavlja dostop do vseh informacij o življenju in delu v Sloveniji, vključno s sodelovanjem z organizacijami in ustanovami, ki ponujajo pomoč pred odhodom v državah izvora ali tranzitnih državah.</w:t>
            </w:r>
          </w:p>
          <w:p w14:paraId="19318C5D" w14:textId="77777777" w:rsidR="00A77B3E" w:rsidRDefault="00A77B3E">
            <w:pPr>
              <w:spacing w:before="100"/>
              <w:rPr>
                <w:color w:val="000000"/>
              </w:rPr>
            </w:pPr>
          </w:p>
          <w:p w14:paraId="1CE28927" w14:textId="77777777" w:rsidR="00A77B3E" w:rsidRDefault="00EE0419">
            <w:pPr>
              <w:spacing w:before="100"/>
              <w:rPr>
                <w:color w:val="000000"/>
              </w:rPr>
            </w:pPr>
            <w:r>
              <w:rPr>
                <w:color w:val="000000"/>
              </w:rPr>
              <w:t>Vključevanje DTD in oseb z mednarodno zaščito je prioritetna naloga v skladu z evropsko agendo za vključevanje in se izvaja v okviru nacionalne politike, z dodatnim poudarkom na ranljivih ciljnih skupinah. Na podlagi Strategije Vlade RS na področju migracij, sprejete julija 2019, je Slovenija v okviru posebnega cilja SO2 določila svoje prednostne naloge v okviru spodaj navedenih ukrepov. UOIM je pristojen za nastanitev, oskrbo in vključevanje.</w:t>
            </w:r>
          </w:p>
          <w:p w14:paraId="39B46DF1" w14:textId="77777777" w:rsidR="00A77B3E" w:rsidRDefault="00A77B3E">
            <w:pPr>
              <w:spacing w:before="100"/>
              <w:rPr>
                <w:color w:val="000000"/>
              </w:rPr>
            </w:pPr>
          </w:p>
          <w:p w14:paraId="59EA890C" w14:textId="77777777" w:rsidR="00A77B3E" w:rsidRDefault="00EE0419">
            <w:pPr>
              <w:spacing w:before="100"/>
              <w:rPr>
                <w:color w:val="000000"/>
              </w:rPr>
            </w:pPr>
            <w:r>
              <w:rPr>
                <w:color w:val="000000"/>
              </w:rPr>
              <w:t>Sredstva AMIF predstavljajo le del sredstev za uresničevanje zastavljenih ciljev na področju integracije in zakonitih migracij. Ta delež za UOIM znaša 74%, preostala sredstva pa bodo zagotovljena iz nacionalnih proračunskih sredstev. Nacionalna proračunska sredstva bodo namenjena predvsem za plače zaposlenih UOIM ter za stroške, povezane z integracijskima hišama ter najetimi stanovanji za osebe z mednarodno zaščito.</w:t>
            </w:r>
          </w:p>
          <w:p w14:paraId="15986AAD" w14:textId="77777777" w:rsidR="00A77B3E" w:rsidRDefault="00A77B3E">
            <w:pPr>
              <w:spacing w:before="100"/>
              <w:rPr>
                <w:color w:val="000000"/>
              </w:rPr>
            </w:pPr>
          </w:p>
          <w:p w14:paraId="1341361C" w14:textId="77777777" w:rsidR="00A77B3E" w:rsidRDefault="00EE0419">
            <w:pPr>
              <w:spacing w:before="100"/>
              <w:rPr>
                <w:color w:val="000000"/>
              </w:rPr>
            </w:pPr>
            <w:r>
              <w:rPr>
                <w:color w:val="000000"/>
              </w:rPr>
              <w:t>Dolgoročni cilj Slovenije je vključenost DTD in oseb z mednarodno zaščito v vsa ključna področja življenja in dela. Ukrepi so usmerjeni k izboljšanju zavedanja splošne javnosti, organov in samih priseljencev o vprašanjih vključevanja ter k mednarodnem dialogu. Krepitev zmogljivosti je usmerjena k vzpostavitvi trajnostnega sodelovanja med pomembnimi deležniki, še zlasti z usposabljanji. Podpira se izboljšanje infrastrukture, storitev in bivanjskih razmer za osebe z mednarodno zaščito v integracijskih hišah, kot tudi praktično sodelovanje med državami članicami, kot na primer izmenjava dobrih praks in informacij, študijski obiski in sodelovanje na konferencah, ter izdelava analiz, vrednotenj in izboljšav trenutnih mehanizmov in pristopov vključevanja.</w:t>
            </w:r>
          </w:p>
          <w:p w14:paraId="47C579AF" w14:textId="77777777" w:rsidR="00A77B3E" w:rsidRDefault="00A77B3E">
            <w:pPr>
              <w:spacing w:before="100"/>
              <w:rPr>
                <w:color w:val="000000"/>
              </w:rPr>
            </w:pPr>
          </w:p>
          <w:p w14:paraId="7DD9FA2C" w14:textId="77777777" w:rsidR="00A77B3E" w:rsidRPr="00857B1D" w:rsidRDefault="00EE0419">
            <w:pPr>
              <w:spacing w:before="100"/>
              <w:rPr>
                <w:color w:val="000000"/>
                <w:lang w:val="it-IT"/>
              </w:rPr>
            </w:pPr>
            <w:r w:rsidRPr="00857B1D">
              <w:rPr>
                <w:color w:val="000000"/>
                <w:lang w:val="it-IT"/>
              </w:rPr>
              <w:t>Izvajal se bo izvedbeni ukrep 2d iz Priloge II.</w:t>
            </w:r>
          </w:p>
          <w:p w14:paraId="2E5F74C1" w14:textId="77777777" w:rsidR="00A77B3E" w:rsidRPr="00857B1D" w:rsidRDefault="00A77B3E">
            <w:pPr>
              <w:spacing w:before="100"/>
              <w:rPr>
                <w:color w:val="000000"/>
                <w:lang w:val="it-IT"/>
              </w:rPr>
            </w:pPr>
          </w:p>
          <w:p w14:paraId="1F0ED2E0" w14:textId="77777777" w:rsidR="00A77B3E" w:rsidRPr="00857B1D" w:rsidRDefault="00EE0419">
            <w:pPr>
              <w:spacing w:before="100"/>
              <w:rPr>
                <w:color w:val="000000"/>
                <w:lang w:val="it-IT"/>
              </w:rPr>
            </w:pPr>
            <w:r w:rsidRPr="00857B1D">
              <w:rPr>
                <w:color w:val="000000"/>
                <w:lang w:val="it-IT"/>
              </w:rPr>
              <w:t>Pričakovani rezultati: S pomočjo teh aktivnosti bo Slovenija zagotavljala uveljavljanje vseh pravic oseb z mednarodno zaščito in začasno zaščito, ki jim bodo olajšale in pospešile vključevanje v slovensko družbo ter učinkovite integracijske aktivnosti za DTD, ki prebivajo v Sloveniji. Poleg tega bomo s pomočjo sredstev sklada zagotavljali ustrezne standarde nastanitve za vse osebe z mednarodno zaščito in začasno zaščito oziroma bivalne pogoje, ki bodo primerljivi ali boljši, kot v večini drugih držav članic EU. Glavni rezultati bodo torej učinkovita in uspešna integracija oseb z mednarodno zaščito, začasno zaščito in DTD ter brezhibno opremljena in delujoča infrastruktura nastanitev.</w:t>
            </w:r>
          </w:p>
          <w:p w14:paraId="16BCAF26" w14:textId="77777777" w:rsidR="00A77B3E" w:rsidRPr="00857B1D" w:rsidRDefault="00A77B3E">
            <w:pPr>
              <w:spacing w:before="100"/>
              <w:rPr>
                <w:color w:val="000000"/>
                <w:lang w:val="it-IT"/>
              </w:rPr>
            </w:pPr>
          </w:p>
          <w:p w14:paraId="5F97FB20" w14:textId="77777777" w:rsidR="00A77B3E" w:rsidRPr="00857B1D" w:rsidRDefault="00EE0419">
            <w:pPr>
              <w:spacing w:before="100"/>
              <w:rPr>
                <w:color w:val="000000"/>
                <w:lang w:val="it-IT"/>
              </w:rPr>
            </w:pPr>
            <w:r w:rsidRPr="00857B1D">
              <w:rPr>
                <w:color w:val="000000"/>
                <w:u w:val="single"/>
                <w:lang w:val="it-IT"/>
              </w:rPr>
              <w:lastRenderedPageBreak/>
              <w:t xml:space="preserve">1) Izvedbeni ukrep 2d: </w:t>
            </w:r>
          </w:p>
          <w:p w14:paraId="6489EEE9" w14:textId="77777777" w:rsidR="00A77B3E" w:rsidRPr="00857B1D" w:rsidRDefault="00A77B3E">
            <w:pPr>
              <w:spacing w:before="100"/>
              <w:rPr>
                <w:color w:val="000000"/>
                <w:lang w:val="it-IT"/>
              </w:rPr>
            </w:pPr>
          </w:p>
          <w:p w14:paraId="1A9F5D41" w14:textId="77777777" w:rsidR="00A77B3E" w:rsidRPr="00857B1D" w:rsidRDefault="00EE0419">
            <w:pPr>
              <w:spacing w:before="100"/>
              <w:rPr>
                <w:color w:val="000000"/>
                <w:lang w:val="it-IT"/>
              </w:rPr>
            </w:pPr>
            <w:r w:rsidRPr="00857B1D">
              <w:rPr>
                <w:color w:val="000000"/>
                <w:lang w:val="it-IT"/>
              </w:rPr>
              <w:t>Slovenija na področju obravnave DTD in oseb z mednarodno zaščito pristopa centralizirano, zaznane pa so pomanjkljivosti pri sodelovanju, načrtovanju in izvajanju integracijskih ukrepov med ključnimi akterji na različnih ravneh (občine oziroma lokalne skupnosti se v proces integracije malo ali pa sploh ne vključujejo, večinoma so nastanitve oseb z mednarodno zaščito v Ljubljani in delno v Mariboru, želeli pa bi si večjo razpršenost, kar bi tudi olajšalo integracijo, na lokalni ravni je težko dobiti ustreznega sogovornika, zaradi nepoznavanja teme je na lokalni ravni pogosto tudi odpor do tujcev…). Hkrati se zaznava pomanjkanje strokovnega kadra in kontinuiranih usposabljanj strokovnih delavcev in deležnikov z različnih področij. Tako je pripoznana potreba po nudenju podpore lokalnim skupnostim pri soočanju z izzivi, povezanimi z migracijami. Namen je vzpostavitev partnerskega, na dejstvih temelječega pristopa, kot osnove za vodenje integracijske politike. Prizadevati si je treba za večjo in boljšo vključenost ključnih deležnikov. Izziv je tudi zagotovitev ustreznega, enakomernega, usklajenega in sistemsko urejenega razvoja lokalnih struktur v podporo vključevanja DTD v družbo. Pripoznane so še potrebe po njihovi večji in bolj aktivni vključenosti v oblikovanje in izvajanje integracijskih aktivnosti. Pri tem naj bi bili aktivnosti in ukrepi prilagojeni potrebam v lokalnem okolju. Potrebno je tudi zagotoviti zadostno število osebja in dvigniti nivo usposobljenosti strokovnih delavcev in deležnikov, tako na nivoju posameznikov, kot tudi na nivoju vladnih in nevladnih struktur.</w:t>
            </w:r>
          </w:p>
          <w:p w14:paraId="6EC93CB5" w14:textId="77777777" w:rsidR="00A77B3E" w:rsidRPr="00857B1D" w:rsidRDefault="00A77B3E">
            <w:pPr>
              <w:spacing w:before="100"/>
              <w:rPr>
                <w:color w:val="000000"/>
                <w:lang w:val="it-IT"/>
              </w:rPr>
            </w:pPr>
          </w:p>
          <w:p w14:paraId="392AF180" w14:textId="77777777" w:rsidR="00A77B3E" w:rsidRPr="00857B1D" w:rsidRDefault="00EE0419">
            <w:pPr>
              <w:spacing w:before="100"/>
              <w:rPr>
                <w:color w:val="000000"/>
                <w:lang w:val="it-IT"/>
              </w:rPr>
            </w:pPr>
            <w:r w:rsidRPr="00857B1D">
              <w:rPr>
                <w:color w:val="000000"/>
                <w:lang w:val="it-IT"/>
              </w:rPr>
              <w:t>Skladno z zgoraj navedenim je cilj vzpostavitev upravnih struktur, sistemov in orodij ter usposabljanja osebja, vključno z lokalnimi organi in drugimi ustreznimi zainteresiranimi stranmi, kar želi Slovenija doseči s sledečimi aktivnostmi:</w:t>
            </w:r>
          </w:p>
          <w:p w14:paraId="3F7F9E2E" w14:textId="77777777" w:rsidR="00A77B3E" w:rsidRPr="00857B1D" w:rsidRDefault="00EE0419">
            <w:pPr>
              <w:numPr>
                <w:ilvl w:val="0"/>
                <w:numId w:val="5"/>
              </w:numPr>
              <w:spacing w:before="100"/>
              <w:rPr>
                <w:color w:val="000000"/>
                <w:lang w:val="it-IT"/>
              </w:rPr>
            </w:pPr>
            <w:r w:rsidRPr="00857B1D">
              <w:rPr>
                <w:color w:val="000000"/>
                <w:lang w:val="it-IT"/>
              </w:rPr>
              <w:t>Vzpostavitev koordinativnih teles na lokalni ravni z namenom prepoznavanja težav pri integraciji, iskanja ustreznih rešitev in priprave dodatnih integracijskih dejavnosti.</w:t>
            </w:r>
          </w:p>
          <w:p w14:paraId="1DE42D05" w14:textId="77777777" w:rsidR="00A77B3E" w:rsidRPr="00857B1D" w:rsidRDefault="00EE0419">
            <w:pPr>
              <w:numPr>
                <w:ilvl w:val="0"/>
                <w:numId w:val="5"/>
              </w:numPr>
              <w:spacing w:before="100"/>
              <w:rPr>
                <w:color w:val="000000"/>
                <w:lang w:val="it-IT"/>
              </w:rPr>
            </w:pPr>
            <w:r w:rsidRPr="00857B1D">
              <w:rPr>
                <w:color w:val="000000"/>
                <w:lang w:val="it-IT"/>
              </w:rPr>
              <w:t>Uvajanje inovativnih shem za vključevanje migrantov s poudarkom na pozitivnih praksah in lokalni ravni.</w:t>
            </w:r>
          </w:p>
          <w:p w14:paraId="559FD848" w14:textId="77777777" w:rsidR="00A77B3E" w:rsidRPr="00857B1D" w:rsidRDefault="00EE0419">
            <w:pPr>
              <w:numPr>
                <w:ilvl w:val="0"/>
                <w:numId w:val="5"/>
              </w:numPr>
              <w:spacing w:before="100"/>
              <w:rPr>
                <w:color w:val="000000"/>
                <w:lang w:val="it-IT"/>
              </w:rPr>
            </w:pPr>
            <w:r w:rsidRPr="00857B1D">
              <w:rPr>
                <w:color w:val="000000"/>
                <w:lang w:val="it-IT"/>
              </w:rPr>
              <w:t>Usposabljanje zasebnih in javnih uslužbencev z namenom pridobivanja medkulturnih kompetenc, posebnih znanj in supervizije za strokovne delavce.</w:t>
            </w:r>
          </w:p>
          <w:p w14:paraId="70391639" w14:textId="77777777" w:rsidR="00A77B3E" w:rsidRPr="00857B1D" w:rsidRDefault="00EE0419">
            <w:pPr>
              <w:numPr>
                <w:ilvl w:val="0"/>
                <w:numId w:val="5"/>
              </w:numPr>
              <w:spacing w:before="100"/>
              <w:rPr>
                <w:color w:val="000000"/>
                <w:lang w:val="it-IT"/>
              </w:rPr>
            </w:pPr>
            <w:r w:rsidRPr="00857B1D">
              <w:rPr>
                <w:color w:val="000000"/>
                <w:lang w:val="it-IT"/>
              </w:rPr>
              <w:t>Usposabljanje v okviru tima predstavnikov kompetentnih služb in ustanov na lokalnem nivoju.</w:t>
            </w:r>
          </w:p>
          <w:p w14:paraId="59168144" w14:textId="77777777" w:rsidR="00A77B3E" w:rsidRPr="00857B1D" w:rsidRDefault="00EE0419">
            <w:pPr>
              <w:numPr>
                <w:ilvl w:val="0"/>
                <w:numId w:val="5"/>
              </w:numPr>
              <w:spacing w:before="100"/>
              <w:rPr>
                <w:color w:val="000000"/>
                <w:lang w:val="it-IT"/>
              </w:rPr>
            </w:pPr>
            <w:r w:rsidRPr="00857B1D">
              <w:rPr>
                <w:color w:val="000000"/>
                <w:lang w:val="it-IT"/>
              </w:rPr>
              <w:t>Strokovni obiski sodelavcev iz posameznih področij, v druge države članice z namenom izmenjave izkušenj, ogleda dobrih praks ter prenosa le-teh v lokalno okolje znotraj obstoječih zakonodajnih okvirov.</w:t>
            </w:r>
          </w:p>
          <w:p w14:paraId="4F69F195" w14:textId="77777777" w:rsidR="00A77B3E" w:rsidRPr="00857B1D" w:rsidRDefault="00EE0419">
            <w:pPr>
              <w:numPr>
                <w:ilvl w:val="0"/>
                <w:numId w:val="5"/>
              </w:numPr>
              <w:spacing w:before="100"/>
              <w:rPr>
                <w:color w:val="000000"/>
                <w:lang w:val="it-IT"/>
              </w:rPr>
            </w:pPr>
            <w:r w:rsidRPr="00857B1D">
              <w:rPr>
                <w:color w:val="000000"/>
                <w:lang w:val="it-IT"/>
              </w:rPr>
              <w:t>Izvajanje konkretnih programov (predvsem na lokalni ravni) za vključevanje, ki temeljijo na primeru dobrih praks v tujini ali pa pilotnih programov, zasnovanih za konkretno kategorijo oseb (ali za osebe za mednarodno zaščito ali tujce iz tretjih držav ali kombinirano).</w:t>
            </w:r>
          </w:p>
          <w:p w14:paraId="2E65BFD7" w14:textId="77777777" w:rsidR="00A77B3E" w:rsidRPr="00857B1D" w:rsidRDefault="00A77B3E">
            <w:pPr>
              <w:spacing w:before="100"/>
              <w:rPr>
                <w:color w:val="000000"/>
                <w:lang w:val="it-IT"/>
              </w:rPr>
            </w:pPr>
          </w:p>
          <w:p w14:paraId="107D655D" w14:textId="77777777" w:rsidR="00A77B3E" w:rsidRPr="00857B1D" w:rsidRDefault="00EE0419">
            <w:pPr>
              <w:spacing w:before="100"/>
              <w:rPr>
                <w:color w:val="000000"/>
                <w:lang w:val="it-IT"/>
              </w:rPr>
            </w:pPr>
            <w:r w:rsidRPr="00857B1D">
              <w:rPr>
                <w:color w:val="000000"/>
                <w:lang w:val="it-IT"/>
              </w:rPr>
              <w:t>Bistveni del in izziv migracijskega sistema je vključevanje migrantov v slovensko družbo. Pomoč pri vključevanju opremlja migrante z znanji in veščinami ter povečuje možnosti za enakopravno sodelovanje v družbi sprejema, hkrati pa daje občutek pripadnosti in sprejetosti. Med ukrepi vključevanja so ključni dostopni programi učenja jezika in spoznavanja družbe za DTD, programi medkulturnega dialoga in ozaveščanja širše javnosti o pomenu migracij kot o dejavniku spodbujanja razvoja. Prav tako pa je znanje slovenskega jezika temeljnega pomena za vključevanje na trg dela in tudi pogoj za nadaljnje izobraževanje.</w:t>
            </w:r>
          </w:p>
          <w:p w14:paraId="35A6547D" w14:textId="77777777" w:rsidR="00A77B3E" w:rsidRPr="00857B1D" w:rsidRDefault="00A77B3E">
            <w:pPr>
              <w:spacing w:before="100"/>
              <w:rPr>
                <w:color w:val="000000"/>
                <w:lang w:val="it-IT"/>
              </w:rPr>
            </w:pPr>
          </w:p>
          <w:p w14:paraId="4903FFA0" w14:textId="07C80677" w:rsidR="00A77B3E" w:rsidRPr="00857B1D" w:rsidRDefault="00EE0419">
            <w:pPr>
              <w:numPr>
                <w:ilvl w:val="0"/>
                <w:numId w:val="6"/>
              </w:numPr>
              <w:spacing w:before="100"/>
              <w:rPr>
                <w:color w:val="000000"/>
                <w:lang w:val="it-IT"/>
              </w:rPr>
            </w:pPr>
            <w:r w:rsidRPr="00857B1D">
              <w:rPr>
                <w:color w:val="000000"/>
                <w:lang w:val="it-IT"/>
              </w:rPr>
              <w:t xml:space="preserve">Zagotavljanje informacij: programi informiranja DTD so bistvenega pomena pri zagotavljanju uspešnih pogojev za boljše in učinkovitejše vključevanje DTD v slovensko družbo. Informacije o življenju v Sloveniji in integracijskih ukrepih ter možnostih pomoči za uspešnejše vključevanje, </w:t>
            </w:r>
            <w:r w:rsidRPr="00857B1D">
              <w:rPr>
                <w:lang w:val="it-IT"/>
              </w:rPr>
              <w:t xml:space="preserve">bodo zagotovljene z nadaljevanjem in nadgradnjo spletnega mesta </w:t>
            </w:r>
            <w:r w:rsidRPr="00857B1D">
              <w:rPr>
                <w:color w:val="000000"/>
                <w:lang w:val="it-IT"/>
              </w:rPr>
              <w:t xml:space="preserve">www.infotujci.si, in preko drugih sodobnih prilagojenih oblik komuniciranja. Eden ključnih izzivov je vzpostavitev </w:t>
            </w:r>
            <w:r w:rsidRPr="00857B1D">
              <w:rPr>
                <w:color w:val="000000"/>
                <w:lang w:val="it-IT"/>
              </w:rPr>
              <w:lastRenderedPageBreak/>
              <w:t>učinkovitega, odzivnega in uporabniku prilagojenega večjezičnega servisa, s ciljem želene integracije, vključno s sodobnimi in prilagojenimi oblikami komuniciranja.</w:t>
            </w:r>
          </w:p>
          <w:p w14:paraId="39726A27" w14:textId="77777777" w:rsidR="00A77B3E" w:rsidRPr="00857B1D" w:rsidRDefault="00EE0419">
            <w:pPr>
              <w:numPr>
                <w:ilvl w:val="0"/>
                <w:numId w:val="6"/>
              </w:numPr>
              <w:spacing w:before="100"/>
              <w:rPr>
                <w:color w:val="000000"/>
                <w:lang w:val="it-IT"/>
              </w:rPr>
            </w:pPr>
            <w:r w:rsidRPr="00857B1D">
              <w:rPr>
                <w:color w:val="000000"/>
                <w:lang w:val="it-IT"/>
              </w:rPr>
              <w:t>Tečaji in izpiti slovenskega jezika: S programom učenja slovenskega jezika in spoznavanja slovenske družbe se zagotavlja osnovno znanje jezika in poznavanje družbe gostiteljice, kar je nujno potrebno za uspešno vključevanje DTD v slovensko družbo. Opravljanje preizkusa znanja iz slovenskega jezika na osnovni ravni pomeni zaključek procesa učenja slovenskega jezika na osnovni ravni, ki je potrebna za sprejem v državljanstvo RS.</w:t>
            </w:r>
          </w:p>
          <w:p w14:paraId="755F2984" w14:textId="192A31BB" w:rsidR="00A77B3E" w:rsidRPr="00857B1D" w:rsidRDefault="00EE0419">
            <w:pPr>
              <w:numPr>
                <w:ilvl w:val="0"/>
                <w:numId w:val="6"/>
              </w:numPr>
              <w:spacing w:before="100"/>
              <w:rPr>
                <w:color w:val="000000"/>
                <w:lang w:val="it-IT"/>
              </w:rPr>
            </w:pPr>
            <w:r w:rsidRPr="00857B1D">
              <w:rPr>
                <w:color w:val="000000"/>
                <w:lang w:val="it-IT"/>
              </w:rPr>
              <w:t>Medkulturni dialog: Nadaljevati z različnimi aktivnostmi, ki spodbujajo medkulturni dialog in omogočajo večjo povezanost DTD z državo gostiteljico.</w:t>
            </w:r>
          </w:p>
          <w:p w14:paraId="5EC89481" w14:textId="77777777" w:rsidR="00A77B3E" w:rsidRPr="00857B1D" w:rsidRDefault="00EE0419">
            <w:pPr>
              <w:numPr>
                <w:ilvl w:val="0"/>
                <w:numId w:val="6"/>
              </w:numPr>
              <w:spacing w:before="100"/>
              <w:rPr>
                <w:color w:val="000000"/>
                <w:lang w:val="it-IT"/>
              </w:rPr>
            </w:pPr>
            <w:r w:rsidRPr="00857B1D">
              <w:rPr>
                <w:color w:val="000000"/>
                <w:lang w:val="it-IT"/>
              </w:rPr>
              <w:t>Ozaveščanje DTD o vključevanju v slovensko družbo: Programi seznanitve s slovensko kulturo, načinom življenja ter temeljnimi vrednotami ter programi seznanitve z dolžnostmi in upravičenimi pričakovanji države gostiteljice.</w:t>
            </w:r>
          </w:p>
          <w:p w14:paraId="4FF5F3E7" w14:textId="77777777" w:rsidR="00A77B3E" w:rsidRPr="00857B1D" w:rsidRDefault="00EE0419">
            <w:pPr>
              <w:numPr>
                <w:ilvl w:val="0"/>
                <w:numId w:val="6"/>
              </w:numPr>
              <w:spacing w:before="100"/>
              <w:rPr>
                <w:color w:val="000000"/>
                <w:lang w:val="it-IT"/>
              </w:rPr>
            </w:pPr>
            <w:r w:rsidRPr="00857B1D">
              <w:rPr>
                <w:color w:val="000000"/>
                <w:lang w:val="it-IT"/>
              </w:rPr>
              <w:t>Programi za spodbujanje učenja slovenskega jezika.</w:t>
            </w:r>
          </w:p>
          <w:p w14:paraId="299AB2FF" w14:textId="77777777" w:rsidR="00A77B3E" w:rsidRPr="00857B1D" w:rsidRDefault="00EE0419">
            <w:pPr>
              <w:numPr>
                <w:ilvl w:val="0"/>
                <w:numId w:val="6"/>
              </w:numPr>
              <w:spacing w:before="100"/>
              <w:rPr>
                <w:color w:val="000000"/>
                <w:lang w:val="it-IT"/>
              </w:rPr>
            </w:pPr>
            <w:r w:rsidRPr="00857B1D">
              <w:rPr>
                <w:color w:val="000000"/>
                <w:lang w:val="it-IT"/>
              </w:rPr>
              <w:t>Programi za ozaveščanje slovenske družbe o migrantski tematiki.</w:t>
            </w:r>
          </w:p>
          <w:p w14:paraId="2ED19E74" w14:textId="77777777" w:rsidR="00A77B3E" w:rsidRPr="00857B1D" w:rsidRDefault="00A77B3E">
            <w:pPr>
              <w:spacing w:before="100"/>
              <w:rPr>
                <w:color w:val="000000"/>
                <w:lang w:val="it-IT"/>
              </w:rPr>
            </w:pPr>
          </w:p>
          <w:p w14:paraId="3AB89C5C" w14:textId="77777777" w:rsidR="00A77B3E" w:rsidRDefault="00EE0419">
            <w:pPr>
              <w:spacing w:before="100"/>
              <w:rPr>
                <w:color w:val="000000"/>
              </w:rPr>
            </w:pPr>
            <w:r w:rsidRPr="00857B1D">
              <w:rPr>
                <w:color w:val="000000"/>
                <w:lang w:val="it-IT"/>
              </w:rPr>
              <w:t xml:space="preserve">Usmerimo se na izvajanje ukrepov za zgodnje vključevanje (npr. prilagojena podpora glede na potrebe DTD in programi vključevanja, ki se osredotočajo na izobraževanje, jezik in druga usposabljanja, kot so tečaji državljanske vzgoje in poklicno svetovanje), ki jih je potrebno izboljšati in okrepiti. </w:t>
            </w:r>
            <w:r>
              <w:rPr>
                <w:color w:val="000000"/>
              </w:rPr>
              <w:t>Predvidene aktivnosti so:</w:t>
            </w:r>
          </w:p>
          <w:p w14:paraId="5753558E" w14:textId="77777777" w:rsidR="00A77B3E" w:rsidRDefault="00EE0419">
            <w:pPr>
              <w:numPr>
                <w:ilvl w:val="0"/>
                <w:numId w:val="7"/>
              </w:numPr>
              <w:spacing w:before="100"/>
              <w:rPr>
                <w:color w:val="000000"/>
              </w:rPr>
            </w:pPr>
            <w:r>
              <w:rPr>
                <w:color w:val="000000"/>
              </w:rPr>
              <w:t>Programi predpriprave na vključevanje v izobraževalni sistem v obliki opismenjevanja in učne pomoči za odrasle, ki se želijo vključiti v izobraževalni sistem (npr. šole za odrasle).</w:t>
            </w:r>
          </w:p>
          <w:p w14:paraId="33060426" w14:textId="77777777" w:rsidR="00A77B3E" w:rsidRDefault="00EE0419">
            <w:pPr>
              <w:numPr>
                <w:ilvl w:val="0"/>
                <w:numId w:val="7"/>
              </w:numPr>
              <w:spacing w:before="100"/>
              <w:rPr>
                <w:color w:val="000000"/>
              </w:rPr>
            </w:pPr>
            <w:r>
              <w:rPr>
                <w:color w:val="000000"/>
              </w:rPr>
              <w:t>Priprava in izdelava ustreznih gradiv in didaktičnih pripomočkov za posredovanje informacij, prilagojenih tudi otrokom in mladini, saj je zaznati pomanjkanje izvajanja integracijskih aktivnosti za ciljne skupine ter težave pri razumevanju in vključevanju na različna družbena področja (kulturne razlike).</w:t>
            </w:r>
          </w:p>
          <w:p w14:paraId="08D9FE4C" w14:textId="77777777" w:rsidR="00A77B3E" w:rsidRDefault="00A77B3E">
            <w:pPr>
              <w:spacing w:before="100"/>
              <w:rPr>
                <w:color w:val="000000"/>
              </w:rPr>
            </w:pPr>
          </w:p>
          <w:p w14:paraId="2DFD70F1" w14:textId="77777777" w:rsidR="00A77B3E" w:rsidRDefault="00EE0419">
            <w:pPr>
              <w:spacing w:before="100"/>
              <w:rPr>
                <w:color w:val="000000"/>
              </w:rPr>
            </w:pPr>
            <w:r>
              <w:rPr>
                <w:color w:val="000000"/>
              </w:rPr>
              <w:t>Osebe z mednarodno zaščito se v Republiki Sloveniji soočajo tudi s pomanjkanjem izvajanja integracijskih aktivnosti in težavami pri razumevanju in vključevanju na različna družbena področja, zaradi velikih kulturnih razlik. Izziv je torej zagotovitev doseganja osnovnih kompetenc za polno vključitev v družbo, kar nameravamo doseči s sledečimi aktivnostmi:</w:t>
            </w:r>
          </w:p>
          <w:p w14:paraId="6EE2A464" w14:textId="02A4F748" w:rsidR="00A77B3E" w:rsidRDefault="00EE0419">
            <w:pPr>
              <w:numPr>
                <w:ilvl w:val="0"/>
                <w:numId w:val="8"/>
              </w:numPr>
              <w:spacing w:before="100"/>
              <w:rPr>
                <w:color w:val="000000"/>
              </w:rPr>
            </w:pPr>
            <w:r>
              <w:rPr>
                <w:color w:val="000000"/>
              </w:rPr>
              <w:t>Programi spoznavanja in uporabe različnih sistemov, lokalnega okolja in kulturnih značilnosti - pomoč pri integraciji z izvedbo orientacijskega programa za osebe z mednarodno zaščito</w:t>
            </w:r>
            <w:r w:rsidR="00857B1D" w:rsidRPr="00857B1D">
              <w:rPr>
                <w:color w:val="000000"/>
              </w:rPr>
              <w:t>.</w:t>
            </w:r>
          </w:p>
          <w:p w14:paraId="07C97E2D" w14:textId="77777777" w:rsidR="00A77B3E" w:rsidRDefault="00EE0419">
            <w:pPr>
              <w:numPr>
                <w:ilvl w:val="0"/>
                <w:numId w:val="8"/>
              </w:numPr>
              <w:spacing w:before="100"/>
              <w:rPr>
                <w:color w:val="000000"/>
              </w:rPr>
            </w:pPr>
            <w:r>
              <w:rPr>
                <w:color w:val="000000"/>
              </w:rPr>
              <w:t>Zagotavljanje denarnih nadomestil za nastanitev na zasebnem naslovu in premostitvene pomoči v materialni obliki za obdobje od prejema statusa mednarodne zaščite do začetka prejemanja sistemske pomoči.</w:t>
            </w:r>
          </w:p>
          <w:p w14:paraId="57FA42E9" w14:textId="77777777" w:rsidR="00A77B3E" w:rsidRDefault="00EE0419">
            <w:pPr>
              <w:numPr>
                <w:ilvl w:val="0"/>
                <w:numId w:val="8"/>
              </w:numPr>
              <w:spacing w:before="100"/>
              <w:rPr>
                <w:color w:val="000000"/>
              </w:rPr>
            </w:pPr>
            <w:r>
              <w:rPr>
                <w:color w:val="000000"/>
              </w:rPr>
              <w:t>Zagotavljanje ustreznih bivalnih pogojev v integracijskih hišah in drugih kapacitetah UOIM (nakup potrebne opreme, morebitna sanacijska dela).</w:t>
            </w:r>
          </w:p>
          <w:p w14:paraId="36E5D82F" w14:textId="77777777" w:rsidR="00A77B3E" w:rsidRDefault="00EE0419">
            <w:pPr>
              <w:numPr>
                <w:ilvl w:val="0"/>
                <w:numId w:val="8"/>
              </w:numPr>
              <w:spacing w:before="100"/>
              <w:rPr>
                <w:color w:val="000000"/>
              </w:rPr>
            </w:pPr>
            <w:r>
              <w:rPr>
                <w:color w:val="000000"/>
              </w:rPr>
              <w:t>Zagotavljanje ustrezne specialistične in druge strokovne obravnave ali pomoči (družinska terapija, nenasilna komunikacija, psihoterapija...).</w:t>
            </w:r>
          </w:p>
          <w:p w14:paraId="2AA3605D" w14:textId="77777777" w:rsidR="00A77B3E" w:rsidRDefault="00EE0419">
            <w:pPr>
              <w:numPr>
                <w:ilvl w:val="0"/>
                <w:numId w:val="8"/>
              </w:numPr>
              <w:spacing w:before="100"/>
              <w:rPr>
                <w:color w:val="000000"/>
              </w:rPr>
            </w:pPr>
            <w:r>
              <w:rPr>
                <w:color w:val="000000"/>
              </w:rPr>
              <w:t>Aktivnosti za ženske (opolnomočenje, predavanja, delavnice).</w:t>
            </w:r>
          </w:p>
          <w:p w14:paraId="58B488BB" w14:textId="77777777" w:rsidR="00A77B3E" w:rsidRDefault="00EE0419">
            <w:pPr>
              <w:numPr>
                <w:ilvl w:val="0"/>
                <w:numId w:val="8"/>
              </w:numPr>
              <w:spacing w:before="100"/>
              <w:rPr>
                <w:color w:val="000000"/>
              </w:rPr>
            </w:pPr>
            <w:r>
              <w:rPr>
                <w:color w:val="000000"/>
              </w:rPr>
              <w:t>Aktivnosti za spodbujanje socializacije otrok in mladine (učna pomoč, šport, delavnice…),</w:t>
            </w:r>
          </w:p>
          <w:p w14:paraId="20EE4993" w14:textId="77777777" w:rsidR="00A77B3E" w:rsidRDefault="00EE0419">
            <w:pPr>
              <w:numPr>
                <w:ilvl w:val="0"/>
                <w:numId w:val="8"/>
              </w:numPr>
              <w:spacing w:before="100"/>
              <w:rPr>
                <w:color w:val="000000"/>
              </w:rPr>
            </w:pPr>
            <w:r>
              <w:rPr>
                <w:color w:val="000000"/>
              </w:rPr>
              <w:t>Zagotavljanje sredstev za nakup šolskih potrebščin.</w:t>
            </w:r>
          </w:p>
          <w:p w14:paraId="7089457F" w14:textId="77777777" w:rsidR="00A77B3E" w:rsidRDefault="00A77B3E">
            <w:pPr>
              <w:spacing w:before="100"/>
              <w:rPr>
                <w:color w:val="000000"/>
              </w:rPr>
            </w:pPr>
          </w:p>
          <w:p w14:paraId="5D3C02B6" w14:textId="77777777" w:rsidR="00A77B3E" w:rsidRDefault="00EE0419">
            <w:pPr>
              <w:spacing w:before="100"/>
              <w:rPr>
                <w:color w:val="000000"/>
              </w:rPr>
            </w:pPr>
            <w:r>
              <w:rPr>
                <w:color w:val="000000"/>
              </w:rPr>
              <w:t xml:space="preserve">Še enega izmed ključnih izzivov pa predstavlja hitrejša in učinkovitejša integracija posameznikov v lokalno okolje ter na trg dela. Trenutno je zaznati pomanjkljivo načrtovanje in izvajanje integracijskih </w:t>
            </w:r>
            <w:r>
              <w:rPr>
                <w:color w:val="000000"/>
              </w:rPr>
              <w:lastRenderedPageBreak/>
              <w:t>aktivnosti za vsakega posameznika, zaradi ne-vključenosti vseh relevantnih in kompetentnih deležnikov. Skladno s tem načrtujemo izvedbo naslednjih aktivnosti:</w:t>
            </w:r>
          </w:p>
          <w:p w14:paraId="6240D768" w14:textId="77777777" w:rsidR="00A77B3E" w:rsidRDefault="00EE0419">
            <w:pPr>
              <w:numPr>
                <w:ilvl w:val="0"/>
                <w:numId w:val="9"/>
              </w:numPr>
              <w:spacing w:before="100"/>
              <w:rPr>
                <w:color w:val="000000"/>
              </w:rPr>
            </w:pPr>
            <w:r>
              <w:rPr>
                <w:color w:val="000000"/>
              </w:rPr>
              <w:t>Pilotna vzpostavitev tima predstavnikov kompetentnih služb in ustanov na lokalnem nivoju za pripravo, izvedbo in evalvacijo integracijskih aktivnostih. Mednje sodijo pomoč predstavnikov lokalne skupnosti pri zaposlovanju, izobraževanju in nastanitvi.</w:t>
            </w:r>
          </w:p>
          <w:p w14:paraId="6C94A212" w14:textId="77777777" w:rsidR="00A77B3E" w:rsidRPr="00857B1D" w:rsidRDefault="00EE0419">
            <w:pPr>
              <w:numPr>
                <w:ilvl w:val="0"/>
                <w:numId w:val="9"/>
              </w:numPr>
              <w:spacing w:before="100"/>
              <w:rPr>
                <w:color w:val="000000"/>
                <w:lang w:val="it-IT"/>
              </w:rPr>
            </w:pPr>
            <w:r>
              <w:rPr>
                <w:color w:val="000000"/>
              </w:rPr>
              <w:t xml:space="preserve">Pilotna postavitev dvoletne operacije v sodelovanju z lokalno skupnostjo, lokalnimi podjetji oziroma delodajalci, državnimi organi in lokalnimi NVO z namenom v prvem letu izvesti integracijski program, (tečaj slovenskega jezika, spoznavanja slovenske družbe), v dveh letih pa hkrati usposobiti osebe z mednarodno zaščito za vstop na trg dela. </w:t>
            </w:r>
            <w:r w:rsidRPr="00857B1D">
              <w:rPr>
                <w:color w:val="000000"/>
                <w:lang w:val="it-IT"/>
              </w:rPr>
              <w:t>Evalvirati program po preteku dvoletnega obdobja, in če bo program uspešen, z njim nadaljevati.</w:t>
            </w:r>
          </w:p>
          <w:p w14:paraId="1D1A7EF5" w14:textId="77777777" w:rsidR="00A77B3E" w:rsidRPr="00857B1D" w:rsidRDefault="00EE0419">
            <w:pPr>
              <w:numPr>
                <w:ilvl w:val="0"/>
                <w:numId w:val="9"/>
              </w:numPr>
              <w:spacing w:before="100"/>
              <w:rPr>
                <w:color w:val="000000"/>
                <w:lang w:val="it-IT"/>
              </w:rPr>
            </w:pPr>
            <w:r w:rsidRPr="00857B1D">
              <w:rPr>
                <w:color w:val="000000"/>
                <w:lang w:val="it-IT"/>
              </w:rPr>
              <w:t>Preko specifičnih delavnic, tečajev ali programov omogočanje posameznikom povečati možnost za zaposlitev in seznaniti s problematiko zaposlovanja nezakonitih migrantov.</w:t>
            </w:r>
          </w:p>
          <w:p w14:paraId="1C853E92" w14:textId="77777777" w:rsidR="00A77B3E" w:rsidRDefault="00EE0419">
            <w:pPr>
              <w:numPr>
                <w:ilvl w:val="0"/>
                <w:numId w:val="9"/>
              </w:numPr>
              <w:spacing w:before="100"/>
              <w:rPr>
                <w:color w:val="000000"/>
              </w:rPr>
            </w:pPr>
            <w:r w:rsidRPr="00857B1D">
              <w:rPr>
                <w:color w:val="000000"/>
                <w:lang w:val="it-IT"/>
              </w:rPr>
              <w:t xml:space="preserve">Krepitev zavedanja migrantov o pomembnosti znanja slovenskega jezika in spretnostih za lažje vključevanje na trg dela in njihovi vlogi. </w:t>
            </w:r>
            <w:r>
              <w:rPr>
                <w:color w:val="000000"/>
              </w:rPr>
              <w:t>Ta aktivnost se bo izvajala skozi celotno obdobje vključevanja.</w:t>
            </w:r>
          </w:p>
          <w:p w14:paraId="3EBE180B" w14:textId="77777777" w:rsidR="00A77B3E" w:rsidRDefault="00EE0419">
            <w:pPr>
              <w:numPr>
                <w:ilvl w:val="0"/>
                <w:numId w:val="9"/>
              </w:numPr>
              <w:spacing w:before="100"/>
              <w:rPr>
                <w:color w:val="000000"/>
              </w:rPr>
            </w:pPr>
            <w:r>
              <w:rPr>
                <w:color w:val="000000"/>
              </w:rPr>
              <w:t>Aktivno sodelovanje UOIM in izbranih NVO pri pomoči migrantom, tako pri učni pomoči (če se izobražujejo), kot tudi pri sami govorni uporabi jezika (konverzaciji).</w:t>
            </w:r>
          </w:p>
          <w:p w14:paraId="1DAD2FE5" w14:textId="77777777" w:rsidR="00A77B3E" w:rsidRDefault="00EE0419">
            <w:pPr>
              <w:numPr>
                <w:ilvl w:val="0"/>
                <w:numId w:val="9"/>
              </w:numPr>
              <w:spacing w:before="100"/>
              <w:rPr>
                <w:color w:val="000000"/>
              </w:rPr>
            </w:pPr>
            <w:r>
              <w:rPr>
                <w:color w:val="000000"/>
              </w:rPr>
              <w:t>Olajšanje izvajanja strokovnega dela zaposlenih z okrepitvijo mreže prevajalcev (pogodbenikov UOIM), s čimer bodo migranti postavljeni v boljši oziroma enakovrednejši položaj, saj jim bo pomoč prevajalcev v začetni fazi integracije pomagala k boljšem razumevanju, tako družbe, kot jezika in hitrejšem usposabljanju, tako na jezikovnem, kot na delovnem področju.</w:t>
            </w:r>
          </w:p>
          <w:p w14:paraId="18132C20" w14:textId="77777777" w:rsidR="00A77B3E" w:rsidRDefault="00A77B3E">
            <w:pPr>
              <w:spacing w:before="100"/>
              <w:rPr>
                <w:color w:val="000000"/>
              </w:rPr>
            </w:pPr>
          </w:p>
          <w:p w14:paraId="3290897D" w14:textId="77777777" w:rsidR="00A77B3E" w:rsidRDefault="00EE0419">
            <w:pPr>
              <w:spacing w:before="100"/>
              <w:rPr>
                <w:color w:val="000000"/>
              </w:rPr>
            </w:pPr>
            <w:r>
              <w:rPr>
                <w:color w:val="000000"/>
              </w:rPr>
              <w:t>V povezavi s celostnim sodelovanjem med različnimi vladnimi in nevladnimi organi, vključno s centri za usklajeno podporo vključevanju, kot so točke »vse na enem mestu«, je zaznati oslabljeno sodelovanje NVO, lokalnih skupnosti in gospodarstva pri oblikovanju in izvajanju integracijskih ukrepov, zato je potrebno okrepiti njihovo sodelovanje. Skladno s tem so načrtovane naslednje aktivnosti:</w:t>
            </w:r>
          </w:p>
          <w:p w14:paraId="6DF74D49" w14:textId="77777777" w:rsidR="00A77B3E" w:rsidRDefault="00EE0419">
            <w:pPr>
              <w:numPr>
                <w:ilvl w:val="0"/>
                <w:numId w:val="10"/>
              </w:numPr>
              <w:spacing w:before="100"/>
              <w:rPr>
                <w:color w:val="000000"/>
              </w:rPr>
            </w:pPr>
            <w:r>
              <w:rPr>
                <w:color w:val="000000"/>
              </w:rPr>
              <w:t>Vzpostavitev sistemskega pristopa pri oblikovanju in izvajanju integracijskih ukrepov s posebnim poudarkom na vključevanju relevantnih NVO, lokalnih skupnosti in delodajalcev.</w:t>
            </w:r>
          </w:p>
          <w:p w14:paraId="435CD14C" w14:textId="77777777" w:rsidR="00A77B3E" w:rsidRDefault="00A77B3E">
            <w:pPr>
              <w:spacing w:before="100"/>
              <w:rPr>
                <w:color w:val="000000"/>
              </w:rPr>
            </w:pPr>
          </w:p>
          <w:p w14:paraId="5AD61A1D" w14:textId="77777777" w:rsidR="00A77B3E" w:rsidRDefault="00EE0419">
            <w:pPr>
              <w:spacing w:before="100"/>
              <w:rPr>
                <w:color w:val="000000"/>
              </w:rPr>
            </w:pPr>
            <w:r>
              <w:rPr>
                <w:color w:val="000000"/>
              </w:rPr>
              <w:t>Ker je zaznati tudi razpršenost informacij, dezinformacije med ciljnimi skupinami, pomanjkanje možnosti za aktivno vključevanje, potrebo po zagotovitvi večnamenskega prostora, je cilj vzpostaviti uporabniku prijazen prostor oziroma točke z možnostjo pridobitve in uporabe različnih informacij, znanj, veščin in tehnik z namenom krepitve samoaktivacije. Aktivnost za dosego cilja je pilotna vzpostavitev informacijskega/medkulturnega središča za zagotovitev informacij s poudarkom na osebnem stiku.</w:t>
            </w:r>
          </w:p>
          <w:p w14:paraId="62B4ABA4" w14:textId="7F5F7F07" w:rsidR="00A77B3E" w:rsidRDefault="00EE0419">
            <w:pPr>
              <w:numPr>
                <w:ilvl w:val="0"/>
                <w:numId w:val="11"/>
              </w:numPr>
              <w:spacing w:before="100"/>
              <w:rPr>
                <w:color w:val="000000"/>
              </w:rPr>
            </w:pPr>
            <w:r>
              <w:rPr>
                <w:color w:val="000000"/>
              </w:rPr>
              <w:t>Pilotna vzpostavitev informacijskega/medkulturnega središča, ki bi predvidoma, glede na izkazan interes, dolgoročno lahko postal tudi sodoben dnevni center za migrante. Predvidena je vzpostavitev pilotne operacije v Ljubljani za obdobje dveh let, po uspešni evalvaciji (glede na št. udeležencev, smiselnost…) pa širjenje v naslednjih letih v večja slovenska mesta</w:t>
            </w:r>
            <w:bookmarkStart w:id="11" w:name="_GoBack"/>
            <w:bookmarkEnd w:id="11"/>
            <w:r>
              <w:rPr>
                <w:color w:val="000000"/>
              </w:rPr>
              <w:t>.</w:t>
            </w:r>
          </w:p>
          <w:p w14:paraId="48299C01" w14:textId="77777777" w:rsidR="00A77B3E" w:rsidRDefault="00A77B3E">
            <w:pPr>
              <w:spacing w:before="100"/>
              <w:rPr>
                <w:color w:val="000000"/>
              </w:rPr>
            </w:pPr>
          </w:p>
          <w:p w14:paraId="7F529BA4" w14:textId="77777777" w:rsidR="00A77B3E" w:rsidRDefault="00EE0419">
            <w:pPr>
              <w:spacing w:before="100"/>
              <w:rPr>
                <w:color w:val="000000"/>
              </w:rPr>
            </w:pPr>
            <w:r>
              <w:rPr>
                <w:color w:val="000000"/>
              </w:rPr>
              <w:t xml:space="preserve">2) </w:t>
            </w:r>
            <w:r>
              <w:rPr>
                <w:color w:val="000000"/>
                <w:u w:val="single"/>
              </w:rPr>
              <w:t>Operativna podpora:</w:t>
            </w:r>
          </w:p>
          <w:p w14:paraId="1F29D525" w14:textId="77777777" w:rsidR="00A77B3E" w:rsidRDefault="00A77B3E">
            <w:pPr>
              <w:spacing w:before="100"/>
              <w:rPr>
                <w:color w:val="000000"/>
              </w:rPr>
            </w:pPr>
          </w:p>
          <w:p w14:paraId="22E2BBF1" w14:textId="77777777" w:rsidR="00A77B3E" w:rsidRPr="00857B1D" w:rsidRDefault="00EE0419">
            <w:pPr>
              <w:spacing w:before="100"/>
              <w:rPr>
                <w:color w:val="000000"/>
                <w:lang w:val="it-IT"/>
              </w:rPr>
            </w:pPr>
            <w:r>
              <w:rPr>
                <w:color w:val="000000"/>
              </w:rPr>
              <w:t xml:space="preserve">V okviru SO2 operativna podpora glede spodbujanja ukrepov za zgodnje vključevanje DTD zajema stroške zaposlenih, stroške storitev, kot je vzdrževanje ali zamenjava opreme ter stroške storitev, kot sta vzdrževanje in popravilo infrastrukture. </w:t>
            </w:r>
            <w:r w:rsidRPr="00857B1D">
              <w:rPr>
                <w:color w:val="000000"/>
                <w:lang w:val="it-IT"/>
              </w:rPr>
              <w:t>Da se bo lahko integracija oziroma pomoč pri integraciji izvajala intenzivno in v želenem obsegu, so v veliko pomoč sredstva sklada.</w:t>
            </w:r>
          </w:p>
          <w:p w14:paraId="6F50DBAC" w14:textId="77777777" w:rsidR="00A77B3E" w:rsidRPr="00857B1D" w:rsidRDefault="00EE0419">
            <w:pPr>
              <w:spacing w:before="100"/>
              <w:rPr>
                <w:color w:val="000000"/>
                <w:lang w:val="it-IT"/>
              </w:rPr>
            </w:pPr>
            <w:r w:rsidRPr="00857B1D">
              <w:rPr>
                <w:color w:val="000000"/>
                <w:lang w:val="it-IT"/>
              </w:rPr>
              <w:t xml:space="preserve">Na podlagi ZMZ, ki določa obseg pravic in dolžnosti oseb, ki jim je priznana mednarodna zaščita, UOIM izvaja postopke mednarodne zaščite in vse aktivnosti, povezane z osebami s priznano </w:t>
            </w:r>
            <w:r w:rsidRPr="00857B1D">
              <w:rPr>
                <w:color w:val="000000"/>
                <w:lang w:val="it-IT"/>
              </w:rPr>
              <w:lastRenderedPageBreak/>
              <w:t>mednarodno zaščito. Poleg tega Zakon o tujcih določa UOIM kot pristojnega za informiranje o pogojih, pravicah, dolžnostih tujcev v RS.</w:t>
            </w:r>
          </w:p>
          <w:p w14:paraId="0C084E7F" w14:textId="77777777" w:rsidR="00A77B3E" w:rsidRPr="00857B1D" w:rsidRDefault="00A77B3E">
            <w:pPr>
              <w:spacing w:before="100"/>
              <w:rPr>
                <w:color w:val="000000"/>
                <w:lang w:val="it-IT"/>
              </w:rPr>
            </w:pPr>
          </w:p>
          <w:p w14:paraId="35B81F1A" w14:textId="77777777" w:rsidR="00A77B3E" w:rsidRPr="00857B1D" w:rsidRDefault="00EE0419">
            <w:pPr>
              <w:spacing w:before="100"/>
              <w:rPr>
                <w:color w:val="000000"/>
                <w:lang w:val="it-IT"/>
              </w:rPr>
            </w:pPr>
            <w:r w:rsidRPr="00857B1D">
              <w:rPr>
                <w:color w:val="000000"/>
                <w:lang w:val="it-IT"/>
              </w:rPr>
              <w:t>Stroški bodo vezani na stroške obstoječih zaposlenih, ki skrbijo za integracijo oseb z mednarodno zaščito, začasno zaščito ter DTD. Integracijski hiši v Ljubljani in Mariboru potrebujeta nenehno vzdrževanje, potrebno pa je financirati tudi stroške, ki so vezani na zamenjavo dotrajane opreme. Prav tako bo del stroškov vezan na pomoč pri izvajanju integracijskih aktivnosti za DTD, ki ravno tako kot osebe z mednarodno zaščito in začasno zaščito potrebujejo pomoč pri integraciji v slovensko družbo.</w:t>
            </w:r>
          </w:p>
          <w:p w14:paraId="738DEE6D" w14:textId="77777777" w:rsidR="00A77B3E" w:rsidRPr="00857B1D" w:rsidRDefault="00A77B3E">
            <w:pPr>
              <w:spacing w:before="100"/>
              <w:rPr>
                <w:color w:val="000000"/>
                <w:lang w:val="it-IT"/>
              </w:rPr>
            </w:pPr>
          </w:p>
        </w:tc>
      </w:tr>
    </w:tbl>
    <w:p w14:paraId="6297A03D" w14:textId="77777777" w:rsidR="00A77B3E" w:rsidRPr="00857B1D" w:rsidRDefault="00A77B3E">
      <w:pPr>
        <w:spacing w:before="100"/>
        <w:rPr>
          <w:color w:val="000000"/>
          <w:lang w:val="it-IT"/>
        </w:rPr>
        <w:sectPr w:rsidR="00A77B3E" w:rsidRPr="00857B1D">
          <w:headerReference w:type="even" r:id="rId31"/>
          <w:headerReference w:type="default" r:id="rId32"/>
          <w:footerReference w:type="even" r:id="rId33"/>
          <w:footerReference w:type="default" r:id="rId34"/>
          <w:headerReference w:type="first" r:id="rId35"/>
          <w:footerReference w:type="first" r:id="rId36"/>
          <w:pgSz w:w="11906" w:h="16838"/>
          <w:pgMar w:top="720" w:right="936" w:bottom="864" w:left="720" w:header="0" w:footer="72" w:gutter="0"/>
          <w:cols w:space="720"/>
          <w:noEndnote/>
          <w:docGrid w:linePitch="360"/>
        </w:sectPr>
      </w:pPr>
    </w:p>
    <w:p w14:paraId="6DEB2929" w14:textId="77777777" w:rsidR="00A77B3E" w:rsidRPr="00857B1D" w:rsidRDefault="00EE0419">
      <w:pPr>
        <w:spacing w:before="100"/>
        <w:rPr>
          <w:color w:val="000000"/>
          <w:lang w:val="it-IT"/>
        </w:rPr>
      </w:pPr>
      <w:r w:rsidRPr="00857B1D">
        <w:rPr>
          <w:color w:val="000000"/>
          <w:lang w:val="it-IT"/>
        </w:rPr>
        <w:lastRenderedPageBreak/>
        <w:t>2.1. Specifični cilj 2. Zakonite migracije in vključevanje</w:t>
      </w:r>
    </w:p>
    <w:p w14:paraId="71970466" w14:textId="77777777" w:rsidR="00A77B3E" w:rsidRPr="00857B1D" w:rsidRDefault="00EE0419">
      <w:pPr>
        <w:pStyle w:val="Naslov3"/>
        <w:spacing w:before="100" w:after="0"/>
        <w:rPr>
          <w:rFonts w:ascii="Times New Roman" w:hAnsi="Times New Roman" w:cs="Times New Roman"/>
          <w:b w:val="0"/>
          <w:color w:val="000000"/>
          <w:sz w:val="24"/>
          <w:lang w:val="it-IT"/>
        </w:rPr>
      </w:pPr>
      <w:bookmarkStart w:id="12" w:name="_Toc256000076"/>
      <w:r w:rsidRPr="00857B1D">
        <w:rPr>
          <w:rFonts w:ascii="Times New Roman" w:hAnsi="Times New Roman" w:cs="Times New Roman"/>
          <w:b w:val="0"/>
          <w:color w:val="000000"/>
          <w:sz w:val="24"/>
          <w:lang w:val="it-IT"/>
        </w:rPr>
        <w:t>2.1.2. Kazalniki</w:t>
      </w:r>
      <w:bookmarkEnd w:id="12"/>
    </w:p>
    <w:p w14:paraId="4990BCA8" w14:textId="77777777" w:rsidR="00A77B3E" w:rsidRPr="00857B1D" w:rsidRDefault="00EE0419">
      <w:pPr>
        <w:spacing w:before="100"/>
        <w:rPr>
          <w:color w:val="000000"/>
          <w:sz w:val="12"/>
          <w:lang w:val="it-IT"/>
        </w:rPr>
      </w:pPr>
      <w:r w:rsidRPr="00857B1D">
        <w:rPr>
          <w:color w:val="000000"/>
          <w:lang w:val="it-IT"/>
        </w:rPr>
        <w:t>Sklic: člen 22(4)(e) uredbe o skupnih določbah</w:t>
      </w:r>
    </w:p>
    <w:p w14:paraId="50A25FC2" w14:textId="77777777" w:rsidR="00A77B3E" w:rsidRDefault="00EE0419">
      <w:pPr>
        <w:pStyle w:val="Naslov4"/>
        <w:spacing w:before="100" w:after="0"/>
        <w:rPr>
          <w:b w:val="0"/>
          <w:color w:val="000000"/>
          <w:sz w:val="24"/>
        </w:rPr>
      </w:pPr>
      <w:bookmarkStart w:id="13" w:name="_Toc256000077"/>
      <w:r>
        <w:rPr>
          <w:b w:val="0"/>
          <w:color w:val="000000"/>
          <w:sz w:val="24"/>
        </w:rPr>
        <w:t>Tabela 1: Kazalniki učinka</w:t>
      </w:r>
      <w:bookmarkEnd w:id="13"/>
    </w:p>
    <w:p w14:paraId="0040707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9644"/>
        <w:gridCol w:w="1443"/>
        <w:gridCol w:w="1537"/>
        <w:gridCol w:w="1204"/>
      </w:tblGrid>
      <w:tr w:rsidR="00EC4D24" w14:paraId="1D1DE026"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266628" w14:textId="77777777" w:rsidR="00A77B3E" w:rsidRDefault="00EE0419">
            <w:pPr>
              <w:spacing w:before="100"/>
              <w:jc w:val="center"/>
              <w:rPr>
                <w:color w:val="000000"/>
                <w:sz w:val="20"/>
              </w:rPr>
            </w:pPr>
            <w:r>
              <w:rPr>
                <w:color w:val="000000"/>
                <w:sz w:val="20"/>
              </w:rPr>
              <w:t>Identifikator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29F4D6" w14:textId="77777777" w:rsidR="00A77B3E" w:rsidRDefault="00EE0419">
            <w:pPr>
              <w:spacing w:before="100"/>
              <w:jc w:val="center"/>
              <w:rPr>
                <w:color w:val="000000"/>
                <w:sz w:val="20"/>
              </w:rPr>
            </w:pPr>
            <w:r>
              <w:rPr>
                <w:color w:val="000000"/>
                <w:sz w:val="20"/>
              </w:rPr>
              <w:t>Kazalnik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A2719C" w14:textId="77777777" w:rsidR="00A77B3E" w:rsidRDefault="00EE0419">
            <w:pPr>
              <w:spacing w:before="100"/>
              <w:jc w:val="center"/>
              <w:rPr>
                <w:color w:val="000000"/>
                <w:sz w:val="20"/>
              </w:rPr>
            </w:pPr>
            <w:r>
              <w:rPr>
                <w:color w:val="000000"/>
                <w:sz w:val="20"/>
              </w:rPr>
              <w:t>Merska enota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ED4C88" w14:textId="77777777" w:rsidR="00A77B3E" w:rsidRDefault="00EE0419">
            <w:pPr>
              <w:spacing w:before="100"/>
              <w:jc w:val="center"/>
              <w:rPr>
                <w:color w:val="000000"/>
                <w:sz w:val="20"/>
              </w:rPr>
            </w:pPr>
            <w:r>
              <w:rPr>
                <w:color w:val="000000"/>
                <w:sz w:val="20"/>
              </w:rPr>
              <w:t>Mejnik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9DD5C0" w14:textId="77777777" w:rsidR="00A77B3E" w:rsidRDefault="00EE0419">
            <w:pPr>
              <w:spacing w:before="100"/>
              <w:jc w:val="center"/>
              <w:rPr>
                <w:color w:val="000000"/>
                <w:sz w:val="20"/>
              </w:rPr>
            </w:pPr>
            <w:r>
              <w:rPr>
                <w:color w:val="000000"/>
                <w:sz w:val="20"/>
              </w:rPr>
              <w:t>Cilj (2029)</w:t>
            </w:r>
          </w:p>
        </w:tc>
      </w:tr>
      <w:tr w:rsidR="00EC4D24" w14:paraId="5895C41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2CCA87" w14:textId="77777777" w:rsidR="00A77B3E" w:rsidRDefault="00EE0419">
            <w:pPr>
              <w:spacing w:before="100"/>
              <w:rPr>
                <w:color w:val="000000"/>
                <w:sz w:val="20"/>
              </w:rPr>
            </w:pPr>
            <w:r>
              <w:rPr>
                <w:color w:val="000000"/>
                <w:sz w:val="20"/>
              </w:rPr>
              <w:t>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6263C7" w14:textId="77777777" w:rsidR="00A77B3E" w:rsidRDefault="00EE0419">
            <w:pPr>
              <w:spacing w:before="100"/>
              <w:rPr>
                <w:color w:val="000000"/>
                <w:sz w:val="20"/>
              </w:rPr>
            </w:pPr>
            <w:r>
              <w:rPr>
                <w:color w:val="000000"/>
                <w:sz w:val="20"/>
              </w:rPr>
              <w:t xml:space="preserve">Število udeležencev v ukrepih pred odhodom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9A8EC0"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634433" w14:textId="77777777" w:rsidR="00A77B3E" w:rsidRDefault="00EE0419">
            <w:pPr>
              <w:spacing w:before="100"/>
              <w:jc w:val="right"/>
              <w:rPr>
                <w:color w:val="000000"/>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3C3A50" w14:textId="77777777" w:rsidR="00A77B3E" w:rsidRDefault="00EE0419">
            <w:pPr>
              <w:spacing w:before="100"/>
              <w:jc w:val="right"/>
              <w:rPr>
                <w:color w:val="000000"/>
                <w:sz w:val="20"/>
              </w:rPr>
            </w:pPr>
            <w:r>
              <w:rPr>
                <w:color w:val="000000"/>
                <w:sz w:val="20"/>
              </w:rPr>
              <w:t>0</w:t>
            </w:r>
          </w:p>
        </w:tc>
      </w:tr>
      <w:tr w:rsidR="00EC4D24" w14:paraId="22E8EAF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915718" w14:textId="77777777" w:rsidR="00A77B3E" w:rsidRDefault="00EE0419">
            <w:pPr>
              <w:spacing w:before="100"/>
              <w:rPr>
                <w:color w:val="000000"/>
                <w:sz w:val="20"/>
              </w:rPr>
            </w:pPr>
            <w:r>
              <w:rPr>
                <w:color w:val="000000"/>
                <w:sz w:val="20"/>
              </w:rPr>
              <w:t>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C6DCEE" w14:textId="77777777" w:rsidR="00A77B3E" w:rsidRDefault="00EE0419">
            <w:pPr>
              <w:spacing w:before="100"/>
              <w:rPr>
                <w:color w:val="000000"/>
                <w:sz w:val="20"/>
              </w:rPr>
            </w:pPr>
            <w:r>
              <w:rPr>
                <w:color w:val="000000"/>
                <w:sz w:val="20"/>
              </w:rPr>
              <w:t>Število lokalnih in regionalnih organov, ki so prejeli podporo za izvajanje ukrepov za vključevanje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166C8E"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4F521C" w14:textId="77777777" w:rsidR="00A77B3E" w:rsidRDefault="00EE0419">
            <w:pPr>
              <w:spacing w:before="100"/>
              <w:jc w:val="right"/>
              <w:rPr>
                <w:color w:val="000000"/>
                <w:sz w:val="20"/>
              </w:rPr>
            </w:pPr>
            <w:r>
              <w:rPr>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0DE3CD" w14:textId="77777777" w:rsidR="00A77B3E" w:rsidRDefault="00EE0419">
            <w:pPr>
              <w:spacing w:before="100"/>
              <w:jc w:val="right"/>
              <w:rPr>
                <w:color w:val="000000"/>
                <w:sz w:val="20"/>
              </w:rPr>
            </w:pPr>
            <w:r>
              <w:rPr>
                <w:color w:val="000000"/>
                <w:sz w:val="20"/>
              </w:rPr>
              <w:t>10</w:t>
            </w:r>
          </w:p>
        </w:tc>
      </w:tr>
      <w:tr w:rsidR="00EC4D24" w14:paraId="4AE1F28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8AE81C" w14:textId="77777777" w:rsidR="00A77B3E" w:rsidRDefault="00EE0419">
            <w:pPr>
              <w:spacing w:before="100"/>
              <w:rPr>
                <w:color w:val="000000"/>
                <w:sz w:val="20"/>
              </w:rPr>
            </w:pPr>
            <w:r>
              <w:rPr>
                <w:color w:val="000000"/>
                <w:sz w:val="20"/>
              </w:rPr>
              <w:t>O.2.3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F766F7" w14:textId="77777777" w:rsidR="00A77B3E" w:rsidRPr="00857B1D" w:rsidRDefault="00EE0419">
            <w:pPr>
              <w:spacing w:before="100"/>
              <w:rPr>
                <w:color w:val="000000"/>
                <w:sz w:val="20"/>
                <w:lang w:val="it-IT"/>
              </w:rPr>
            </w:pPr>
            <w:r w:rsidRPr="00857B1D">
              <w:rPr>
                <w:color w:val="000000"/>
                <w:sz w:val="20"/>
                <w:lang w:val="it-IT"/>
              </w:rPr>
              <w:t>Število udeležencev, ki so prejeli podporo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36080B"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DF6091" w14:textId="77777777" w:rsidR="00A77B3E" w:rsidRDefault="00EE0419">
            <w:pPr>
              <w:spacing w:before="100"/>
              <w:jc w:val="right"/>
              <w:rPr>
                <w:color w:val="000000"/>
                <w:sz w:val="20"/>
              </w:rPr>
            </w:pPr>
            <w:r>
              <w:rPr>
                <w:color w:val="000000"/>
                <w:sz w:val="20"/>
              </w:rPr>
              <w:t>5.040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887AF5" w14:textId="77777777" w:rsidR="00A77B3E" w:rsidRDefault="00EE0419">
            <w:pPr>
              <w:spacing w:before="100"/>
              <w:jc w:val="right"/>
              <w:rPr>
                <w:color w:val="000000"/>
                <w:sz w:val="20"/>
              </w:rPr>
            </w:pPr>
            <w:r>
              <w:rPr>
                <w:color w:val="000000"/>
                <w:sz w:val="20"/>
              </w:rPr>
              <w:t>10.690</w:t>
            </w:r>
          </w:p>
        </w:tc>
      </w:tr>
      <w:tr w:rsidR="00EC4D24" w14:paraId="7A5A8F9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210F1C" w14:textId="77777777" w:rsidR="00A77B3E" w:rsidRDefault="00EE0419">
            <w:pPr>
              <w:spacing w:before="100"/>
              <w:rPr>
                <w:color w:val="000000"/>
                <w:sz w:val="20"/>
              </w:rPr>
            </w:pPr>
            <w:r>
              <w:rPr>
                <w:color w:val="000000"/>
                <w:sz w:val="20"/>
              </w:rPr>
              <w:t>O.2.3.1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4D939D" w14:textId="77777777" w:rsidR="00A77B3E" w:rsidRDefault="00EE0419">
            <w:pPr>
              <w:spacing w:before="100"/>
              <w:rPr>
                <w:color w:val="000000"/>
                <w:sz w:val="20"/>
              </w:rPr>
            </w:pPr>
            <w:r>
              <w:rPr>
                <w:color w:val="000000"/>
                <w:sz w:val="20"/>
              </w:rPr>
              <w:t>od tega število udeležencev jezikovnega tečaja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24E433"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533D2A" w14:textId="77777777" w:rsidR="00A77B3E" w:rsidRDefault="00EE0419">
            <w:pPr>
              <w:spacing w:before="100"/>
              <w:jc w:val="right"/>
              <w:rPr>
                <w:color w:val="000000"/>
                <w:sz w:val="20"/>
              </w:rPr>
            </w:pPr>
            <w:r>
              <w:rPr>
                <w:color w:val="000000"/>
                <w:sz w:val="20"/>
              </w:rPr>
              <w:t>4.800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5E366C" w14:textId="77777777" w:rsidR="00A77B3E" w:rsidRDefault="00EE0419">
            <w:pPr>
              <w:spacing w:before="100"/>
              <w:jc w:val="right"/>
              <w:rPr>
                <w:color w:val="000000"/>
                <w:sz w:val="20"/>
              </w:rPr>
            </w:pPr>
            <w:r>
              <w:rPr>
                <w:color w:val="000000"/>
                <w:sz w:val="20"/>
              </w:rPr>
              <w:t>10.000</w:t>
            </w:r>
          </w:p>
        </w:tc>
      </w:tr>
      <w:tr w:rsidR="00EC4D24" w14:paraId="44DA005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449E0D" w14:textId="77777777" w:rsidR="00A77B3E" w:rsidRDefault="00EE0419">
            <w:pPr>
              <w:spacing w:before="100"/>
              <w:rPr>
                <w:color w:val="000000"/>
                <w:sz w:val="20"/>
              </w:rPr>
            </w:pPr>
            <w:r>
              <w:rPr>
                <w:color w:val="000000"/>
                <w:sz w:val="20"/>
              </w:rPr>
              <w:t>O.2.3.2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704A18" w14:textId="77777777" w:rsidR="00A77B3E" w:rsidRDefault="00EE0419">
            <w:pPr>
              <w:spacing w:before="100"/>
              <w:rPr>
                <w:color w:val="000000"/>
                <w:sz w:val="20"/>
              </w:rPr>
            </w:pPr>
            <w:r>
              <w:rPr>
                <w:color w:val="000000"/>
                <w:sz w:val="20"/>
              </w:rPr>
              <w:t>od tega število udeležencev tečaja državljanske vzgoje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D72774"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11517B" w14:textId="77777777" w:rsidR="00A77B3E" w:rsidRDefault="00EE0419">
            <w:pPr>
              <w:spacing w:before="100"/>
              <w:jc w:val="right"/>
              <w:rPr>
                <w:color w:val="000000"/>
                <w:sz w:val="20"/>
              </w:rPr>
            </w:pPr>
            <w:r>
              <w:rPr>
                <w:color w:val="000000"/>
                <w:sz w:val="20"/>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6F81FA" w14:textId="77777777" w:rsidR="00A77B3E" w:rsidRDefault="00EE0419">
            <w:pPr>
              <w:spacing w:before="100"/>
              <w:jc w:val="right"/>
              <w:rPr>
                <w:color w:val="000000"/>
                <w:sz w:val="20"/>
              </w:rPr>
            </w:pPr>
            <w:r>
              <w:rPr>
                <w:color w:val="000000"/>
                <w:sz w:val="20"/>
              </w:rPr>
              <w:t>240</w:t>
            </w:r>
          </w:p>
        </w:tc>
      </w:tr>
      <w:tr w:rsidR="00EC4D24" w14:paraId="2EFDB04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4B6C4E" w14:textId="77777777" w:rsidR="00A77B3E" w:rsidRDefault="00EE0419">
            <w:pPr>
              <w:spacing w:before="100"/>
              <w:rPr>
                <w:color w:val="000000"/>
                <w:sz w:val="20"/>
              </w:rPr>
            </w:pPr>
            <w:r>
              <w:rPr>
                <w:color w:val="000000"/>
                <w:sz w:val="20"/>
              </w:rPr>
              <w:t>O.2.3.3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86EBB7" w14:textId="77777777" w:rsidR="00A77B3E" w:rsidRDefault="00EE0419">
            <w:pPr>
              <w:spacing w:before="100"/>
              <w:rPr>
                <w:color w:val="000000"/>
                <w:sz w:val="20"/>
              </w:rPr>
            </w:pPr>
            <w:r>
              <w:rPr>
                <w:color w:val="000000"/>
                <w:sz w:val="20"/>
              </w:rPr>
              <w:t>od tega število udeležencev, ki so prejeli osebno poklicno svetovanje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0D9D3A"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559A6D" w14:textId="77777777" w:rsidR="00A77B3E" w:rsidRDefault="00EE0419">
            <w:pPr>
              <w:spacing w:before="100"/>
              <w:jc w:val="right"/>
              <w:rPr>
                <w:color w:val="000000"/>
                <w:sz w:val="20"/>
              </w:rPr>
            </w:pPr>
            <w:r>
              <w:rPr>
                <w:color w:val="000000"/>
                <w:sz w:val="20"/>
              </w:rPr>
              <w:t>150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123811" w14:textId="77777777" w:rsidR="00A77B3E" w:rsidRDefault="00EE0419">
            <w:pPr>
              <w:spacing w:before="100"/>
              <w:jc w:val="right"/>
              <w:rPr>
                <w:color w:val="000000"/>
                <w:sz w:val="20"/>
              </w:rPr>
            </w:pPr>
            <w:r>
              <w:rPr>
                <w:color w:val="000000"/>
                <w:sz w:val="20"/>
              </w:rPr>
              <w:t>450</w:t>
            </w:r>
          </w:p>
        </w:tc>
      </w:tr>
      <w:tr w:rsidR="00EC4D24" w14:paraId="593C7A7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6168CA" w14:textId="77777777" w:rsidR="00A77B3E" w:rsidRDefault="00EE0419">
            <w:pPr>
              <w:spacing w:before="100"/>
              <w:rPr>
                <w:color w:val="000000"/>
                <w:sz w:val="20"/>
              </w:rPr>
            </w:pPr>
            <w:r>
              <w:rPr>
                <w:color w:val="000000"/>
                <w:sz w:val="20"/>
              </w:rPr>
              <w:t>O.2.4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FE0007" w14:textId="77777777" w:rsidR="00A77B3E" w:rsidRDefault="00EE0419">
            <w:pPr>
              <w:spacing w:before="100"/>
              <w:rPr>
                <w:color w:val="000000"/>
                <w:sz w:val="20"/>
              </w:rPr>
            </w:pPr>
            <w:r>
              <w:rPr>
                <w:color w:val="000000"/>
                <w:sz w:val="20"/>
              </w:rPr>
              <w:t>Število informacijskih svežnjev in kampanj za ozaveščanje o zakonitih migracijskih poteh v Unijo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53BC92"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76176F" w14:textId="590BB45C" w:rsidR="00711B2D" w:rsidRPr="00711B2D" w:rsidRDefault="00711B2D" w:rsidP="00711B2D">
            <w:pPr>
              <w:spacing w:before="100"/>
              <w:jc w:val="right"/>
              <w:rPr>
                <w:sz w:val="20"/>
              </w:rPr>
            </w:pPr>
            <w:r w:rsidRPr="00711B2D">
              <w:rPr>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6DFAD5" w14:textId="0981CD37" w:rsidR="00A77B3E" w:rsidRPr="00711B2D" w:rsidRDefault="00711B2D" w:rsidP="006D2C24">
            <w:pPr>
              <w:spacing w:before="100"/>
              <w:jc w:val="right"/>
              <w:rPr>
                <w:sz w:val="20"/>
              </w:rPr>
            </w:pPr>
            <w:r w:rsidRPr="00711B2D">
              <w:rPr>
                <w:sz w:val="20"/>
              </w:rPr>
              <w:t>0</w:t>
            </w:r>
          </w:p>
        </w:tc>
      </w:tr>
      <w:tr w:rsidR="00EC4D24" w14:paraId="63627C6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3242AE" w14:textId="77777777" w:rsidR="00A77B3E" w:rsidRDefault="00EE0419">
            <w:pPr>
              <w:spacing w:before="100"/>
              <w:rPr>
                <w:color w:val="000000"/>
                <w:sz w:val="20"/>
              </w:rPr>
            </w:pPr>
            <w:r>
              <w:rPr>
                <w:color w:val="000000"/>
                <w:sz w:val="20"/>
              </w:rPr>
              <w:t>O.2.5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34C9D4" w14:textId="77777777" w:rsidR="00A77B3E" w:rsidRDefault="00EE0419">
            <w:pPr>
              <w:spacing w:before="100"/>
              <w:rPr>
                <w:color w:val="000000"/>
                <w:sz w:val="20"/>
              </w:rPr>
            </w:pPr>
            <w:r>
              <w:rPr>
                <w:color w:val="000000"/>
                <w:sz w:val="20"/>
              </w:rPr>
              <w:t>Število udeležencev, ki so prejeli informacije in/ali pomoč pri vložitvi prošnje za združitev družine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2FA1D5"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604C1C" w14:textId="77777777" w:rsidR="00A77B3E" w:rsidRDefault="00EE0419">
            <w:pPr>
              <w:spacing w:before="100"/>
              <w:jc w:val="right"/>
              <w:rPr>
                <w:color w:val="000000"/>
                <w:sz w:val="20"/>
              </w:rPr>
            </w:pPr>
            <w:r>
              <w:rPr>
                <w:color w:val="000000"/>
                <w:sz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549EF1" w14:textId="77777777" w:rsidR="00A77B3E" w:rsidRDefault="00EE0419">
            <w:pPr>
              <w:spacing w:before="100"/>
              <w:jc w:val="right"/>
              <w:rPr>
                <w:color w:val="000000"/>
                <w:sz w:val="20"/>
              </w:rPr>
            </w:pPr>
            <w:r>
              <w:rPr>
                <w:color w:val="000000"/>
                <w:sz w:val="20"/>
              </w:rPr>
              <w:t>25</w:t>
            </w:r>
          </w:p>
        </w:tc>
      </w:tr>
      <w:tr w:rsidR="00EC4D24" w14:paraId="695EFAB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4BA175" w14:textId="77777777" w:rsidR="00A77B3E" w:rsidRDefault="00EE0419">
            <w:pPr>
              <w:spacing w:before="100"/>
              <w:rPr>
                <w:color w:val="000000"/>
                <w:sz w:val="20"/>
              </w:rPr>
            </w:pPr>
            <w:r>
              <w:rPr>
                <w:color w:val="000000"/>
                <w:sz w:val="20"/>
              </w:rPr>
              <w:t>O.2.6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7DF31F" w14:textId="77777777" w:rsidR="00A77B3E" w:rsidRPr="00857B1D" w:rsidRDefault="00EE0419">
            <w:pPr>
              <w:spacing w:before="100"/>
              <w:rPr>
                <w:color w:val="000000"/>
                <w:sz w:val="20"/>
                <w:lang w:val="it-IT"/>
              </w:rPr>
            </w:pPr>
            <w:r w:rsidRPr="00857B1D">
              <w:rPr>
                <w:color w:val="000000"/>
                <w:sz w:val="20"/>
                <w:lang w:val="it-IT"/>
              </w:rPr>
              <w:t>Število udeležencev, ki so upravičeni do programov mobilnosti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E4E280"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D21441" w14:textId="77777777" w:rsidR="00A77B3E" w:rsidRDefault="00EE0419">
            <w:pPr>
              <w:spacing w:before="100"/>
              <w:jc w:val="right"/>
              <w:rPr>
                <w:color w:val="000000"/>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5FCD98" w14:textId="77777777" w:rsidR="00A77B3E" w:rsidRDefault="00EE0419">
            <w:pPr>
              <w:spacing w:before="100"/>
              <w:jc w:val="right"/>
              <w:rPr>
                <w:color w:val="000000"/>
                <w:sz w:val="20"/>
              </w:rPr>
            </w:pPr>
            <w:r>
              <w:rPr>
                <w:color w:val="000000"/>
                <w:sz w:val="20"/>
              </w:rPr>
              <w:t>0</w:t>
            </w:r>
          </w:p>
        </w:tc>
      </w:tr>
      <w:tr w:rsidR="00EC4D24" w14:paraId="32C79D1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C5F92D" w14:textId="77777777" w:rsidR="00A77B3E" w:rsidRDefault="00EE0419">
            <w:pPr>
              <w:spacing w:before="100"/>
              <w:rPr>
                <w:color w:val="000000"/>
                <w:sz w:val="20"/>
              </w:rPr>
            </w:pPr>
            <w:r>
              <w:rPr>
                <w:color w:val="000000"/>
                <w:sz w:val="20"/>
              </w:rPr>
              <w:t>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F52F5A" w14:textId="77777777" w:rsidR="00A77B3E" w:rsidRDefault="00EE0419">
            <w:pPr>
              <w:spacing w:before="100"/>
              <w:rPr>
                <w:color w:val="000000"/>
                <w:sz w:val="20"/>
              </w:rPr>
            </w:pPr>
            <w:r>
              <w:rPr>
                <w:color w:val="000000"/>
                <w:sz w:val="20"/>
              </w:rPr>
              <w:t>Število projektov vključevanja, v okviru katerih so upravičenci lokalni in regionalni organi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268135"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37D5A6" w14:textId="77777777" w:rsidR="00A77B3E" w:rsidRDefault="00EE0419">
            <w:pPr>
              <w:spacing w:before="100"/>
              <w:jc w:val="right"/>
              <w:rPr>
                <w:color w:val="000000"/>
                <w:sz w:val="20"/>
              </w:rPr>
            </w:pPr>
            <w:r>
              <w:rPr>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0C23D5" w14:textId="77777777" w:rsidR="00A77B3E" w:rsidRDefault="00EE0419">
            <w:pPr>
              <w:spacing w:before="100"/>
              <w:jc w:val="right"/>
              <w:rPr>
                <w:color w:val="000000"/>
                <w:sz w:val="20"/>
              </w:rPr>
            </w:pPr>
            <w:r>
              <w:rPr>
                <w:color w:val="000000"/>
                <w:sz w:val="20"/>
              </w:rPr>
              <w:t>10</w:t>
            </w:r>
          </w:p>
        </w:tc>
      </w:tr>
    </w:tbl>
    <w:p w14:paraId="2EE32965" w14:textId="77777777" w:rsidR="00A77B3E" w:rsidRPr="00857B1D" w:rsidRDefault="00EE0419">
      <w:pPr>
        <w:spacing w:before="100"/>
        <w:rPr>
          <w:color w:val="000000"/>
          <w:lang w:val="it-IT"/>
        </w:rPr>
      </w:pPr>
      <w:r w:rsidRPr="00857B1D">
        <w:rPr>
          <w:color w:val="000000"/>
          <w:sz w:val="20"/>
          <w:lang w:val="it-IT"/>
        </w:rPr>
        <w:br w:type="page"/>
      </w:r>
      <w:r w:rsidRPr="00857B1D">
        <w:rPr>
          <w:color w:val="000000"/>
          <w:lang w:val="it-IT"/>
        </w:rPr>
        <w:lastRenderedPageBreak/>
        <w:t>2.1. Specifični cilj 2. Zakonite migracije in vključevanje</w:t>
      </w:r>
    </w:p>
    <w:p w14:paraId="5BB7C295" w14:textId="77777777" w:rsidR="00A77B3E" w:rsidRPr="00857B1D" w:rsidRDefault="00EE0419">
      <w:pPr>
        <w:spacing w:before="100"/>
        <w:rPr>
          <w:color w:val="000000"/>
          <w:sz w:val="0"/>
          <w:lang w:val="it-IT"/>
        </w:rPr>
      </w:pPr>
      <w:r w:rsidRPr="00857B1D">
        <w:rPr>
          <w:color w:val="000000"/>
          <w:lang w:val="it-IT"/>
        </w:rPr>
        <w:t>2.1.2. Kazalniki</w:t>
      </w:r>
    </w:p>
    <w:p w14:paraId="33B0C57E" w14:textId="77777777" w:rsidR="00A77B3E" w:rsidRPr="00857B1D" w:rsidRDefault="00EE0419">
      <w:pPr>
        <w:spacing w:before="100"/>
        <w:rPr>
          <w:color w:val="000000"/>
          <w:sz w:val="12"/>
          <w:lang w:val="it-IT"/>
        </w:rPr>
      </w:pPr>
      <w:r w:rsidRPr="00857B1D">
        <w:rPr>
          <w:color w:val="000000"/>
          <w:lang w:val="it-IT"/>
        </w:rPr>
        <w:t>Sklic: člen 22(4)(e) uredbe o skupnih določbah</w:t>
      </w:r>
    </w:p>
    <w:p w14:paraId="1F9533D0" w14:textId="77777777" w:rsidR="00A77B3E" w:rsidRDefault="00EE0419">
      <w:pPr>
        <w:pStyle w:val="Naslov4"/>
        <w:spacing w:before="100" w:after="0"/>
        <w:rPr>
          <w:b w:val="0"/>
          <w:color w:val="000000"/>
          <w:sz w:val="24"/>
        </w:rPr>
      </w:pPr>
      <w:bookmarkStart w:id="14" w:name="_Toc256000078"/>
      <w:r>
        <w:rPr>
          <w:b w:val="0"/>
          <w:color w:val="000000"/>
          <w:sz w:val="24"/>
        </w:rPr>
        <w:t>Tabela 2: Kazalniki rezultatov</w:t>
      </w:r>
      <w:bookmarkEnd w:id="14"/>
    </w:p>
    <w:p w14:paraId="39F17F8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76"/>
        <w:gridCol w:w="1517"/>
        <w:gridCol w:w="1517"/>
        <w:gridCol w:w="1517"/>
        <w:gridCol w:w="1517"/>
        <w:gridCol w:w="1517"/>
        <w:gridCol w:w="1517"/>
        <w:gridCol w:w="1517"/>
        <w:gridCol w:w="1517"/>
      </w:tblGrid>
      <w:tr w:rsidR="00EC4D24" w14:paraId="27CA462E" w14:textId="77777777">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B5B357" w14:textId="77777777" w:rsidR="00A77B3E" w:rsidRDefault="00EE0419">
            <w:pPr>
              <w:spacing w:before="100"/>
              <w:jc w:val="center"/>
              <w:rPr>
                <w:color w:val="000000"/>
                <w:sz w:val="20"/>
              </w:rPr>
            </w:pPr>
            <w:r>
              <w:rPr>
                <w:color w:val="000000"/>
                <w:sz w:val="20"/>
              </w:rPr>
              <w:t>Identifikator</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ADAF8D" w14:textId="77777777" w:rsidR="00A77B3E" w:rsidRDefault="00EE0419">
            <w:pPr>
              <w:spacing w:before="100"/>
              <w:jc w:val="center"/>
              <w:rPr>
                <w:color w:val="000000"/>
                <w:sz w:val="20"/>
              </w:rPr>
            </w:pPr>
            <w:r>
              <w:rPr>
                <w:color w:val="000000"/>
                <w:sz w:val="20"/>
              </w:rPr>
              <w:t>Kazalnik</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348EBE" w14:textId="77777777" w:rsidR="00A77B3E" w:rsidRDefault="00EE0419">
            <w:pPr>
              <w:spacing w:before="100"/>
              <w:jc w:val="center"/>
              <w:rPr>
                <w:color w:val="000000"/>
                <w:sz w:val="20"/>
              </w:rPr>
            </w:pPr>
            <w:r>
              <w:rPr>
                <w:color w:val="000000"/>
                <w:sz w:val="20"/>
              </w:rPr>
              <w:t>Merska enota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54B7CA" w14:textId="77777777" w:rsidR="00A77B3E" w:rsidRDefault="00EE0419">
            <w:pPr>
              <w:spacing w:before="100"/>
              <w:jc w:val="center"/>
              <w:rPr>
                <w:color w:val="000000"/>
                <w:sz w:val="20"/>
              </w:rPr>
            </w:pPr>
            <w:r>
              <w:rPr>
                <w:color w:val="000000"/>
                <w:sz w:val="20"/>
              </w:rPr>
              <w:t>Izhodišče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1B6CAB" w14:textId="77777777" w:rsidR="00A77B3E" w:rsidRDefault="00EE0419">
            <w:pPr>
              <w:spacing w:before="100"/>
              <w:jc w:val="center"/>
              <w:rPr>
                <w:color w:val="000000"/>
                <w:sz w:val="20"/>
              </w:rPr>
            </w:pPr>
            <w:r>
              <w:rPr>
                <w:color w:val="000000"/>
                <w:sz w:val="20"/>
              </w:rPr>
              <w:t>Merska enota za izhodišče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24B403" w14:textId="77777777" w:rsidR="00A77B3E" w:rsidRDefault="00EE0419">
            <w:pPr>
              <w:spacing w:before="100"/>
              <w:jc w:val="center"/>
              <w:rPr>
                <w:color w:val="000000"/>
                <w:sz w:val="20"/>
              </w:rPr>
            </w:pPr>
            <w:r>
              <w:rPr>
                <w:color w:val="000000"/>
                <w:sz w:val="20"/>
              </w:rPr>
              <w:t>Referenčna leta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1AB366" w14:textId="77777777" w:rsidR="00A77B3E" w:rsidRDefault="00EE0419">
            <w:pPr>
              <w:spacing w:before="100"/>
              <w:jc w:val="center"/>
              <w:rPr>
                <w:color w:val="000000"/>
                <w:sz w:val="20"/>
              </w:rPr>
            </w:pPr>
            <w:r>
              <w:rPr>
                <w:color w:val="000000"/>
                <w:sz w:val="20"/>
              </w:rPr>
              <w:t>Cilj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6147DD" w14:textId="77777777" w:rsidR="00A77B3E" w:rsidRDefault="00EE0419">
            <w:pPr>
              <w:spacing w:before="100"/>
              <w:jc w:val="center"/>
              <w:rPr>
                <w:color w:val="000000"/>
                <w:sz w:val="20"/>
              </w:rPr>
            </w:pPr>
            <w:r>
              <w:rPr>
                <w:color w:val="000000"/>
                <w:sz w:val="20"/>
              </w:rPr>
              <w:t>Merska enota za cilj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0ED422" w14:textId="77777777" w:rsidR="00A77B3E" w:rsidRDefault="00EE0419">
            <w:pPr>
              <w:spacing w:before="100"/>
              <w:jc w:val="center"/>
              <w:rPr>
                <w:color w:val="000000"/>
                <w:sz w:val="20"/>
              </w:rPr>
            </w:pPr>
            <w:r>
              <w:rPr>
                <w:color w:val="000000"/>
                <w:sz w:val="20"/>
              </w:rPr>
              <w:t>Vir podatkov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ECF6F1" w14:textId="77777777" w:rsidR="00A77B3E" w:rsidRDefault="00EE0419">
            <w:pPr>
              <w:spacing w:before="100"/>
              <w:rPr>
                <w:color w:val="000000"/>
                <w:sz w:val="20"/>
              </w:rPr>
            </w:pPr>
            <w:r>
              <w:rPr>
                <w:color w:val="000000"/>
                <w:sz w:val="20"/>
              </w:rPr>
              <w:t>Opombe</w:t>
            </w:r>
          </w:p>
        </w:tc>
      </w:tr>
      <w:tr w:rsidR="00EC4D24" w14:paraId="257161AF"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F32942" w14:textId="77777777" w:rsidR="00A77B3E" w:rsidRDefault="00EE0419">
            <w:pPr>
              <w:spacing w:before="100"/>
              <w:rPr>
                <w:color w:val="000000"/>
                <w:sz w:val="20"/>
              </w:rPr>
            </w:pPr>
            <w:r>
              <w:rPr>
                <w:color w:val="000000"/>
                <w:sz w:val="20"/>
              </w:rPr>
              <w:t>R.2.8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827496" w14:textId="77777777" w:rsidR="00A77B3E" w:rsidRDefault="00EE0419">
            <w:pPr>
              <w:spacing w:before="100"/>
              <w:rPr>
                <w:color w:val="000000"/>
                <w:sz w:val="20"/>
              </w:rPr>
            </w:pPr>
            <w:r>
              <w:rPr>
                <w:color w:val="000000"/>
                <w:sz w:val="20"/>
              </w:rPr>
              <w:t>Število udeležencev jezikovnih tečajev, ki so po koncu tečaja izboljšali raven svojega znanja jezika države gostiteljice vsaj za eno stopnjo glede na skupni evropski referenčni okvir za jezike ali enakovreden nacionalni okvir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BF6D65"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D47970" w14:textId="77777777" w:rsidR="00A77B3E" w:rsidRDefault="00EE0419">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436493" w14:textId="77777777" w:rsidR="00A77B3E" w:rsidRDefault="00EE0419">
            <w:pPr>
              <w:spacing w:before="100"/>
              <w:rPr>
                <w:color w:val="000000"/>
                <w:sz w:val="20"/>
              </w:rPr>
            </w:pPr>
            <w:r>
              <w:rPr>
                <w:color w:val="000000"/>
                <w:sz w:val="20"/>
              </w:rPr>
              <w:t>delež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763FA8" w14:textId="77777777" w:rsidR="00A77B3E" w:rsidRDefault="00EE0419">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750239" w14:textId="77777777" w:rsidR="00A77B3E" w:rsidRDefault="00EE0419">
            <w:pPr>
              <w:spacing w:before="100"/>
              <w:jc w:val="center"/>
              <w:rPr>
                <w:color w:val="000000"/>
                <w:sz w:val="20"/>
              </w:rPr>
            </w:pPr>
            <w:r>
              <w:rPr>
                <w:color w:val="000000"/>
                <w:sz w:val="20"/>
              </w:rPr>
              <w:t>8.000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E317A8"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0F3E6F" w14:textId="77777777" w:rsidR="00A77B3E" w:rsidRDefault="00EE0419">
            <w:pPr>
              <w:spacing w:before="100"/>
              <w:rPr>
                <w:color w:val="000000"/>
                <w:sz w:val="20"/>
              </w:rPr>
            </w:pPr>
            <w:r>
              <w:rPr>
                <w:color w:val="000000"/>
                <w:sz w:val="20"/>
              </w:rPr>
              <w:t>Evidence, poročila in ankete jezikovnih šol; interne evidence UOIM o izvedenih usposabljanjih; letno poročilo UOIM.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DAD6DB" w14:textId="77777777" w:rsidR="00A77B3E" w:rsidRDefault="00A77B3E">
            <w:pPr>
              <w:spacing w:before="100"/>
              <w:rPr>
                <w:color w:val="000000"/>
                <w:sz w:val="20"/>
              </w:rPr>
            </w:pPr>
          </w:p>
        </w:tc>
      </w:tr>
      <w:tr w:rsidR="00EC4D24" w14:paraId="502E199E"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BD2D0D" w14:textId="77777777" w:rsidR="00A77B3E" w:rsidRDefault="00EE0419">
            <w:pPr>
              <w:spacing w:before="100"/>
              <w:rPr>
                <w:color w:val="000000"/>
                <w:sz w:val="20"/>
              </w:rPr>
            </w:pPr>
            <w:r>
              <w:rPr>
                <w:color w:val="000000"/>
                <w:sz w:val="20"/>
              </w:rPr>
              <w:t>R.2.9</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760139" w14:textId="77777777" w:rsidR="00A77B3E" w:rsidRDefault="00EE0419">
            <w:pPr>
              <w:spacing w:before="100"/>
              <w:rPr>
                <w:color w:val="000000"/>
                <w:sz w:val="20"/>
              </w:rPr>
            </w:pPr>
            <w:r>
              <w:rPr>
                <w:color w:val="000000"/>
                <w:sz w:val="20"/>
              </w:rPr>
              <w:t>Število udeležencev, ki poročajo, da je bila dejavnost koristna za njihovo vključevanje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19B5B4"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5CBDF8" w14:textId="77777777" w:rsidR="00A77B3E" w:rsidRDefault="00EE0419">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F08512" w14:textId="77777777" w:rsidR="00A77B3E" w:rsidRDefault="00EE0419">
            <w:pPr>
              <w:spacing w:before="100"/>
              <w:rPr>
                <w:color w:val="000000"/>
                <w:sz w:val="20"/>
              </w:rPr>
            </w:pPr>
            <w:r>
              <w:rPr>
                <w:color w:val="000000"/>
                <w:sz w:val="20"/>
              </w:rPr>
              <w:t>delež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2DE34B" w14:textId="77777777" w:rsidR="00A77B3E" w:rsidRDefault="00EE0419">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75B9B2" w14:textId="77777777" w:rsidR="00A77B3E" w:rsidRDefault="00EE0419">
            <w:pPr>
              <w:spacing w:before="100"/>
              <w:jc w:val="center"/>
              <w:rPr>
                <w:color w:val="000000"/>
                <w:sz w:val="20"/>
              </w:rPr>
            </w:pPr>
            <w:r>
              <w:rPr>
                <w:color w:val="000000"/>
                <w:sz w:val="20"/>
              </w:rPr>
              <w:t>5.345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61A878"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88F663" w14:textId="77777777" w:rsidR="00A77B3E" w:rsidRDefault="00EE0419">
            <w:pPr>
              <w:spacing w:before="100"/>
              <w:rPr>
                <w:color w:val="000000"/>
                <w:sz w:val="20"/>
              </w:rPr>
            </w:pPr>
            <w:r>
              <w:rPr>
                <w:color w:val="000000"/>
                <w:sz w:val="20"/>
              </w:rPr>
              <w:t>Evidence, poročila in ankete jezikovnih šol; interne evidence UOIM o izvedenih usposabljanjih; letno poročilo UOIM.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60F1EF" w14:textId="77777777" w:rsidR="00A77B3E" w:rsidRDefault="00A77B3E">
            <w:pPr>
              <w:spacing w:before="100"/>
              <w:rPr>
                <w:color w:val="000000"/>
                <w:sz w:val="20"/>
              </w:rPr>
            </w:pPr>
          </w:p>
        </w:tc>
      </w:tr>
      <w:tr w:rsidR="00EC4D24" w14:paraId="236C5CEC"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999A4B" w14:textId="77777777" w:rsidR="00A77B3E" w:rsidRDefault="00EE0419">
            <w:pPr>
              <w:spacing w:before="100"/>
              <w:rPr>
                <w:color w:val="000000"/>
                <w:sz w:val="20"/>
              </w:rPr>
            </w:pPr>
            <w:r>
              <w:rPr>
                <w:color w:val="000000"/>
                <w:sz w:val="20"/>
              </w:rPr>
              <w:t>R.2.10</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C0E533" w14:textId="77777777" w:rsidR="00A77B3E" w:rsidRDefault="00EE0419">
            <w:pPr>
              <w:spacing w:before="100"/>
              <w:rPr>
                <w:color w:val="000000"/>
                <w:sz w:val="20"/>
              </w:rPr>
            </w:pPr>
            <w:r>
              <w:rPr>
                <w:color w:val="000000"/>
                <w:sz w:val="20"/>
              </w:rPr>
              <w:t>Število udeležencev, ki so zaprosili za priznanje/ocenjevanje svojih kvalifikacij ali znanj in spretnosti, pridobljenih v tretji državi</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25809D"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C3CB86" w14:textId="77777777" w:rsidR="00A77B3E" w:rsidRDefault="00EE0419">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6387E8"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6199E9" w14:textId="77777777" w:rsidR="00A77B3E" w:rsidRDefault="00EE0419">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5A5630" w14:textId="77777777" w:rsidR="00A77B3E" w:rsidRDefault="00EE0419">
            <w:pPr>
              <w:spacing w:before="100"/>
              <w:jc w:val="center"/>
              <w:rPr>
                <w:color w:val="000000"/>
                <w:sz w:val="20"/>
              </w:rPr>
            </w:pPr>
            <w:r>
              <w:rPr>
                <w:color w:val="000000"/>
                <w:sz w:val="20"/>
              </w:rPr>
              <w:t>50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A94169"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3F280C" w14:textId="77777777" w:rsidR="00A77B3E" w:rsidRDefault="00EE0419">
            <w:pPr>
              <w:spacing w:before="100"/>
              <w:rPr>
                <w:color w:val="000000"/>
                <w:sz w:val="20"/>
              </w:rPr>
            </w:pPr>
            <w:r>
              <w:rPr>
                <w:color w:val="000000"/>
                <w:sz w:val="20"/>
              </w:rPr>
              <w:t>Interne evidence UOIM o naročenih sodnih prevodih diplom/ spričeval.</w:t>
            </w:r>
          </w:p>
          <w:p w14:paraId="49F0121A" w14:textId="77777777" w:rsidR="00A77B3E" w:rsidRDefault="00A77B3E">
            <w:pPr>
              <w:spacing w:before="100"/>
              <w:rPr>
                <w:color w:val="000000"/>
                <w:sz w:val="20"/>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F33CB3" w14:textId="77777777" w:rsidR="00A77B3E" w:rsidRDefault="00A77B3E">
            <w:pPr>
              <w:spacing w:before="100"/>
              <w:rPr>
                <w:color w:val="000000"/>
                <w:sz w:val="20"/>
              </w:rPr>
            </w:pPr>
          </w:p>
        </w:tc>
      </w:tr>
      <w:tr w:rsidR="00EC4D24" w14:paraId="03F2DF75"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357E90" w14:textId="77777777" w:rsidR="00A77B3E" w:rsidRDefault="00EE0419">
            <w:pPr>
              <w:spacing w:before="100"/>
              <w:rPr>
                <w:color w:val="000000"/>
                <w:sz w:val="20"/>
              </w:rPr>
            </w:pPr>
            <w:r>
              <w:rPr>
                <w:color w:val="000000"/>
                <w:sz w:val="20"/>
              </w:rPr>
              <w:t>R.2.11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450FF7" w14:textId="77777777" w:rsidR="00A77B3E" w:rsidRPr="00857B1D" w:rsidRDefault="00EE0419">
            <w:pPr>
              <w:spacing w:before="100"/>
              <w:rPr>
                <w:color w:val="000000"/>
                <w:sz w:val="20"/>
                <w:lang w:val="it-IT"/>
              </w:rPr>
            </w:pPr>
            <w:r w:rsidRPr="00857B1D">
              <w:rPr>
                <w:color w:val="000000"/>
                <w:sz w:val="20"/>
                <w:lang w:val="it-IT"/>
              </w:rPr>
              <w:t>Število udeležencev, ki so zaprosili za dolgoročni status rezidenta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822C4D"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EA814E" w14:textId="77777777" w:rsidR="00A77B3E" w:rsidRDefault="00EE0419">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6F6693"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BEFC0E" w14:textId="77777777" w:rsidR="00A77B3E" w:rsidRDefault="00EE0419">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D87915" w14:textId="77777777" w:rsidR="00A77B3E" w:rsidRDefault="00EE0419">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A9E5DC"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E3EA7B" w14:textId="77777777" w:rsidR="00A77B3E" w:rsidRDefault="00EE0419">
            <w:pPr>
              <w:spacing w:before="100"/>
              <w:rPr>
                <w:color w:val="000000"/>
                <w:sz w:val="20"/>
              </w:rPr>
            </w:pPr>
            <w:r>
              <w:rPr>
                <w:color w:val="000000"/>
                <w:sz w:val="20"/>
              </w:rPr>
              <w:t>Interne evidence UOIM.</w:t>
            </w:r>
          </w:p>
          <w:p w14:paraId="43A76E6A" w14:textId="77777777" w:rsidR="00A77B3E" w:rsidRDefault="00A77B3E">
            <w:pPr>
              <w:spacing w:before="100"/>
              <w:rPr>
                <w:color w:val="000000"/>
                <w:sz w:val="20"/>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43AA8F" w14:textId="77777777" w:rsidR="00A77B3E" w:rsidRDefault="00A77B3E">
            <w:pPr>
              <w:spacing w:before="100"/>
              <w:rPr>
                <w:color w:val="000000"/>
                <w:sz w:val="20"/>
              </w:rPr>
            </w:pPr>
          </w:p>
        </w:tc>
      </w:tr>
    </w:tbl>
    <w:p w14:paraId="17734520" w14:textId="77777777" w:rsidR="00A77B3E" w:rsidRDefault="00A77B3E">
      <w:pPr>
        <w:spacing w:before="100"/>
        <w:rPr>
          <w:color w:val="000000"/>
          <w:sz w:val="20"/>
        </w:rPr>
        <w:sectPr w:rsidR="00A77B3E">
          <w:headerReference w:type="even" r:id="rId37"/>
          <w:headerReference w:type="default" r:id="rId38"/>
          <w:footerReference w:type="even" r:id="rId39"/>
          <w:footerReference w:type="default" r:id="rId40"/>
          <w:headerReference w:type="first" r:id="rId41"/>
          <w:footerReference w:type="first" r:id="rId42"/>
          <w:pgSz w:w="16838" w:h="11906" w:orient="landscape"/>
          <w:pgMar w:top="720" w:right="720" w:bottom="864" w:left="936" w:header="288" w:footer="72" w:gutter="0"/>
          <w:cols w:space="720"/>
          <w:noEndnote/>
          <w:docGrid w:linePitch="360"/>
        </w:sectPr>
      </w:pPr>
    </w:p>
    <w:p w14:paraId="3C2FAA40" w14:textId="77777777" w:rsidR="00A77B3E" w:rsidRPr="00857B1D" w:rsidRDefault="00EE0419">
      <w:pPr>
        <w:spacing w:before="100"/>
        <w:rPr>
          <w:color w:val="000000"/>
          <w:sz w:val="0"/>
          <w:lang w:val="it-IT"/>
        </w:rPr>
      </w:pPr>
      <w:r w:rsidRPr="00857B1D">
        <w:rPr>
          <w:color w:val="000000"/>
          <w:lang w:val="it-IT"/>
        </w:rPr>
        <w:lastRenderedPageBreak/>
        <w:t>2.1. Specifični cilj 2. Zakonite migracije in vključevanje</w:t>
      </w:r>
    </w:p>
    <w:p w14:paraId="0BA339FC" w14:textId="77777777" w:rsidR="00A77B3E" w:rsidRPr="00857B1D" w:rsidRDefault="00EE0419">
      <w:pPr>
        <w:pStyle w:val="Naslov3"/>
        <w:spacing w:before="100" w:after="0"/>
        <w:rPr>
          <w:rFonts w:ascii="Times New Roman" w:hAnsi="Times New Roman" w:cs="Times New Roman"/>
          <w:b w:val="0"/>
          <w:color w:val="000000"/>
          <w:sz w:val="24"/>
          <w:lang w:val="it-IT"/>
        </w:rPr>
      </w:pPr>
      <w:bookmarkStart w:id="15" w:name="_Toc256000079"/>
      <w:r w:rsidRPr="00857B1D">
        <w:rPr>
          <w:rFonts w:ascii="Times New Roman" w:hAnsi="Times New Roman" w:cs="Times New Roman"/>
          <w:b w:val="0"/>
          <w:color w:val="000000"/>
          <w:sz w:val="24"/>
          <w:lang w:val="it-IT"/>
        </w:rPr>
        <w:t>2.1.3. Okvirna razčlenitev programskih sredstev (EU) po vrsti ukrepa</w:t>
      </w:r>
      <w:bookmarkEnd w:id="15"/>
    </w:p>
    <w:p w14:paraId="0FF43F22" w14:textId="77777777" w:rsidR="00A77B3E" w:rsidRPr="00857B1D" w:rsidRDefault="00EE0419">
      <w:pPr>
        <w:spacing w:before="100"/>
        <w:rPr>
          <w:color w:val="000000"/>
          <w:lang w:val="it-IT"/>
        </w:rPr>
      </w:pPr>
      <w:r w:rsidRPr="00857B1D">
        <w:rPr>
          <w:color w:val="000000"/>
          <w:lang w:val="it-IT"/>
        </w:rPr>
        <w:t>Sklic: člen 22(5) uredbe o skupnih določbah, člen 16(2) uredbe o AMIF, člen 13(12) uredbe o SNV ali člen 13(18) uredbe o IUMV</w:t>
      </w:r>
    </w:p>
    <w:p w14:paraId="2826B2E0" w14:textId="77777777" w:rsidR="00A77B3E" w:rsidRDefault="00EE0419">
      <w:pPr>
        <w:pStyle w:val="Naslov4"/>
        <w:spacing w:before="100" w:after="0"/>
        <w:rPr>
          <w:b w:val="0"/>
          <w:color w:val="000000"/>
          <w:sz w:val="24"/>
        </w:rPr>
      </w:pPr>
      <w:bookmarkStart w:id="16" w:name="_Toc256000080"/>
      <w:r>
        <w:rPr>
          <w:b w:val="0"/>
          <w:color w:val="000000"/>
          <w:sz w:val="24"/>
        </w:rPr>
        <w:t>Tabela 3: Okvirna razčlenitev</w:t>
      </w:r>
      <w:bookmarkEnd w:id="16"/>
    </w:p>
    <w:p w14:paraId="6FA905B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9715"/>
        <w:gridCol w:w="2900"/>
      </w:tblGrid>
      <w:tr w:rsidR="00EC4D24" w14:paraId="4D80061C"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4CAB6C" w14:textId="77777777" w:rsidR="00A77B3E" w:rsidRDefault="00EE0419">
            <w:pPr>
              <w:spacing w:before="100"/>
              <w:rPr>
                <w:color w:val="000000"/>
                <w:sz w:val="20"/>
              </w:rPr>
            </w:pPr>
            <w:r>
              <w:rPr>
                <w:color w:val="000000"/>
                <w:sz w:val="20"/>
              </w:rPr>
              <w:t>Vrsta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5930C5" w14:textId="77777777" w:rsidR="00A77B3E" w:rsidRDefault="00EE0419">
            <w:pPr>
              <w:spacing w:before="100"/>
              <w:rPr>
                <w:color w:val="000000"/>
                <w:sz w:val="20"/>
              </w:rPr>
            </w:pPr>
            <w:r>
              <w:rPr>
                <w:color w:val="000000"/>
                <w:sz w:val="20"/>
              </w:rPr>
              <w:t>Oznaka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B0A394" w14:textId="77777777" w:rsidR="00A77B3E" w:rsidRDefault="00EE0419">
            <w:pPr>
              <w:spacing w:before="100"/>
              <w:jc w:val="right"/>
              <w:rPr>
                <w:color w:val="000000"/>
                <w:sz w:val="20"/>
              </w:rPr>
            </w:pPr>
            <w:r>
              <w:rPr>
                <w:color w:val="000000"/>
                <w:sz w:val="20"/>
              </w:rPr>
              <w:t>Okvirni znesek (v EUR)</w:t>
            </w:r>
          </w:p>
        </w:tc>
      </w:tr>
      <w:tr w:rsidR="00EC4D24" w14:paraId="60CE707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77337F"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FF5904" w14:textId="77777777" w:rsidR="00A77B3E" w:rsidRDefault="00EE0419">
            <w:pPr>
              <w:spacing w:before="100"/>
              <w:rPr>
                <w:color w:val="000000"/>
                <w:sz w:val="20"/>
              </w:rPr>
            </w:pPr>
            <w:r>
              <w:rPr>
                <w:color w:val="000000"/>
                <w:sz w:val="20"/>
              </w:rPr>
              <w:t>001.Razvoj strategij vključevanja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06CC0A" w14:textId="77777777" w:rsidR="00A77B3E" w:rsidRDefault="00EE0419">
            <w:pPr>
              <w:spacing w:before="100"/>
              <w:jc w:val="right"/>
              <w:rPr>
                <w:color w:val="000000"/>
                <w:sz w:val="20"/>
              </w:rPr>
            </w:pPr>
            <w:r>
              <w:rPr>
                <w:color w:val="000000"/>
                <w:sz w:val="20"/>
              </w:rPr>
              <w:t>385.000,00</w:t>
            </w:r>
          </w:p>
        </w:tc>
      </w:tr>
      <w:tr w:rsidR="00EC4D24" w14:paraId="41AD87C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BCDD4B"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826733" w14:textId="77777777" w:rsidR="00A77B3E" w:rsidRDefault="00EE0419">
            <w:pPr>
              <w:spacing w:before="100"/>
              <w:rPr>
                <w:color w:val="000000"/>
                <w:sz w:val="20"/>
              </w:rPr>
            </w:pPr>
            <w:r>
              <w:rPr>
                <w:color w:val="000000"/>
                <w:sz w:val="20"/>
              </w:rPr>
              <w:t>002.Žrtve trgovine z ljudmi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BE1161" w14:textId="77777777" w:rsidR="00A77B3E" w:rsidRDefault="00EE0419">
            <w:pPr>
              <w:spacing w:before="100"/>
              <w:jc w:val="right"/>
              <w:rPr>
                <w:color w:val="000000"/>
                <w:sz w:val="20"/>
              </w:rPr>
            </w:pPr>
            <w:r>
              <w:rPr>
                <w:color w:val="000000"/>
                <w:sz w:val="20"/>
              </w:rPr>
              <w:t>0,00</w:t>
            </w:r>
          </w:p>
        </w:tc>
      </w:tr>
      <w:tr w:rsidR="00EC4D24" w14:paraId="20C1991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3E0F4B"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DD86B7" w14:textId="77777777" w:rsidR="00A77B3E" w:rsidRDefault="00EE0419">
            <w:pPr>
              <w:spacing w:before="100"/>
              <w:rPr>
                <w:color w:val="000000"/>
                <w:sz w:val="20"/>
              </w:rPr>
            </w:pPr>
            <w:r>
              <w:rPr>
                <w:color w:val="000000"/>
                <w:sz w:val="20"/>
              </w:rPr>
              <w:t>003.Ukrepi za vključevanje – informiranje in usmerjanje, točke „vse na enem mestu“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85E57B" w14:textId="77777777" w:rsidR="00A77B3E" w:rsidRDefault="00EE0419">
            <w:pPr>
              <w:spacing w:before="100"/>
              <w:jc w:val="right"/>
              <w:rPr>
                <w:color w:val="000000"/>
                <w:sz w:val="20"/>
              </w:rPr>
            </w:pPr>
            <w:r>
              <w:rPr>
                <w:color w:val="000000"/>
                <w:sz w:val="20"/>
              </w:rPr>
              <w:t>1.650.000,00</w:t>
            </w:r>
          </w:p>
        </w:tc>
      </w:tr>
      <w:tr w:rsidR="00EC4D24" w14:paraId="206F9D7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1A04E8"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3B090F" w14:textId="77777777" w:rsidR="00A77B3E" w:rsidRDefault="00EE0419">
            <w:pPr>
              <w:spacing w:before="100"/>
              <w:rPr>
                <w:color w:val="000000"/>
                <w:sz w:val="20"/>
              </w:rPr>
            </w:pPr>
            <w:r>
              <w:rPr>
                <w:color w:val="000000"/>
                <w:sz w:val="20"/>
              </w:rPr>
              <w:t>004.Ukrepi za vključevanje – jezikovno usposabljanje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D73094" w14:textId="77777777" w:rsidR="00A77B3E" w:rsidRDefault="00EE0419">
            <w:pPr>
              <w:spacing w:before="100"/>
              <w:jc w:val="right"/>
              <w:rPr>
                <w:color w:val="000000"/>
                <w:sz w:val="20"/>
              </w:rPr>
            </w:pPr>
            <w:r>
              <w:rPr>
                <w:color w:val="000000"/>
                <w:sz w:val="20"/>
              </w:rPr>
              <w:t>5.287.500,00</w:t>
            </w:r>
          </w:p>
        </w:tc>
      </w:tr>
      <w:tr w:rsidR="00EC4D24" w14:paraId="50A2EA5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F7E5AB"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32C75B" w14:textId="77777777" w:rsidR="00A77B3E" w:rsidRDefault="00EE0419">
            <w:pPr>
              <w:spacing w:before="100"/>
              <w:rPr>
                <w:color w:val="000000"/>
                <w:sz w:val="20"/>
              </w:rPr>
            </w:pPr>
            <w:r>
              <w:rPr>
                <w:color w:val="000000"/>
                <w:sz w:val="20"/>
              </w:rPr>
              <w:t>005.Ukrepi za vključevanje – državljanska vzgoja in druga usposabljanja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16E02C" w14:textId="77777777" w:rsidR="00A77B3E" w:rsidRDefault="00EE0419">
            <w:pPr>
              <w:spacing w:before="100"/>
              <w:jc w:val="right"/>
              <w:rPr>
                <w:color w:val="000000"/>
                <w:sz w:val="20"/>
              </w:rPr>
            </w:pPr>
            <w:r>
              <w:rPr>
                <w:color w:val="000000"/>
                <w:sz w:val="20"/>
              </w:rPr>
              <w:t>400.000,00</w:t>
            </w:r>
          </w:p>
        </w:tc>
      </w:tr>
      <w:tr w:rsidR="00EC4D24" w14:paraId="5B009A9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04530A"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F254C9" w14:textId="77777777" w:rsidR="00A77B3E" w:rsidRDefault="00EE0419">
            <w:pPr>
              <w:spacing w:before="100"/>
              <w:rPr>
                <w:color w:val="000000"/>
                <w:sz w:val="20"/>
              </w:rPr>
            </w:pPr>
            <w:r>
              <w:rPr>
                <w:color w:val="000000"/>
                <w:sz w:val="20"/>
              </w:rPr>
              <w:t>006.Ukrepi za vključevanje – uvajanje, udeležba in stiki z družbo gostiteljico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AB9F07" w14:textId="5E31C708" w:rsidR="00A77B3E" w:rsidRPr="00857B1D" w:rsidRDefault="00EE0419" w:rsidP="00134FE7">
            <w:pPr>
              <w:spacing w:before="100"/>
              <w:jc w:val="right"/>
              <w:rPr>
                <w:color w:val="000000"/>
                <w:sz w:val="20"/>
              </w:rPr>
            </w:pPr>
            <w:r w:rsidRPr="00857B1D">
              <w:rPr>
                <w:color w:val="000000"/>
                <w:sz w:val="20"/>
              </w:rPr>
              <w:t>1.</w:t>
            </w:r>
            <w:r w:rsidR="00134FE7" w:rsidRPr="00857B1D">
              <w:rPr>
                <w:color w:val="000000"/>
                <w:sz w:val="20"/>
              </w:rPr>
              <w:t>610</w:t>
            </w:r>
            <w:r w:rsidRPr="00857B1D">
              <w:rPr>
                <w:color w:val="000000"/>
                <w:sz w:val="20"/>
              </w:rPr>
              <w:t>.000,00</w:t>
            </w:r>
          </w:p>
        </w:tc>
      </w:tr>
      <w:tr w:rsidR="00EC4D24" w14:paraId="237F4A0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389FC0"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55685C" w14:textId="77777777" w:rsidR="00A77B3E" w:rsidRPr="00857B1D" w:rsidRDefault="00EE0419">
            <w:pPr>
              <w:spacing w:before="100"/>
              <w:rPr>
                <w:color w:val="000000"/>
                <w:sz w:val="20"/>
                <w:lang w:val="it-IT"/>
              </w:rPr>
            </w:pPr>
            <w:r w:rsidRPr="00857B1D">
              <w:rPr>
                <w:color w:val="000000"/>
                <w:sz w:val="20"/>
                <w:lang w:val="it-IT"/>
              </w:rPr>
              <w:t>007.Ukrepi za vključevanje – osnovne potrebe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916292" w14:textId="2E1E2671" w:rsidR="00A77B3E" w:rsidRPr="00857B1D" w:rsidRDefault="00134FE7" w:rsidP="00134FE7">
            <w:pPr>
              <w:spacing w:before="100"/>
              <w:jc w:val="right"/>
              <w:rPr>
                <w:color w:val="000000"/>
                <w:sz w:val="20"/>
              </w:rPr>
            </w:pPr>
            <w:r w:rsidRPr="00857B1D">
              <w:rPr>
                <w:color w:val="000000"/>
                <w:sz w:val="20"/>
              </w:rPr>
              <w:t>4</w:t>
            </w:r>
            <w:r w:rsidR="00EE0419" w:rsidRPr="00857B1D">
              <w:rPr>
                <w:color w:val="000000"/>
                <w:sz w:val="20"/>
              </w:rPr>
              <w:t>.</w:t>
            </w:r>
            <w:r w:rsidRPr="00857B1D">
              <w:rPr>
                <w:color w:val="000000"/>
                <w:sz w:val="20"/>
              </w:rPr>
              <w:t>900</w:t>
            </w:r>
            <w:r w:rsidR="00EE0419" w:rsidRPr="00857B1D">
              <w:rPr>
                <w:color w:val="000000"/>
                <w:sz w:val="20"/>
              </w:rPr>
              <w:t>.000,00</w:t>
            </w:r>
          </w:p>
        </w:tc>
      </w:tr>
      <w:tr w:rsidR="00EC4D24" w14:paraId="39F524F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474029"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755462" w14:textId="77777777" w:rsidR="00A77B3E" w:rsidRDefault="00EE0419">
            <w:pPr>
              <w:spacing w:before="100"/>
              <w:rPr>
                <w:color w:val="000000"/>
                <w:sz w:val="20"/>
              </w:rPr>
            </w:pPr>
            <w:r>
              <w:rPr>
                <w:color w:val="000000"/>
                <w:sz w:val="20"/>
              </w:rPr>
              <w:t>008.Ukrepi pred odhodom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333E98" w14:textId="77777777" w:rsidR="00A77B3E" w:rsidRDefault="00EE0419">
            <w:pPr>
              <w:spacing w:before="100"/>
              <w:jc w:val="right"/>
              <w:rPr>
                <w:color w:val="000000"/>
                <w:sz w:val="20"/>
              </w:rPr>
            </w:pPr>
            <w:r>
              <w:rPr>
                <w:color w:val="000000"/>
                <w:sz w:val="20"/>
              </w:rPr>
              <w:t>0,00</w:t>
            </w:r>
          </w:p>
        </w:tc>
      </w:tr>
      <w:tr w:rsidR="00EC4D24" w14:paraId="2BF8AC9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97BFBF"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A3B5B7" w14:textId="77777777" w:rsidR="00A77B3E" w:rsidRDefault="00EE0419">
            <w:pPr>
              <w:spacing w:before="100"/>
              <w:rPr>
                <w:color w:val="000000"/>
                <w:sz w:val="20"/>
              </w:rPr>
            </w:pPr>
            <w:r>
              <w:rPr>
                <w:color w:val="000000"/>
                <w:sz w:val="20"/>
              </w:rPr>
              <w:t>009.Programi mobilnosti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7EF138" w14:textId="77777777" w:rsidR="00A77B3E" w:rsidRDefault="00EE0419">
            <w:pPr>
              <w:spacing w:before="100"/>
              <w:jc w:val="right"/>
              <w:rPr>
                <w:color w:val="000000"/>
                <w:sz w:val="20"/>
              </w:rPr>
            </w:pPr>
            <w:r>
              <w:rPr>
                <w:color w:val="000000"/>
                <w:sz w:val="20"/>
              </w:rPr>
              <w:t>0,00</w:t>
            </w:r>
          </w:p>
        </w:tc>
      </w:tr>
      <w:tr w:rsidR="00EC4D24" w14:paraId="753DBA6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02D082"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060463" w14:textId="77777777" w:rsidR="00A77B3E" w:rsidRDefault="00EE0419">
            <w:pPr>
              <w:spacing w:before="100"/>
              <w:rPr>
                <w:color w:val="000000"/>
                <w:sz w:val="20"/>
              </w:rPr>
            </w:pPr>
            <w:r>
              <w:rPr>
                <w:color w:val="000000"/>
                <w:sz w:val="20"/>
              </w:rPr>
              <w:t>010.Pridobitev statusa zakonitega prebivanja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E318DC" w14:textId="77777777" w:rsidR="00A77B3E" w:rsidRDefault="00EE0419">
            <w:pPr>
              <w:spacing w:before="100"/>
              <w:jc w:val="right"/>
              <w:rPr>
                <w:color w:val="000000"/>
                <w:sz w:val="20"/>
              </w:rPr>
            </w:pPr>
            <w:r>
              <w:rPr>
                <w:color w:val="000000"/>
                <w:sz w:val="20"/>
              </w:rPr>
              <w:t>0,00</w:t>
            </w:r>
          </w:p>
        </w:tc>
      </w:tr>
      <w:tr w:rsidR="00EC4D24" w14:paraId="37E7A46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245B94"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DA2117" w14:textId="77777777" w:rsidR="00A77B3E" w:rsidRDefault="00EE0419">
            <w:pPr>
              <w:spacing w:before="100"/>
              <w:rPr>
                <w:color w:val="000000"/>
                <w:sz w:val="20"/>
              </w:rPr>
            </w:pPr>
            <w:r>
              <w:rPr>
                <w:color w:val="000000"/>
                <w:sz w:val="20"/>
              </w:rPr>
              <w:t>011.Ranljive osebe, vključno z mladoletniki brez spremstva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3477E0" w14:textId="77777777" w:rsidR="00A77B3E" w:rsidRDefault="00EE0419">
            <w:pPr>
              <w:spacing w:before="100"/>
              <w:jc w:val="right"/>
              <w:rPr>
                <w:color w:val="000000"/>
                <w:sz w:val="20"/>
              </w:rPr>
            </w:pPr>
            <w:r>
              <w:rPr>
                <w:color w:val="000000"/>
                <w:sz w:val="20"/>
              </w:rPr>
              <w:t>0,00</w:t>
            </w:r>
          </w:p>
        </w:tc>
      </w:tr>
      <w:tr w:rsidR="00EC4D24" w14:paraId="639EF1B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9B60C1"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DBBBAE" w14:textId="77777777" w:rsidR="00A77B3E" w:rsidRDefault="00EE0419">
            <w:pPr>
              <w:spacing w:before="100"/>
              <w:rPr>
                <w:color w:val="000000"/>
                <w:sz w:val="20"/>
              </w:rPr>
            </w:pPr>
            <w:r>
              <w:rPr>
                <w:color w:val="000000"/>
                <w:sz w:val="20"/>
              </w:rPr>
              <w:t>012.Operativna podpora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BBEDCF" w14:textId="77777777" w:rsidR="00A77B3E" w:rsidRDefault="00EE0419">
            <w:pPr>
              <w:spacing w:before="100"/>
              <w:jc w:val="right"/>
              <w:rPr>
                <w:color w:val="000000"/>
                <w:sz w:val="20"/>
              </w:rPr>
            </w:pPr>
            <w:r>
              <w:rPr>
                <w:color w:val="000000"/>
                <w:sz w:val="20"/>
              </w:rPr>
              <w:t>700.000,00</w:t>
            </w:r>
          </w:p>
        </w:tc>
      </w:tr>
    </w:tbl>
    <w:p w14:paraId="63ACF42B" w14:textId="77777777" w:rsidR="00A77B3E" w:rsidRDefault="00A77B3E">
      <w:pPr>
        <w:spacing w:before="100"/>
        <w:rPr>
          <w:color w:val="000000"/>
          <w:sz w:val="20"/>
        </w:rPr>
        <w:sectPr w:rsidR="00A77B3E">
          <w:pgSz w:w="16838" w:h="11906" w:orient="landscape"/>
          <w:pgMar w:top="720" w:right="720" w:bottom="864" w:left="936" w:header="288" w:footer="72" w:gutter="0"/>
          <w:cols w:space="720"/>
          <w:noEndnote/>
          <w:docGrid w:linePitch="360"/>
        </w:sectPr>
      </w:pPr>
    </w:p>
    <w:p w14:paraId="7D1FEFE8" w14:textId="77777777" w:rsidR="00A77B3E" w:rsidRDefault="00EE0419">
      <w:pPr>
        <w:pStyle w:val="Naslov2"/>
        <w:spacing w:before="100" w:after="0"/>
        <w:rPr>
          <w:rFonts w:ascii="Times New Roman" w:hAnsi="Times New Roman" w:cs="Times New Roman"/>
          <w:b w:val="0"/>
          <w:i w:val="0"/>
          <w:color w:val="000000"/>
          <w:sz w:val="24"/>
        </w:rPr>
      </w:pPr>
      <w:bookmarkStart w:id="17" w:name="_Toc256000081"/>
      <w:r>
        <w:rPr>
          <w:rFonts w:ascii="Times New Roman" w:hAnsi="Times New Roman" w:cs="Times New Roman"/>
          <w:b w:val="0"/>
          <w:i w:val="0"/>
          <w:color w:val="000000"/>
          <w:sz w:val="24"/>
        </w:rPr>
        <w:lastRenderedPageBreak/>
        <w:t>2.1. Specifični cilj: 3. Vrnitev</w:t>
      </w:r>
      <w:bookmarkEnd w:id="17"/>
    </w:p>
    <w:p w14:paraId="4D4392C3" w14:textId="77777777" w:rsidR="00A77B3E" w:rsidRDefault="00A77B3E">
      <w:pPr>
        <w:spacing w:before="100"/>
        <w:rPr>
          <w:color w:val="000000"/>
          <w:sz w:val="0"/>
        </w:rPr>
      </w:pPr>
    </w:p>
    <w:p w14:paraId="346229DE" w14:textId="77777777" w:rsidR="00A77B3E" w:rsidRDefault="00EE0419">
      <w:pPr>
        <w:pStyle w:val="Naslov3"/>
        <w:spacing w:before="100" w:after="0"/>
        <w:rPr>
          <w:rFonts w:ascii="Times New Roman" w:hAnsi="Times New Roman" w:cs="Times New Roman"/>
          <w:b w:val="0"/>
          <w:color w:val="000000"/>
          <w:sz w:val="24"/>
        </w:rPr>
      </w:pPr>
      <w:bookmarkStart w:id="18" w:name="_Toc256000082"/>
      <w:r>
        <w:rPr>
          <w:rFonts w:ascii="Times New Roman" w:hAnsi="Times New Roman" w:cs="Times New Roman"/>
          <w:b w:val="0"/>
          <w:color w:val="000000"/>
          <w:sz w:val="24"/>
        </w:rPr>
        <w:t>2.1.1. Opis specifičnega cilja</w:t>
      </w:r>
      <w:bookmarkEnd w:id="18"/>
    </w:p>
    <w:p w14:paraId="34ECFA1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C4D24" w14:paraId="1751C41E"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445440" w14:textId="77777777" w:rsidR="00A77B3E" w:rsidRDefault="00A77B3E">
            <w:pPr>
              <w:spacing w:before="100"/>
              <w:rPr>
                <w:color w:val="000000"/>
                <w:sz w:val="0"/>
              </w:rPr>
            </w:pPr>
          </w:p>
          <w:p w14:paraId="1260DEB0" w14:textId="77777777" w:rsidR="00A77B3E" w:rsidRDefault="00EE0419">
            <w:pPr>
              <w:spacing w:before="100"/>
              <w:rPr>
                <w:color w:val="000000"/>
              </w:rPr>
            </w:pPr>
            <w:r>
              <w:rPr>
                <w:color w:val="000000"/>
              </w:rPr>
              <w:t>V okviru posebnega cilja SO3 je Slovenija za svoje prednostne cilje izpostavila izvajanje učinkovite politike vračanja, ki prispeva k boju proti nezakonitim migracijam, s poudarkom na prostovoljnem vračanju in trajnostnem vračanju kot na navedeno v nadaljevanju. Ključni resor na področju politike vračanja je Policija, CT, ki bo prejel sredstva sklada preko neposredne dodelitve, zaradi zakonskih pristojnosti s predmetnega področja. Sredstva AMIF predstavljajo le del sredstev za uresničevanje zastavljenih ciljev na področju vračanja. Ta delež za CT znaša 36 %, preostala sredstva pa bodo zagotovljena iz nacionalnih proračunskih sredstev. Nacionalna proračunska sredstva bodo namenjena predvsem za plače zaposlenih CT.</w:t>
            </w:r>
          </w:p>
          <w:p w14:paraId="294BCBB3" w14:textId="77777777" w:rsidR="00A77B3E" w:rsidRDefault="00A77B3E">
            <w:pPr>
              <w:spacing w:before="100"/>
              <w:rPr>
                <w:color w:val="000000"/>
              </w:rPr>
            </w:pPr>
          </w:p>
          <w:p w14:paraId="5BD260A0" w14:textId="77777777" w:rsidR="00A77B3E" w:rsidRPr="00857B1D" w:rsidRDefault="00EE0419">
            <w:pPr>
              <w:spacing w:before="100"/>
              <w:rPr>
                <w:color w:val="000000"/>
                <w:lang w:val="it-IT"/>
              </w:rPr>
            </w:pPr>
            <w:r w:rsidRPr="00857B1D">
              <w:rPr>
                <w:color w:val="000000"/>
                <w:lang w:val="it-IT"/>
              </w:rPr>
              <w:t>Izvajali se bodo izvedbeni ukrepi 3a, 3b, 3c, 3d iz Priloge II in tretje alineje iz Priloge IV.</w:t>
            </w:r>
          </w:p>
          <w:p w14:paraId="30D1C8B8" w14:textId="77777777" w:rsidR="00A77B3E" w:rsidRPr="00857B1D" w:rsidRDefault="00A77B3E">
            <w:pPr>
              <w:spacing w:before="100"/>
              <w:rPr>
                <w:color w:val="000000"/>
                <w:lang w:val="it-IT"/>
              </w:rPr>
            </w:pPr>
          </w:p>
          <w:p w14:paraId="7B0E1893" w14:textId="77777777" w:rsidR="00A77B3E" w:rsidRPr="00857B1D" w:rsidRDefault="00EE0419">
            <w:pPr>
              <w:spacing w:before="100"/>
              <w:rPr>
                <w:color w:val="000000"/>
                <w:lang w:val="it-IT"/>
              </w:rPr>
            </w:pPr>
            <w:r w:rsidRPr="00857B1D">
              <w:rPr>
                <w:color w:val="000000"/>
                <w:lang w:val="it-IT"/>
              </w:rPr>
              <w:t>Večina schengenskih priporočil, povezanih s tem ciljem, je že implementiranih ali pa se financirajo preko drugih virov. UOIM preko vladnega projekta izvaja nastanitev mladoletnikov brez spremstva ter CT preko projekta ERRIN izvaja pomoč pri prostovoljni vrnitvi in reintegraciji migrantov (AVRR - Assisted Voluntary Return and Reintegration).</w:t>
            </w:r>
          </w:p>
          <w:p w14:paraId="66D1C885" w14:textId="77777777" w:rsidR="00A77B3E" w:rsidRPr="00857B1D" w:rsidRDefault="00A77B3E">
            <w:pPr>
              <w:spacing w:before="100"/>
              <w:rPr>
                <w:color w:val="000000"/>
                <w:lang w:val="it-IT"/>
              </w:rPr>
            </w:pPr>
          </w:p>
          <w:p w14:paraId="19067FBE" w14:textId="77777777" w:rsidR="00A77B3E" w:rsidRPr="00857B1D" w:rsidRDefault="00EE0419">
            <w:pPr>
              <w:spacing w:before="100"/>
              <w:rPr>
                <w:color w:val="000000"/>
                <w:lang w:val="it-IT"/>
              </w:rPr>
            </w:pPr>
            <w:r w:rsidRPr="00857B1D">
              <w:rPr>
                <w:color w:val="000000"/>
                <w:lang w:val="it-IT"/>
              </w:rPr>
              <w:t>Pričakovani rezultati: Vračanje je eden od ključnih stebrov učinkovite migracijske politike. S pomočjo AMIF bomo nadgradili bivalne kapacitete CT in s tem dosegli vse standarde na področju pravic oseb, ki jim je odvzeta prostost iz razloga vračanja v domovino. Vzpodbujani bodo kvalitetni programi za prostovoljno vrnitev in reintegracijo v izvorni državi. Okrepili in nadgradili bomo tudi sodelovanje s konzularnimi predstavništvi tretjih držav z namenom povečanja zavzetosti pri potrjevanju identitete svojih državljanov in njihovem povratku v domovino. Poleg tega bomo vzpostavili RECAMAS IT sistem, ki ga je razvila Evropska agencija za mejno in obalno stražo – Frontex (izdelava analize razlik med našim organizacijsko - informacijskim sistemom za podporo vračanju in idealnim modelom vračanja (Frontex, države članice), odprava razlik ter implementacija).</w:t>
            </w:r>
          </w:p>
          <w:p w14:paraId="295F654E" w14:textId="77777777" w:rsidR="00A77B3E" w:rsidRPr="00857B1D" w:rsidRDefault="00A77B3E">
            <w:pPr>
              <w:spacing w:before="100"/>
              <w:rPr>
                <w:color w:val="000000"/>
                <w:lang w:val="it-IT"/>
              </w:rPr>
            </w:pPr>
          </w:p>
          <w:p w14:paraId="4BBE2D8A" w14:textId="77777777" w:rsidR="00A77B3E" w:rsidRPr="00857B1D" w:rsidRDefault="00EE0419">
            <w:pPr>
              <w:spacing w:before="100"/>
              <w:rPr>
                <w:color w:val="000000"/>
                <w:lang w:val="it-IT"/>
              </w:rPr>
            </w:pPr>
            <w:r w:rsidRPr="00857B1D">
              <w:rPr>
                <w:color w:val="000000"/>
                <w:lang w:val="it-IT"/>
              </w:rPr>
              <w:t xml:space="preserve">1) </w:t>
            </w:r>
            <w:r w:rsidRPr="00857B1D">
              <w:rPr>
                <w:color w:val="000000"/>
                <w:u w:val="single"/>
                <w:lang w:val="it-IT"/>
              </w:rPr>
              <w:t>Izvedbeni ukrep 3a</w:t>
            </w:r>
            <w:r w:rsidRPr="00857B1D">
              <w:rPr>
                <w:color w:val="000000"/>
                <w:lang w:val="it-IT"/>
              </w:rPr>
              <w:t>:</w:t>
            </w:r>
          </w:p>
          <w:p w14:paraId="59E5D68E" w14:textId="77777777" w:rsidR="00A77B3E" w:rsidRPr="00857B1D" w:rsidRDefault="00A77B3E">
            <w:pPr>
              <w:spacing w:before="100"/>
              <w:rPr>
                <w:color w:val="000000"/>
                <w:lang w:val="it-IT"/>
              </w:rPr>
            </w:pPr>
          </w:p>
          <w:p w14:paraId="6164F41A" w14:textId="77777777" w:rsidR="00A77B3E" w:rsidRPr="00857B1D" w:rsidRDefault="00EE0419">
            <w:pPr>
              <w:spacing w:before="100"/>
              <w:rPr>
                <w:color w:val="000000"/>
                <w:lang w:val="it-IT"/>
              </w:rPr>
            </w:pPr>
            <w:r w:rsidRPr="00857B1D">
              <w:rPr>
                <w:color w:val="000000"/>
                <w:lang w:val="it-IT"/>
              </w:rPr>
              <w:t>V pretekli in tudi sedanji finančni perspektivi posebno pozornost posvečamo nadgradnji infrastrukture, ki se uporablja za pridržanje DTD, ki so v postopku vračanja v domovino. Kapacitete CT omogočajo nastanitev do 180 tujcev. Nastanitveni prostori so razdeljeni na 4 oddelke, in sicer dva moška oddelka, 1 oddelek za ranljive kategorije in 1 oddelek za mladoletnike. Že v preteklih finančnih shemah smo nadgradili oziroma obnovili vitalne dele zgradbe (med katere spadajo ostrešje, zunanji toplotni ovoj zgradbe in ogrevalni sistem), poleg tega pa je bil obnovljen en moški oddelek ter sprejemni in upravni del zgradbe. Stalno pa se nadgrajujejo varnostni sistemi zgradbe (video nadzor in druga varnostna oprema). Tudi v tej finančni shemi bodo obnovljeni določeni deli zgradbe in še naprej bomo dopolnjevali sisteme za zagotavljanje varnosti. Pri obnovi in rekonstrukciji se upoštevajo priporočila nacionalnih nadzornih inštitucij, kakor tudi mednarodnih odborov in organizacij, katerih naloga je nadzor in ocena primernosti objektov za nastanitev migrantov in drugih oseb, ki jim je omejeno gibanje (npr. CPT). V času nastanitve je posebna pozornost posvečena tudi kreativni izrabi prostega časa in psihosocialne in zdravstvene oskrbe tujcev.</w:t>
            </w:r>
          </w:p>
          <w:p w14:paraId="78F58693" w14:textId="77777777" w:rsidR="00A77B3E" w:rsidRPr="00857B1D" w:rsidRDefault="00A77B3E">
            <w:pPr>
              <w:spacing w:before="100"/>
              <w:rPr>
                <w:color w:val="000000"/>
                <w:lang w:val="it-IT"/>
              </w:rPr>
            </w:pPr>
          </w:p>
          <w:p w14:paraId="7E389C47" w14:textId="77777777" w:rsidR="00A77B3E" w:rsidRDefault="00EE0419">
            <w:pPr>
              <w:spacing w:before="100"/>
              <w:rPr>
                <w:color w:val="000000"/>
              </w:rPr>
            </w:pPr>
            <w:r>
              <w:rPr>
                <w:color w:val="000000"/>
              </w:rPr>
              <w:t>Predvidene aktivnosti so:</w:t>
            </w:r>
          </w:p>
          <w:p w14:paraId="5CD038C4" w14:textId="77777777" w:rsidR="00A77B3E" w:rsidRDefault="00EE0419">
            <w:pPr>
              <w:numPr>
                <w:ilvl w:val="0"/>
                <w:numId w:val="12"/>
              </w:numPr>
              <w:spacing w:before="100"/>
              <w:rPr>
                <w:color w:val="000000"/>
              </w:rPr>
            </w:pPr>
            <w:r>
              <w:rPr>
                <w:color w:val="000000"/>
              </w:rPr>
              <w:t>implementacija pravnega reda Unije, prakse in priporočil posameznih EU agencij, priporočil nadzornih inštitucij ter dobrih praks drugih držav članic glede pridržanja DTD;</w:t>
            </w:r>
          </w:p>
          <w:p w14:paraId="3B1EA37A" w14:textId="77777777" w:rsidR="00A77B3E" w:rsidRDefault="00EE0419">
            <w:pPr>
              <w:numPr>
                <w:ilvl w:val="0"/>
                <w:numId w:val="12"/>
              </w:numPr>
              <w:spacing w:before="100"/>
              <w:rPr>
                <w:color w:val="000000"/>
              </w:rPr>
            </w:pPr>
            <w:r>
              <w:rPr>
                <w:color w:val="000000"/>
              </w:rPr>
              <w:lastRenderedPageBreak/>
              <w:t>izboljšanje bivalnih pogojev v CT, za osebe, ki so v postopku vračanja, v smislu obnove, rekonstrukcije prostorov, nakupa/nadgradnje opreme in nabave ter vzdrževanja ostalih sredstev (vključno z administrativno opremo), ki so potrebna za varno in nemoteno delovanje centra;</w:t>
            </w:r>
          </w:p>
          <w:p w14:paraId="217244DB" w14:textId="77777777" w:rsidR="00A77B3E" w:rsidRDefault="00EE0419">
            <w:pPr>
              <w:numPr>
                <w:ilvl w:val="0"/>
                <w:numId w:val="12"/>
              </w:numPr>
              <w:spacing w:before="100"/>
              <w:rPr>
                <w:color w:val="000000"/>
              </w:rPr>
            </w:pPr>
            <w:r>
              <w:rPr>
                <w:color w:val="000000"/>
              </w:rPr>
              <w:t>kritje tekočih stroškov v CT in skrb za zagotovitev ustreznih standardov glede prebivanja tujcev v CT (oprema, prehrana, oblačila, psihosocialna oskrba, prostočasne aktivnosti vključno z opremo, vozila za prevoz tujcev);</w:t>
            </w:r>
          </w:p>
          <w:p w14:paraId="37C84E9D" w14:textId="77777777" w:rsidR="00A77B3E" w:rsidRDefault="00EE0419">
            <w:pPr>
              <w:numPr>
                <w:ilvl w:val="0"/>
                <w:numId w:val="12"/>
              </w:numPr>
              <w:spacing w:before="100"/>
              <w:rPr>
                <w:color w:val="000000"/>
              </w:rPr>
            </w:pPr>
            <w:r>
              <w:rPr>
                <w:color w:val="000000"/>
              </w:rPr>
              <w:t>spremljanje najboljših praks na ravni držav članic EU na področju alternativ pridržanja ter implementirati tiste metode, ki bodo zmanjševale neovirano in nezakonito prehajanje meja. Težava pri uvajanju alternativ pridržanju je, da je Slovenija za večino DTD le tranzitna država (do ciljne države). V RS sicer že obstajajo "milejši ukrepi nastanitve", ki so določeni v 81. členu Zakona o tujcih.</w:t>
            </w:r>
          </w:p>
          <w:p w14:paraId="1A7CBAB3" w14:textId="77777777" w:rsidR="00A77B3E" w:rsidRDefault="00A77B3E">
            <w:pPr>
              <w:spacing w:before="100"/>
              <w:rPr>
                <w:color w:val="000000"/>
              </w:rPr>
            </w:pPr>
          </w:p>
          <w:p w14:paraId="3E131A74" w14:textId="77777777" w:rsidR="00A77B3E" w:rsidRDefault="00EE0419">
            <w:pPr>
              <w:spacing w:before="100"/>
              <w:rPr>
                <w:color w:val="000000"/>
              </w:rPr>
            </w:pPr>
            <w:r>
              <w:rPr>
                <w:color w:val="000000"/>
              </w:rPr>
              <w:t>Nadaljevali bomo z vzpostavljeno prakso učinkovitega informiranja in pravnega varstva tujcem v postopkih vračanja. V prostorih, kjer potekajo uradni postopki oz. kjer so tujci nastanjeni, bo na voljo informacijski material z vsemi potrebnimi podatki za tujce, ki se znajdejo v postopku. Tujcem v postopkih vračanja bo zagotovljen dostop do informacij v zvezi s postopki vračanja in pravne pomoči ter svetovanje (tudi pri nakupu letalskih vozovnic in pridobivanju osebnih dokumentov).</w:t>
            </w:r>
          </w:p>
          <w:p w14:paraId="7DEA9B2B" w14:textId="77777777" w:rsidR="00A77B3E" w:rsidRDefault="00A77B3E">
            <w:pPr>
              <w:spacing w:before="100"/>
              <w:rPr>
                <w:color w:val="000000"/>
              </w:rPr>
            </w:pPr>
          </w:p>
          <w:p w14:paraId="2C4FC851" w14:textId="77777777" w:rsidR="00A77B3E" w:rsidRPr="00857B1D" w:rsidRDefault="00EE0419">
            <w:pPr>
              <w:spacing w:before="100"/>
              <w:rPr>
                <w:color w:val="000000"/>
                <w:lang w:val="it-IT"/>
              </w:rPr>
            </w:pPr>
            <w:r w:rsidRPr="00857B1D">
              <w:rPr>
                <w:b/>
                <w:bCs/>
                <w:color w:val="000000"/>
                <w:lang w:val="it-IT"/>
              </w:rPr>
              <w:t xml:space="preserve">Priporočila schengenske evalvacije v obdobju 2021-2029: </w:t>
            </w:r>
            <w:r w:rsidRPr="00857B1D">
              <w:rPr>
                <w:color w:val="000000"/>
                <w:lang w:val="it-IT"/>
              </w:rPr>
              <w:t>SI bo uporabila fin. AMIF za zagotavljanje enotnega pravnega reda EU in za vključitev ukrepov za podporo akcijskemu načrtu/izvajanju priporočil schengenske evalvacije izdanih v obdobju 2021-2029 na področju vračanja.</w:t>
            </w:r>
          </w:p>
          <w:p w14:paraId="0BC4A378" w14:textId="77777777" w:rsidR="00A77B3E" w:rsidRPr="00857B1D" w:rsidRDefault="00A77B3E">
            <w:pPr>
              <w:spacing w:before="100"/>
              <w:rPr>
                <w:color w:val="000000"/>
                <w:lang w:val="it-IT"/>
              </w:rPr>
            </w:pPr>
          </w:p>
          <w:p w14:paraId="11BFF67B" w14:textId="77777777" w:rsidR="00A77B3E" w:rsidRPr="00857B1D" w:rsidRDefault="00A77B3E">
            <w:pPr>
              <w:spacing w:before="100"/>
              <w:rPr>
                <w:color w:val="000000"/>
                <w:lang w:val="it-IT"/>
              </w:rPr>
            </w:pPr>
          </w:p>
          <w:p w14:paraId="0C5F95E4" w14:textId="77777777" w:rsidR="00A77B3E" w:rsidRPr="00857B1D" w:rsidRDefault="00EE0419">
            <w:pPr>
              <w:spacing w:before="100"/>
              <w:rPr>
                <w:color w:val="000000"/>
                <w:lang w:val="it-IT"/>
              </w:rPr>
            </w:pPr>
            <w:r w:rsidRPr="00857B1D">
              <w:rPr>
                <w:color w:val="000000"/>
                <w:lang w:val="it-IT"/>
              </w:rPr>
              <w:t xml:space="preserve">2) </w:t>
            </w:r>
            <w:r w:rsidRPr="00857B1D">
              <w:rPr>
                <w:color w:val="000000"/>
                <w:u w:val="single"/>
                <w:lang w:val="it-IT"/>
              </w:rPr>
              <w:t>Izvedbeni ukrep 3b:</w:t>
            </w:r>
          </w:p>
          <w:p w14:paraId="4A061110" w14:textId="77777777" w:rsidR="00A77B3E" w:rsidRPr="00857B1D" w:rsidRDefault="00A77B3E">
            <w:pPr>
              <w:spacing w:before="100"/>
              <w:rPr>
                <w:color w:val="000000"/>
                <w:lang w:val="it-IT"/>
              </w:rPr>
            </w:pPr>
          </w:p>
          <w:p w14:paraId="65C9665B" w14:textId="77777777" w:rsidR="00A77B3E" w:rsidRPr="00857B1D" w:rsidRDefault="00EE0419">
            <w:pPr>
              <w:spacing w:before="100"/>
              <w:rPr>
                <w:color w:val="000000"/>
                <w:lang w:val="it-IT"/>
              </w:rPr>
            </w:pPr>
            <w:r w:rsidRPr="00857B1D">
              <w:rPr>
                <w:color w:val="000000"/>
                <w:lang w:val="it-IT"/>
              </w:rPr>
              <w:t>Poleg izboljšanja in nadgradnje bivalnih pogojev, pozornost posvečamo tudi stalni nadgradnji postopkov, ki se izvajajo pri vračanju tujcev. Največji izziv še vedno predstavlja identifikacija tujcev in pridobivanje dokumentov za potrebe vračanja. Težave zaznavamo pri sodelovanju z uradnimi predstavništvi držav, ki so pristojni za potrjevanje identitete in izdajo dokumentov. Vzpodbujali bomo dobro komunikacijo z njimi tudi v smislu izmenjave najboljših praks z državami članicami EU ter se poleg tega zavzemali za sprejem in implementacijo sporazumov za potrebe vračanja svojih državljanov.     </w:t>
            </w:r>
          </w:p>
          <w:p w14:paraId="7A689F33" w14:textId="77777777" w:rsidR="00A77B3E" w:rsidRPr="00857B1D" w:rsidRDefault="00A77B3E">
            <w:pPr>
              <w:spacing w:before="100"/>
              <w:rPr>
                <w:color w:val="000000"/>
                <w:lang w:val="it-IT"/>
              </w:rPr>
            </w:pPr>
          </w:p>
          <w:p w14:paraId="1AB0682F" w14:textId="77777777" w:rsidR="00A77B3E" w:rsidRDefault="00EE0419">
            <w:pPr>
              <w:spacing w:before="100"/>
              <w:rPr>
                <w:color w:val="000000"/>
              </w:rPr>
            </w:pPr>
            <w:r>
              <w:rPr>
                <w:color w:val="000000"/>
              </w:rPr>
              <w:t>Predvidene aktivnosti so:</w:t>
            </w:r>
          </w:p>
          <w:p w14:paraId="7C9981E7" w14:textId="77777777" w:rsidR="00A77B3E" w:rsidRDefault="00EE0419">
            <w:pPr>
              <w:numPr>
                <w:ilvl w:val="0"/>
                <w:numId w:val="13"/>
              </w:numPr>
              <w:spacing w:before="100"/>
              <w:rPr>
                <w:color w:val="000000"/>
              </w:rPr>
            </w:pPr>
            <w:r>
              <w:rPr>
                <w:color w:val="000000"/>
              </w:rPr>
              <w:t>sodelovanje z agencijo Frontex in z ostalimi agencijami, EU inštitucijami, državami članicami, nevladnimi organizacijami in ostalimi subjekti, ki podpirajo CT v smislu izboljšanja kapacitete delovanja in vračanja tujcev;</w:t>
            </w:r>
          </w:p>
          <w:p w14:paraId="281968EA" w14:textId="77777777" w:rsidR="00A77B3E" w:rsidRDefault="00EE0419">
            <w:pPr>
              <w:numPr>
                <w:ilvl w:val="0"/>
                <w:numId w:val="13"/>
              </w:numPr>
              <w:spacing w:before="100"/>
              <w:rPr>
                <w:color w:val="000000"/>
              </w:rPr>
            </w:pPr>
            <w:r>
              <w:rPr>
                <w:color w:val="000000"/>
              </w:rPr>
              <w:t>dvostransko sodelovanje državami članicami, agencijami, mednarodnimi in nevladnimi organizacijami, ki ni zajeto v predhodni alineji;</w:t>
            </w:r>
          </w:p>
          <w:p w14:paraId="71DAA55B" w14:textId="77777777" w:rsidR="00A77B3E" w:rsidRDefault="00EE0419">
            <w:pPr>
              <w:numPr>
                <w:ilvl w:val="0"/>
                <w:numId w:val="13"/>
              </w:numPr>
              <w:spacing w:before="100"/>
              <w:rPr>
                <w:color w:val="000000"/>
              </w:rPr>
            </w:pPr>
            <w:r>
              <w:rPr>
                <w:color w:val="000000"/>
              </w:rPr>
              <w:t>spremljanje prisilnega vračanja skladno z 8 (6) členom Direktive o vračanju 2008/115/ES;</w:t>
            </w:r>
          </w:p>
          <w:p w14:paraId="6C0697C8" w14:textId="77777777" w:rsidR="00A77B3E" w:rsidRDefault="00EE0419">
            <w:pPr>
              <w:numPr>
                <w:ilvl w:val="0"/>
                <w:numId w:val="13"/>
              </w:numPr>
              <w:spacing w:before="100"/>
              <w:rPr>
                <w:color w:val="000000"/>
              </w:rPr>
            </w:pPr>
            <w:r>
              <w:rPr>
                <w:color w:val="000000"/>
              </w:rPr>
              <w:t>usposabljanje zaposlenih v CT;</w:t>
            </w:r>
          </w:p>
          <w:p w14:paraId="53F9BA15" w14:textId="77777777" w:rsidR="00A77B3E" w:rsidRDefault="00EE0419">
            <w:pPr>
              <w:numPr>
                <w:ilvl w:val="0"/>
                <w:numId w:val="13"/>
              </w:numPr>
              <w:spacing w:before="100"/>
              <w:rPr>
                <w:color w:val="000000"/>
              </w:rPr>
            </w:pPr>
            <w:r>
              <w:rPr>
                <w:color w:val="000000"/>
              </w:rPr>
              <w:t>priprave na vrnitev, vključno z ukrepi za identifikacijo tujcev, sodelovanje s tujimi predstavništvi in pridobivanje potovalnih dokumentov;</w:t>
            </w:r>
          </w:p>
          <w:p w14:paraId="2E649D28" w14:textId="77777777" w:rsidR="00A77B3E" w:rsidRDefault="00EE0419">
            <w:pPr>
              <w:numPr>
                <w:ilvl w:val="0"/>
                <w:numId w:val="13"/>
              </w:numPr>
              <w:spacing w:before="100"/>
              <w:rPr>
                <w:color w:val="000000"/>
              </w:rPr>
            </w:pPr>
            <w:r>
              <w:rPr>
                <w:color w:val="000000"/>
              </w:rPr>
              <w:t>operacije vračanja, ki jih organizira in izvaja CT (nacionalna vračanja) ter operacije, ki se izvajajo v sodelovanju z drugimi državami članicami ali agencijo Frontex, v skladu z vsemi standardi;</w:t>
            </w:r>
          </w:p>
          <w:p w14:paraId="64EDE617" w14:textId="77777777" w:rsidR="00A77B3E" w:rsidRDefault="00EE0419">
            <w:pPr>
              <w:numPr>
                <w:ilvl w:val="0"/>
                <w:numId w:val="13"/>
              </w:numPr>
              <w:spacing w:before="100"/>
              <w:rPr>
                <w:color w:val="000000"/>
              </w:rPr>
            </w:pPr>
            <w:r>
              <w:rPr>
                <w:color w:val="000000"/>
              </w:rPr>
              <w:lastRenderedPageBreak/>
              <w:t>skrb za urejeno vračanje in ustrezno pripravo tujcev vključno z omogočitvijo sekundarnega prevoza po vrnitvi v domovino;</w:t>
            </w:r>
          </w:p>
          <w:p w14:paraId="15A0E30A" w14:textId="77777777" w:rsidR="00A77B3E" w:rsidRDefault="00EE0419">
            <w:pPr>
              <w:numPr>
                <w:ilvl w:val="0"/>
                <w:numId w:val="13"/>
              </w:numPr>
              <w:spacing w:before="100"/>
              <w:rPr>
                <w:color w:val="000000"/>
              </w:rPr>
            </w:pPr>
            <w:r>
              <w:rPr>
                <w:color w:val="000000"/>
              </w:rPr>
              <w:t>prevajalske storitve od priprave tujca na vrnitev in ves čas postopka;</w:t>
            </w:r>
          </w:p>
          <w:p w14:paraId="5832B293" w14:textId="77777777" w:rsidR="00A77B3E" w:rsidRDefault="00EE0419">
            <w:pPr>
              <w:numPr>
                <w:ilvl w:val="0"/>
                <w:numId w:val="13"/>
              </w:numPr>
              <w:spacing w:before="100"/>
              <w:rPr>
                <w:color w:val="000000"/>
              </w:rPr>
            </w:pPr>
            <w:r>
              <w:rPr>
                <w:color w:val="000000"/>
              </w:rPr>
              <w:t>vzpostavitev RECAMAS sistema, ki ga je razvila Evropska agencija za mejno in obalno stražo – Frontex: Prvi korak je izdelava analize razlik med našim organizacijsko - informacijskim sistemom, ki podpira vračanje in idealnim modelom vračanja (Frontex in države članice), v drugi fazi se pripravijo projekti za odpravo razlik (države članice s podporo Frontexa) ter v tretji fazi sledi implementacija (države članice).</w:t>
            </w:r>
          </w:p>
          <w:p w14:paraId="2BF9973B" w14:textId="77777777" w:rsidR="00A77B3E" w:rsidRPr="00857B1D" w:rsidRDefault="00EE0419">
            <w:pPr>
              <w:numPr>
                <w:ilvl w:val="0"/>
                <w:numId w:val="13"/>
              </w:numPr>
              <w:spacing w:before="100"/>
              <w:rPr>
                <w:color w:val="000000"/>
                <w:lang w:val="it-IT"/>
              </w:rPr>
            </w:pPr>
            <w:r w:rsidRPr="00857B1D">
              <w:rPr>
                <w:color w:val="000000"/>
                <w:lang w:val="it-IT"/>
              </w:rPr>
              <w:t>zdravstvena, psihološka in socialna oskrba tujcev.</w:t>
            </w:r>
          </w:p>
          <w:p w14:paraId="212B8681" w14:textId="77777777" w:rsidR="00A77B3E" w:rsidRPr="00857B1D" w:rsidRDefault="00A77B3E">
            <w:pPr>
              <w:spacing w:before="100"/>
              <w:rPr>
                <w:color w:val="000000"/>
                <w:lang w:val="it-IT"/>
              </w:rPr>
            </w:pPr>
          </w:p>
          <w:p w14:paraId="1DD3D510" w14:textId="77777777" w:rsidR="00A77B3E" w:rsidRPr="00857B1D" w:rsidRDefault="00EE0419">
            <w:pPr>
              <w:spacing w:before="100"/>
              <w:rPr>
                <w:color w:val="000000"/>
                <w:lang w:val="it-IT"/>
              </w:rPr>
            </w:pPr>
            <w:r w:rsidRPr="00857B1D">
              <w:rPr>
                <w:color w:val="000000"/>
                <w:lang w:val="it-IT"/>
              </w:rPr>
              <w:t xml:space="preserve">3) </w:t>
            </w:r>
            <w:r w:rsidRPr="00857B1D">
              <w:rPr>
                <w:color w:val="000000"/>
                <w:u w:val="single"/>
                <w:lang w:val="it-IT"/>
              </w:rPr>
              <w:t>Izvedbeni ukrep 3c</w:t>
            </w:r>
            <w:r w:rsidRPr="00857B1D">
              <w:rPr>
                <w:color w:val="000000"/>
                <w:lang w:val="it-IT"/>
              </w:rPr>
              <w:t>:</w:t>
            </w:r>
          </w:p>
          <w:p w14:paraId="62A18440" w14:textId="77777777" w:rsidR="00A77B3E" w:rsidRPr="00857B1D" w:rsidRDefault="00A77B3E">
            <w:pPr>
              <w:spacing w:before="100"/>
              <w:rPr>
                <w:color w:val="000000"/>
                <w:lang w:val="it-IT"/>
              </w:rPr>
            </w:pPr>
          </w:p>
          <w:p w14:paraId="695B895A" w14:textId="77777777" w:rsidR="00A77B3E" w:rsidRPr="00857B1D" w:rsidRDefault="00EE0419">
            <w:pPr>
              <w:spacing w:before="100"/>
              <w:rPr>
                <w:color w:val="000000"/>
                <w:lang w:val="it-IT"/>
              </w:rPr>
            </w:pPr>
            <w:r w:rsidRPr="00857B1D">
              <w:rPr>
                <w:color w:val="000000"/>
                <w:lang w:val="it-IT"/>
              </w:rPr>
              <w:t>Prostovoljno vračanje tujcev in njihova reintegracija ter pomoč pri vračanju prosilcev za mednarodno zaščito in oseb s priznano mednarodno zaščito v domačem okolju bo še naprej naša prioriteta. Pri izvajanju tega ukrepa bomo še naprej sodelovali z mednarodnimi in nevladnimi organizacijami.</w:t>
            </w:r>
          </w:p>
          <w:p w14:paraId="77B1366E" w14:textId="77777777" w:rsidR="00A77B3E" w:rsidRPr="00857B1D" w:rsidRDefault="00A77B3E">
            <w:pPr>
              <w:spacing w:before="100"/>
              <w:rPr>
                <w:color w:val="000000"/>
                <w:lang w:val="it-IT"/>
              </w:rPr>
            </w:pPr>
          </w:p>
          <w:p w14:paraId="64821A03" w14:textId="77777777" w:rsidR="00A77B3E" w:rsidRDefault="00EE0419">
            <w:pPr>
              <w:spacing w:before="100"/>
              <w:rPr>
                <w:color w:val="000000"/>
              </w:rPr>
            </w:pPr>
            <w:r>
              <w:rPr>
                <w:color w:val="000000"/>
              </w:rPr>
              <w:t>Predvidene aktivnosti so:</w:t>
            </w:r>
          </w:p>
          <w:p w14:paraId="6E2CCF43" w14:textId="77777777" w:rsidR="00A77B3E" w:rsidRDefault="00EE0419">
            <w:pPr>
              <w:numPr>
                <w:ilvl w:val="0"/>
                <w:numId w:val="14"/>
              </w:numPr>
              <w:spacing w:before="100"/>
              <w:rPr>
                <w:color w:val="000000"/>
              </w:rPr>
            </w:pPr>
            <w:r>
              <w:rPr>
                <w:color w:val="000000"/>
              </w:rPr>
              <w:t>sodelovanje z mednarodnimi organizacijami in nevladnimi organizacijami pri vseh oblikah prostovoljnega vračanja in reintegracije v domovini, kar bo prioriteta (90% fin.);</w:t>
            </w:r>
          </w:p>
          <w:p w14:paraId="481825F1" w14:textId="77777777" w:rsidR="00A77B3E" w:rsidRPr="00857B1D" w:rsidRDefault="00EE0419">
            <w:pPr>
              <w:numPr>
                <w:ilvl w:val="0"/>
                <w:numId w:val="14"/>
              </w:numPr>
              <w:spacing w:before="100"/>
              <w:rPr>
                <w:color w:val="000000"/>
                <w:lang w:val="it-IT"/>
              </w:rPr>
            </w:pPr>
            <w:r w:rsidRPr="00857B1D">
              <w:rPr>
                <w:color w:val="000000"/>
                <w:lang w:val="it-IT"/>
              </w:rPr>
              <w:t>svetovanje pridržanim osebam glede možnosti prostovoljne vrnitve ter reintegracijski programi. Prostovoljno vračanje in reintegracija v domovini se izvajata po načinu »in-cash assistance« ali »in-kind assistance«, skladno z vnaprej določenimi kriteriji (90% fin.).</w:t>
            </w:r>
          </w:p>
          <w:p w14:paraId="617457E7" w14:textId="77777777" w:rsidR="00A77B3E" w:rsidRPr="00857B1D" w:rsidRDefault="00A77B3E">
            <w:pPr>
              <w:spacing w:before="100"/>
              <w:rPr>
                <w:color w:val="000000"/>
                <w:lang w:val="it-IT"/>
              </w:rPr>
            </w:pPr>
          </w:p>
          <w:p w14:paraId="475D3274" w14:textId="77777777" w:rsidR="00A77B3E" w:rsidRDefault="00EE0419">
            <w:pPr>
              <w:spacing w:before="100"/>
              <w:rPr>
                <w:color w:val="000000"/>
              </w:rPr>
            </w:pPr>
            <w:r>
              <w:rPr>
                <w:color w:val="000000"/>
              </w:rPr>
              <w:t>Prioriteta RS bo sodelovanje v projektu JRS (Joint Return Service) agencije Frontex in sodelovanje v projektu ERRIN (aktivnost brez AMIF sofinanciranja).</w:t>
            </w:r>
          </w:p>
          <w:p w14:paraId="5D655771" w14:textId="77777777" w:rsidR="00A77B3E" w:rsidRDefault="00A77B3E">
            <w:pPr>
              <w:spacing w:before="100"/>
              <w:rPr>
                <w:color w:val="000000"/>
              </w:rPr>
            </w:pPr>
          </w:p>
          <w:p w14:paraId="13D878F3" w14:textId="77777777" w:rsidR="00A77B3E" w:rsidRDefault="00EE0419">
            <w:pPr>
              <w:spacing w:before="100"/>
              <w:rPr>
                <w:color w:val="000000"/>
              </w:rPr>
            </w:pPr>
            <w:r>
              <w:rPr>
                <w:color w:val="000000"/>
              </w:rPr>
              <w:t xml:space="preserve">4) </w:t>
            </w:r>
            <w:r>
              <w:rPr>
                <w:color w:val="000000"/>
                <w:u w:val="single"/>
              </w:rPr>
              <w:t>Izvedbeni ukrep 3d</w:t>
            </w:r>
            <w:r>
              <w:rPr>
                <w:color w:val="000000"/>
              </w:rPr>
              <w:t>:</w:t>
            </w:r>
          </w:p>
          <w:p w14:paraId="72A4AF28" w14:textId="77777777" w:rsidR="00A77B3E" w:rsidRDefault="00A77B3E">
            <w:pPr>
              <w:spacing w:before="100"/>
              <w:rPr>
                <w:color w:val="000000"/>
              </w:rPr>
            </w:pPr>
          </w:p>
          <w:p w14:paraId="32E08A2B" w14:textId="77777777" w:rsidR="00A77B3E" w:rsidRDefault="00EE0419">
            <w:pPr>
              <w:spacing w:before="100"/>
              <w:rPr>
                <w:color w:val="000000"/>
              </w:rPr>
            </w:pPr>
            <w:r>
              <w:rPr>
                <w:color w:val="000000"/>
              </w:rPr>
              <w:t>Trenutno največje izzive predstavlja komunikacija s predstavništvi tretjih držav, pristojnimi za identifikacijo lastnih državljanov. Tudi v prihodnje bomo vzpodbujali dobro komunikacijo s temi organi in skrbeli za izboljšanje vseh kapacitet potrebnih za uspešno sodelovanje. </w:t>
            </w:r>
          </w:p>
          <w:p w14:paraId="6B21582E" w14:textId="77777777" w:rsidR="00A77B3E" w:rsidRDefault="00A77B3E">
            <w:pPr>
              <w:spacing w:before="100"/>
              <w:rPr>
                <w:color w:val="000000"/>
              </w:rPr>
            </w:pPr>
          </w:p>
          <w:p w14:paraId="7940BE44" w14:textId="77777777" w:rsidR="00A77B3E" w:rsidRDefault="00EE0419">
            <w:pPr>
              <w:spacing w:before="100"/>
              <w:rPr>
                <w:color w:val="000000"/>
              </w:rPr>
            </w:pPr>
            <w:r>
              <w:rPr>
                <w:color w:val="000000"/>
              </w:rPr>
              <w:t>Predvidene aktivnosti so nadaljevanje krepitve sodelovanja s tretjimi državami in njihovimi predstavništvi za ugotavljanja identitete svojih državljanov in izdaje potovalnih dokumentov, ki so potrebni za vračanje.</w:t>
            </w:r>
          </w:p>
          <w:p w14:paraId="43D023B9" w14:textId="77777777" w:rsidR="00A77B3E" w:rsidRDefault="00A77B3E">
            <w:pPr>
              <w:spacing w:before="100"/>
              <w:rPr>
                <w:color w:val="000000"/>
              </w:rPr>
            </w:pPr>
          </w:p>
          <w:p w14:paraId="22F75523" w14:textId="77777777" w:rsidR="00A77B3E" w:rsidRDefault="00EE0419">
            <w:pPr>
              <w:spacing w:before="100"/>
              <w:rPr>
                <w:color w:val="000000"/>
              </w:rPr>
            </w:pPr>
            <w:r>
              <w:rPr>
                <w:color w:val="000000"/>
              </w:rPr>
              <w:t> </w:t>
            </w:r>
          </w:p>
          <w:p w14:paraId="0589ECE5" w14:textId="77777777" w:rsidR="00A77B3E" w:rsidRDefault="00A77B3E">
            <w:pPr>
              <w:spacing w:before="100"/>
              <w:rPr>
                <w:color w:val="000000"/>
              </w:rPr>
            </w:pPr>
          </w:p>
        </w:tc>
      </w:tr>
    </w:tbl>
    <w:p w14:paraId="36DD6BD8" w14:textId="77777777" w:rsidR="00A77B3E" w:rsidRDefault="00A77B3E">
      <w:pPr>
        <w:spacing w:before="100"/>
        <w:rPr>
          <w:color w:val="000000"/>
        </w:rPr>
        <w:sectPr w:rsidR="00A77B3E">
          <w:headerReference w:type="even" r:id="rId43"/>
          <w:headerReference w:type="default" r:id="rId44"/>
          <w:footerReference w:type="even" r:id="rId45"/>
          <w:footerReference w:type="default" r:id="rId46"/>
          <w:headerReference w:type="first" r:id="rId47"/>
          <w:footerReference w:type="first" r:id="rId48"/>
          <w:pgSz w:w="11906" w:h="16838"/>
          <w:pgMar w:top="720" w:right="936" w:bottom="864" w:left="720" w:header="0" w:footer="72" w:gutter="0"/>
          <w:cols w:space="720"/>
          <w:noEndnote/>
          <w:docGrid w:linePitch="360"/>
        </w:sectPr>
      </w:pPr>
    </w:p>
    <w:p w14:paraId="677F191B" w14:textId="77777777" w:rsidR="00A77B3E" w:rsidRDefault="00EE0419">
      <w:pPr>
        <w:spacing w:before="100"/>
        <w:rPr>
          <w:color w:val="000000"/>
        </w:rPr>
      </w:pPr>
      <w:r>
        <w:rPr>
          <w:color w:val="000000"/>
        </w:rPr>
        <w:lastRenderedPageBreak/>
        <w:t>2.1. Specifični cilj 3. Vrnitev</w:t>
      </w:r>
    </w:p>
    <w:p w14:paraId="11F30045" w14:textId="77777777" w:rsidR="00A77B3E" w:rsidRDefault="00EE0419">
      <w:pPr>
        <w:pStyle w:val="Naslov3"/>
        <w:spacing w:before="100" w:after="0"/>
        <w:rPr>
          <w:rFonts w:ascii="Times New Roman" w:hAnsi="Times New Roman" w:cs="Times New Roman"/>
          <w:b w:val="0"/>
          <w:color w:val="000000"/>
          <w:sz w:val="24"/>
        </w:rPr>
      </w:pPr>
      <w:bookmarkStart w:id="19" w:name="_Toc256000083"/>
      <w:r>
        <w:rPr>
          <w:rFonts w:ascii="Times New Roman" w:hAnsi="Times New Roman" w:cs="Times New Roman"/>
          <w:b w:val="0"/>
          <w:color w:val="000000"/>
          <w:sz w:val="24"/>
        </w:rPr>
        <w:t>2.1.2. Kazalniki</w:t>
      </w:r>
      <w:bookmarkEnd w:id="19"/>
    </w:p>
    <w:p w14:paraId="325E1A47" w14:textId="77777777" w:rsidR="00A77B3E" w:rsidRDefault="00EE0419">
      <w:pPr>
        <w:spacing w:before="100"/>
        <w:rPr>
          <w:color w:val="000000"/>
          <w:sz w:val="12"/>
        </w:rPr>
      </w:pPr>
      <w:r>
        <w:rPr>
          <w:color w:val="000000"/>
        </w:rPr>
        <w:t>Sklic: člen 22(4)(e) uredbe o skupnih določbah</w:t>
      </w:r>
    </w:p>
    <w:p w14:paraId="5F22ED02" w14:textId="77777777" w:rsidR="00A77B3E" w:rsidRDefault="00EE0419">
      <w:pPr>
        <w:pStyle w:val="Naslov4"/>
        <w:spacing w:before="100" w:after="0"/>
        <w:rPr>
          <w:b w:val="0"/>
          <w:color w:val="000000"/>
          <w:sz w:val="24"/>
        </w:rPr>
      </w:pPr>
      <w:bookmarkStart w:id="20" w:name="_Toc256000084"/>
      <w:r>
        <w:rPr>
          <w:b w:val="0"/>
          <w:color w:val="000000"/>
          <w:sz w:val="24"/>
        </w:rPr>
        <w:t>Tabela 1: Kazalniki učinka</w:t>
      </w:r>
      <w:bookmarkEnd w:id="20"/>
    </w:p>
    <w:p w14:paraId="59EB500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9087"/>
        <w:gridCol w:w="1589"/>
        <w:gridCol w:w="1692"/>
        <w:gridCol w:w="1326"/>
      </w:tblGrid>
      <w:tr w:rsidR="00EC4D24" w14:paraId="6F9C2F62"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6AD2E6" w14:textId="77777777" w:rsidR="00A77B3E" w:rsidRDefault="00EE0419">
            <w:pPr>
              <w:spacing w:before="100"/>
              <w:jc w:val="center"/>
              <w:rPr>
                <w:color w:val="000000"/>
                <w:sz w:val="20"/>
              </w:rPr>
            </w:pPr>
            <w:r>
              <w:rPr>
                <w:color w:val="000000"/>
                <w:sz w:val="20"/>
              </w:rPr>
              <w:t>Identifikator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2982AB" w14:textId="77777777" w:rsidR="00A77B3E" w:rsidRDefault="00EE0419">
            <w:pPr>
              <w:spacing w:before="100"/>
              <w:jc w:val="center"/>
              <w:rPr>
                <w:color w:val="000000"/>
                <w:sz w:val="20"/>
              </w:rPr>
            </w:pPr>
            <w:r>
              <w:rPr>
                <w:color w:val="000000"/>
                <w:sz w:val="20"/>
              </w:rPr>
              <w:t>Kazalnik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86AE0A" w14:textId="77777777" w:rsidR="00A77B3E" w:rsidRDefault="00EE0419">
            <w:pPr>
              <w:spacing w:before="100"/>
              <w:jc w:val="center"/>
              <w:rPr>
                <w:color w:val="000000"/>
                <w:sz w:val="20"/>
              </w:rPr>
            </w:pPr>
            <w:r>
              <w:rPr>
                <w:color w:val="000000"/>
                <w:sz w:val="20"/>
              </w:rPr>
              <w:t>Merska enota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CFA042" w14:textId="77777777" w:rsidR="00A77B3E" w:rsidRDefault="00EE0419">
            <w:pPr>
              <w:spacing w:before="100"/>
              <w:jc w:val="center"/>
              <w:rPr>
                <w:color w:val="000000"/>
                <w:sz w:val="20"/>
              </w:rPr>
            </w:pPr>
            <w:r>
              <w:rPr>
                <w:color w:val="000000"/>
                <w:sz w:val="20"/>
              </w:rPr>
              <w:t>Mejnik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43C9AA" w14:textId="77777777" w:rsidR="00A77B3E" w:rsidRDefault="00EE0419">
            <w:pPr>
              <w:spacing w:before="100"/>
              <w:jc w:val="center"/>
              <w:rPr>
                <w:color w:val="000000"/>
                <w:sz w:val="20"/>
              </w:rPr>
            </w:pPr>
            <w:r>
              <w:rPr>
                <w:color w:val="000000"/>
                <w:sz w:val="20"/>
              </w:rPr>
              <w:t>Cilj (2029)</w:t>
            </w:r>
          </w:p>
        </w:tc>
      </w:tr>
      <w:tr w:rsidR="00EC4D24" w14:paraId="1EFC2A3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D2BE62" w14:textId="77777777" w:rsidR="00A77B3E" w:rsidRDefault="00EE0419">
            <w:pPr>
              <w:spacing w:before="100"/>
              <w:rPr>
                <w:color w:val="000000"/>
                <w:sz w:val="20"/>
              </w:rPr>
            </w:pPr>
            <w:r>
              <w:rPr>
                <w:color w:val="000000"/>
                <w:sz w:val="20"/>
              </w:rPr>
              <w:t>O.3.1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DE9224" w14:textId="77777777" w:rsidR="00A77B3E" w:rsidRDefault="00EE0419">
            <w:pPr>
              <w:spacing w:before="100"/>
              <w:rPr>
                <w:color w:val="000000"/>
                <w:sz w:val="20"/>
              </w:rPr>
            </w:pPr>
            <w:r>
              <w:rPr>
                <w:color w:val="000000"/>
                <w:sz w:val="20"/>
              </w:rPr>
              <w:t xml:space="preserve">Število udeležencev dejavnosti usposabljanja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992F11"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AF7DAA" w14:textId="77777777" w:rsidR="00A77B3E" w:rsidRDefault="00EE0419">
            <w:pPr>
              <w:spacing w:before="100"/>
              <w:jc w:val="right"/>
              <w:rPr>
                <w:color w:val="000000"/>
                <w:sz w:val="20"/>
              </w:rPr>
            </w:pPr>
            <w:r>
              <w:rPr>
                <w:color w:val="000000"/>
                <w:sz w:val="2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74981C" w14:textId="77777777" w:rsidR="00A77B3E" w:rsidRDefault="00EE0419">
            <w:pPr>
              <w:spacing w:before="100"/>
              <w:jc w:val="right"/>
              <w:rPr>
                <w:color w:val="000000"/>
                <w:sz w:val="20"/>
              </w:rPr>
            </w:pPr>
            <w:r>
              <w:rPr>
                <w:color w:val="000000"/>
                <w:sz w:val="20"/>
              </w:rPr>
              <w:t>50</w:t>
            </w:r>
          </w:p>
        </w:tc>
      </w:tr>
      <w:tr w:rsidR="00EC4D24" w14:paraId="7F64E76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ED2540" w14:textId="77777777" w:rsidR="00A77B3E" w:rsidRDefault="00EE0419">
            <w:pPr>
              <w:spacing w:before="100"/>
              <w:rPr>
                <w:color w:val="000000"/>
                <w:sz w:val="20"/>
              </w:rPr>
            </w:pPr>
            <w:r>
              <w:rPr>
                <w:color w:val="000000"/>
                <w:sz w:val="20"/>
              </w:rPr>
              <w:t>O.3.2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BADFD8" w14:textId="77777777" w:rsidR="00A77B3E" w:rsidRDefault="00EE0419">
            <w:pPr>
              <w:spacing w:before="100"/>
              <w:rPr>
                <w:color w:val="000000"/>
                <w:sz w:val="20"/>
              </w:rPr>
            </w:pPr>
            <w:r>
              <w:rPr>
                <w:color w:val="000000"/>
                <w:sz w:val="20"/>
              </w:rPr>
              <w:t>Število kupljene opreme, vključno s številom kupljenih/posodobljenih sistemov IKT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2A21E8"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63A336" w14:textId="77777777" w:rsidR="00A77B3E" w:rsidRDefault="00EE0419">
            <w:pPr>
              <w:spacing w:before="100"/>
              <w:jc w:val="right"/>
              <w:rPr>
                <w:color w:val="000000"/>
                <w:sz w:val="20"/>
              </w:rPr>
            </w:pPr>
            <w:r>
              <w:rPr>
                <w:color w:val="000000"/>
                <w:sz w:val="20"/>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7937F8" w14:textId="77777777" w:rsidR="00A77B3E" w:rsidRDefault="00EE0419">
            <w:pPr>
              <w:spacing w:before="100"/>
              <w:jc w:val="right"/>
              <w:rPr>
                <w:color w:val="000000"/>
                <w:sz w:val="20"/>
              </w:rPr>
            </w:pPr>
            <w:r>
              <w:rPr>
                <w:color w:val="000000"/>
                <w:sz w:val="20"/>
              </w:rPr>
              <w:t>400</w:t>
            </w:r>
          </w:p>
        </w:tc>
      </w:tr>
      <w:tr w:rsidR="00EC4D24" w14:paraId="140C8AB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0E511B" w14:textId="77777777" w:rsidR="00A77B3E" w:rsidRDefault="00EE0419">
            <w:pPr>
              <w:spacing w:before="100"/>
              <w:rPr>
                <w:color w:val="000000"/>
                <w:sz w:val="20"/>
              </w:rPr>
            </w:pPr>
            <w:r>
              <w:rPr>
                <w:color w:val="000000"/>
                <w:sz w:val="20"/>
              </w:rPr>
              <w:t>O.3.3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4A5EF1" w14:textId="77777777" w:rsidR="00A77B3E" w:rsidRDefault="00EE0419">
            <w:pPr>
              <w:spacing w:before="100"/>
              <w:rPr>
                <w:color w:val="000000"/>
                <w:sz w:val="20"/>
              </w:rPr>
            </w:pPr>
            <w:r>
              <w:rPr>
                <w:color w:val="000000"/>
                <w:sz w:val="20"/>
              </w:rPr>
              <w:t>Število oseb v postopku vračanja, ki so prejeli pomoč pri ponovnem vključevanju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28E6C5"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29D548" w14:textId="77777777" w:rsidR="00A77B3E" w:rsidRDefault="00EE0419">
            <w:pPr>
              <w:spacing w:before="100"/>
              <w:jc w:val="right"/>
              <w:rPr>
                <w:color w:val="000000"/>
                <w:sz w:val="20"/>
              </w:rPr>
            </w:pPr>
            <w:r>
              <w:rPr>
                <w:color w:val="000000"/>
                <w:sz w:val="20"/>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E7EA19" w14:textId="77777777" w:rsidR="00A77B3E" w:rsidRDefault="00EE0419">
            <w:pPr>
              <w:spacing w:before="100"/>
              <w:jc w:val="right"/>
              <w:rPr>
                <w:color w:val="000000"/>
                <w:sz w:val="20"/>
              </w:rPr>
            </w:pPr>
            <w:r>
              <w:rPr>
                <w:color w:val="000000"/>
                <w:sz w:val="20"/>
              </w:rPr>
              <w:t>220</w:t>
            </w:r>
          </w:p>
        </w:tc>
      </w:tr>
      <w:tr w:rsidR="00EC4D24" w14:paraId="1207C81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333D57" w14:textId="77777777" w:rsidR="00A77B3E" w:rsidRDefault="00EE0419">
            <w:pPr>
              <w:spacing w:before="100"/>
              <w:rPr>
                <w:color w:val="000000"/>
                <w:sz w:val="20"/>
              </w:rPr>
            </w:pPr>
            <w:r>
              <w:rPr>
                <w:color w:val="000000"/>
                <w:sz w:val="20"/>
              </w:rPr>
              <w:t>O.3.4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C513CB" w14:textId="77777777" w:rsidR="00A77B3E" w:rsidRDefault="00EE0419">
            <w:pPr>
              <w:spacing w:before="100"/>
              <w:rPr>
                <w:color w:val="000000"/>
                <w:sz w:val="20"/>
              </w:rPr>
            </w:pPr>
            <w:r>
              <w:rPr>
                <w:color w:val="000000"/>
                <w:sz w:val="20"/>
              </w:rPr>
              <w:t>Število ustvarjenih mest v centrih za pridržanje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94F66A"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BE05AA" w14:textId="77777777" w:rsidR="00A77B3E" w:rsidRDefault="00EE0419">
            <w:pPr>
              <w:spacing w:before="100"/>
              <w:jc w:val="right"/>
              <w:rPr>
                <w:color w:val="000000"/>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EC3DB2" w14:textId="77777777" w:rsidR="00A77B3E" w:rsidRDefault="00EE0419">
            <w:pPr>
              <w:spacing w:before="100"/>
              <w:jc w:val="right"/>
              <w:rPr>
                <w:color w:val="000000"/>
                <w:sz w:val="20"/>
              </w:rPr>
            </w:pPr>
            <w:r>
              <w:rPr>
                <w:color w:val="000000"/>
                <w:sz w:val="20"/>
              </w:rPr>
              <w:t>0</w:t>
            </w:r>
          </w:p>
        </w:tc>
      </w:tr>
      <w:tr w:rsidR="00EC4D24" w14:paraId="59C72E8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938F1E" w14:textId="77777777" w:rsidR="00A77B3E" w:rsidRDefault="00EE0419">
            <w:pPr>
              <w:spacing w:before="100"/>
              <w:rPr>
                <w:color w:val="000000"/>
                <w:sz w:val="20"/>
              </w:rPr>
            </w:pPr>
            <w:r>
              <w:rPr>
                <w:color w:val="000000"/>
                <w:sz w:val="20"/>
              </w:rPr>
              <w:t>O.3.5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E6424B" w14:textId="77777777" w:rsidR="00A77B3E" w:rsidRDefault="00EE0419">
            <w:pPr>
              <w:spacing w:before="100"/>
              <w:rPr>
                <w:color w:val="000000"/>
                <w:sz w:val="20"/>
              </w:rPr>
            </w:pPr>
            <w:r>
              <w:rPr>
                <w:color w:val="000000"/>
                <w:sz w:val="20"/>
              </w:rPr>
              <w:t>Število mest v prenovljenih/obnovljenih centrih za pridržanje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8A33A1"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EB6F0C" w14:textId="77777777" w:rsidR="00A77B3E" w:rsidRDefault="00EE0419">
            <w:pPr>
              <w:spacing w:before="100"/>
              <w:jc w:val="right"/>
              <w:rPr>
                <w:color w:val="000000"/>
                <w:sz w:val="20"/>
              </w:rPr>
            </w:pPr>
            <w:r>
              <w:rPr>
                <w:color w:val="000000"/>
                <w:sz w:val="20"/>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0FE4BF" w14:textId="77777777" w:rsidR="00A77B3E" w:rsidRDefault="00EE0419">
            <w:pPr>
              <w:spacing w:before="100"/>
              <w:jc w:val="right"/>
              <w:rPr>
                <w:color w:val="000000"/>
                <w:sz w:val="20"/>
              </w:rPr>
            </w:pPr>
            <w:r>
              <w:rPr>
                <w:color w:val="000000"/>
                <w:sz w:val="20"/>
              </w:rPr>
              <w:t>120</w:t>
            </w:r>
          </w:p>
        </w:tc>
      </w:tr>
    </w:tbl>
    <w:p w14:paraId="494FF0C4" w14:textId="77777777" w:rsidR="00A77B3E" w:rsidRDefault="00EE0419">
      <w:pPr>
        <w:spacing w:before="100"/>
        <w:rPr>
          <w:color w:val="000000"/>
        </w:rPr>
      </w:pPr>
      <w:r>
        <w:rPr>
          <w:color w:val="000000"/>
          <w:sz w:val="20"/>
        </w:rPr>
        <w:br w:type="page"/>
      </w:r>
      <w:r>
        <w:rPr>
          <w:color w:val="000000"/>
        </w:rPr>
        <w:lastRenderedPageBreak/>
        <w:t>2.1. Specifični cilj 3. Vrnitev</w:t>
      </w:r>
    </w:p>
    <w:p w14:paraId="1AD475B5" w14:textId="77777777" w:rsidR="00A77B3E" w:rsidRDefault="00EE0419">
      <w:pPr>
        <w:spacing w:before="100"/>
        <w:rPr>
          <w:color w:val="000000"/>
          <w:sz w:val="0"/>
        </w:rPr>
      </w:pPr>
      <w:r>
        <w:rPr>
          <w:color w:val="000000"/>
        </w:rPr>
        <w:t>2.1.2. Kazalniki</w:t>
      </w:r>
    </w:p>
    <w:p w14:paraId="63B466CF" w14:textId="77777777" w:rsidR="00A77B3E" w:rsidRDefault="00EE0419">
      <w:pPr>
        <w:spacing w:before="100"/>
        <w:rPr>
          <w:color w:val="000000"/>
          <w:sz w:val="12"/>
        </w:rPr>
      </w:pPr>
      <w:r>
        <w:rPr>
          <w:color w:val="000000"/>
        </w:rPr>
        <w:t>Sklic: člen 22(4)(e) uredbe o skupnih določbah</w:t>
      </w:r>
    </w:p>
    <w:p w14:paraId="1AD90D09" w14:textId="77777777" w:rsidR="00A77B3E" w:rsidRDefault="00EE0419">
      <w:pPr>
        <w:pStyle w:val="Naslov4"/>
        <w:spacing w:before="100" w:after="0"/>
        <w:rPr>
          <w:b w:val="0"/>
          <w:color w:val="000000"/>
          <w:sz w:val="24"/>
        </w:rPr>
      </w:pPr>
      <w:bookmarkStart w:id="21" w:name="_Toc256000085"/>
      <w:r>
        <w:rPr>
          <w:b w:val="0"/>
          <w:color w:val="000000"/>
          <w:sz w:val="24"/>
        </w:rPr>
        <w:t>Tabela 2: Kazalniki rezultatov</w:t>
      </w:r>
      <w:bookmarkEnd w:id="21"/>
    </w:p>
    <w:p w14:paraId="13D5D31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76"/>
        <w:gridCol w:w="1517"/>
        <w:gridCol w:w="1517"/>
        <w:gridCol w:w="1517"/>
        <w:gridCol w:w="1517"/>
        <w:gridCol w:w="1517"/>
        <w:gridCol w:w="1517"/>
        <w:gridCol w:w="1517"/>
        <w:gridCol w:w="1517"/>
      </w:tblGrid>
      <w:tr w:rsidR="00EC4D24" w14:paraId="53AA89DC" w14:textId="77777777">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0FAB0B" w14:textId="77777777" w:rsidR="00A77B3E" w:rsidRDefault="00EE0419">
            <w:pPr>
              <w:spacing w:before="100"/>
              <w:jc w:val="center"/>
              <w:rPr>
                <w:color w:val="000000"/>
                <w:sz w:val="20"/>
              </w:rPr>
            </w:pPr>
            <w:r>
              <w:rPr>
                <w:color w:val="000000"/>
                <w:sz w:val="20"/>
              </w:rPr>
              <w:t>Identifikator</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217361" w14:textId="77777777" w:rsidR="00A77B3E" w:rsidRDefault="00EE0419">
            <w:pPr>
              <w:spacing w:before="100"/>
              <w:jc w:val="center"/>
              <w:rPr>
                <w:color w:val="000000"/>
                <w:sz w:val="20"/>
              </w:rPr>
            </w:pPr>
            <w:r>
              <w:rPr>
                <w:color w:val="000000"/>
                <w:sz w:val="20"/>
              </w:rPr>
              <w:t>Kazalnik</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54146C" w14:textId="77777777" w:rsidR="00A77B3E" w:rsidRDefault="00EE0419">
            <w:pPr>
              <w:spacing w:before="100"/>
              <w:jc w:val="center"/>
              <w:rPr>
                <w:color w:val="000000"/>
                <w:sz w:val="20"/>
              </w:rPr>
            </w:pPr>
            <w:r>
              <w:rPr>
                <w:color w:val="000000"/>
                <w:sz w:val="20"/>
              </w:rPr>
              <w:t>Merska enota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A0584F" w14:textId="77777777" w:rsidR="00A77B3E" w:rsidRDefault="00EE0419">
            <w:pPr>
              <w:spacing w:before="100"/>
              <w:jc w:val="center"/>
              <w:rPr>
                <w:color w:val="000000"/>
                <w:sz w:val="20"/>
              </w:rPr>
            </w:pPr>
            <w:r>
              <w:rPr>
                <w:color w:val="000000"/>
                <w:sz w:val="20"/>
              </w:rPr>
              <w:t>Izhodišče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68D03F" w14:textId="77777777" w:rsidR="00A77B3E" w:rsidRDefault="00EE0419">
            <w:pPr>
              <w:spacing w:before="100"/>
              <w:jc w:val="center"/>
              <w:rPr>
                <w:color w:val="000000"/>
                <w:sz w:val="20"/>
              </w:rPr>
            </w:pPr>
            <w:r>
              <w:rPr>
                <w:color w:val="000000"/>
                <w:sz w:val="20"/>
              </w:rPr>
              <w:t>Merska enota za izhodišče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0A0356" w14:textId="77777777" w:rsidR="00A77B3E" w:rsidRDefault="00EE0419">
            <w:pPr>
              <w:spacing w:before="100"/>
              <w:jc w:val="center"/>
              <w:rPr>
                <w:color w:val="000000"/>
                <w:sz w:val="20"/>
              </w:rPr>
            </w:pPr>
            <w:r>
              <w:rPr>
                <w:color w:val="000000"/>
                <w:sz w:val="20"/>
              </w:rPr>
              <w:t>Referenčna leta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2EDD3A" w14:textId="77777777" w:rsidR="00A77B3E" w:rsidRDefault="00EE0419">
            <w:pPr>
              <w:spacing w:before="100"/>
              <w:jc w:val="center"/>
              <w:rPr>
                <w:color w:val="000000"/>
                <w:sz w:val="20"/>
              </w:rPr>
            </w:pPr>
            <w:r>
              <w:rPr>
                <w:color w:val="000000"/>
                <w:sz w:val="20"/>
              </w:rPr>
              <w:t>Cilj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E9AB87" w14:textId="77777777" w:rsidR="00A77B3E" w:rsidRDefault="00EE0419">
            <w:pPr>
              <w:spacing w:before="100"/>
              <w:jc w:val="center"/>
              <w:rPr>
                <w:color w:val="000000"/>
                <w:sz w:val="20"/>
              </w:rPr>
            </w:pPr>
            <w:r>
              <w:rPr>
                <w:color w:val="000000"/>
                <w:sz w:val="20"/>
              </w:rPr>
              <w:t>Merska enota za cilj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660907" w14:textId="77777777" w:rsidR="00A77B3E" w:rsidRDefault="00EE0419">
            <w:pPr>
              <w:spacing w:before="100"/>
              <w:jc w:val="center"/>
              <w:rPr>
                <w:color w:val="000000"/>
                <w:sz w:val="20"/>
              </w:rPr>
            </w:pPr>
            <w:r>
              <w:rPr>
                <w:color w:val="000000"/>
                <w:sz w:val="20"/>
              </w:rPr>
              <w:t>Vir podatkov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7500BF" w14:textId="77777777" w:rsidR="00A77B3E" w:rsidRDefault="00EE0419">
            <w:pPr>
              <w:spacing w:before="100"/>
              <w:rPr>
                <w:color w:val="000000"/>
                <w:sz w:val="20"/>
              </w:rPr>
            </w:pPr>
            <w:r>
              <w:rPr>
                <w:color w:val="000000"/>
                <w:sz w:val="20"/>
              </w:rPr>
              <w:t>Opombe</w:t>
            </w:r>
          </w:p>
        </w:tc>
      </w:tr>
      <w:tr w:rsidR="00EC4D24" w:rsidRPr="00857B1D" w14:paraId="7B3C7E98"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779B1B" w14:textId="77777777" w:rsidR="00A77B3E" w:rsidRDefault="00EE0419">
            <w:pPr>
              <w:spacing w:before="100"/>
              <w:rPr>
                <w:color w:val="000000"/>
                <w:sz w:val="20"/>
              </w:rPr>
            </w:pPr>
            <w:r>
              <w:rPr>
                <w:color w:val="000000"/>
                <w:sz w:val="20"/>
              </w:rPr>
              <w:t>R.3.6</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864103" w14:textId="77777777" w:rsidR="00A77B3E" w:rsidRPr="00857B1D" w:rsidRDefault="00EE0419">
            <w:pPr>
              <w:spacing w:before="100"/>
              <w:rPr>
                <w:color w:val="000000"/>
                <w:sz w:val="20"/>
                <w:lang w:val="it-IT"/>
              </w:rPr>
            </w:pPr>
            <w:r w:rsidRPr="00857B1D">
              <w:rPr>
                <w:color w:val="000000"/>
                <w:sz w:val="20"/>
                <w:lang w:val="it-IT"/>
              </w:rPr>
              <w:t>Število oseb v postopku vračanja, ki so se vrnili prostovoljno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78E0A4"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4EB12A" w14:textId="77777777" w:rsidR="00A77B3E" w:rsidRDefault="00EE0419">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EFA44C"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7EE42F" w14:textId="77777777" w:rsidR="00A77B3E" w:rsidRDefault="00EE0419">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049A31" w14:textId="77777777" w:rsidR="00A77B3E" w:rsidRDefault="00EE0419">
            <w:pPr>
              <w:spacing w:before="100"/>
              <w:jc w:val="center"/>
              <w:rPr>
                <w:color w:val="000000"/>
                <w:sz w:val="20"/>
              </w:rPr>
            </w:pPr>
            <w:r>
              <w:rPr>
                <w:color w:val="000000"/>
                <w:sz w:val="20"/>
              </w:rPr>
              <w:t>80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9C2FB3"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DEE76D" w14:textId="77777777" w:rsidR="00A77B3E" w:rsidRPr="00857B1D" w:rsidRDefault="00EE0419">
            <w:pPr>
              <w:spacing w:before="100"/>
              <w:rPr>
                <w:color w:val="000000"/>
                <w:sz w:val="20"/>
                <w:lang w:val="it-IT"/>
              </w:rPr>
            </w:pPr>
            <w:r w:rsidRPr="00857B1D">
              <w:rPr>
                <w:color w:val="000000"/>
                <w:sz w:val="20"/>
                <w:lang w:val="it-IT"/>
              </w:rPr>
              <w:t>Interne evidence in letna poročila Centra za tujce.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61350A" w14:textId="77777777" w:rsidR="00A77B3E" w:rsidRPr="00857B1D" w:rsidRDefault="00A77B3E">
            <w:pPr>
              <w:spacing w:before="100"/>
              <w:rPr>
                <w:color w:val="000000"/>
                <w:sz w:val="20"/>
                <w:lang w:val="it-IT"/>
              </w:rPr>
            </w:pPr>
          </w:p>
        </w:tc>
      </w:tr>
      <w:tr w:rsidR="00EC4D24" w:rsidRPr="00857B1D" w14:paraId="7F92B801"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D195BD" w14:textId="77777777" w:rsidR="00A77B3E" w:rsidRDefault="00EE0419">
            <w:pPr>
              <w:spacing w:before="100"/>
              <w:rPr>
                <w:color w:val="000000"/>
                <w:sz w:val="20"/>
              </w:rPr>
            </w:pPr>
            <w:r>
              <w:rPr>
                <w:color w:val="000000"/>
                <w:sz w:val="20"/>
              </w:rPr>
              <w:t>R.3.7</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6A4BB4" w14:textId="77777777" w:rsidR="00A77B3E" w:rsidRPr="00857B1D" w:rsidRDefault="00EE0419">
            <w:pPr>
              <w:spacing w:before="100"/>
              <w:rPr>
                <w:color w:val="000000"/>
                <w:sz w:val="20"/>
                <w:lang w:val="it-IT"/>
              </w:rPr>
            </w:pPr>
            <w:r w:rsidRPr="00857B1D">
              <w:rPr>
                <w:color w:val="000000"/>
                <w:sz w:val="20"/>
                <w:lang w:val="it-IT"/>
              </w:rPr>
              <w:t>Število oseb v postopku vračanja, ki so bili odstranjeni</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E6FC46"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68F900" w14:textId="77777777" w:rsidR="00A77B3E" w:rsidRDefault="00EE0419">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253A3B"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37E357" w14:textId="77777777" w:rsidR="00A77B3E" w:rsidRDefault="00EE0419">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196ED3" w14:textId="77777777" w:rsidR="00A77B3E" w:rsidRDefault="00EE0419">
            <w:pPr>
              <w:spacing w:before="100"/>
              <w:jc w:val="center"/>
              <w:rPr>
                <w:color w:val="000000"/>
                <w:sz w:val="20"/>
              </w:rPr>
            </w:pPr>
            <w:r>
              <w:rPr>
                <w:color w:val="000000"/>
                <w:sz w:val="20"/>
              </w:rPr>
              <w:t>10.000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BD75E8"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613CA5" w14:textId="77777777" w:rsidR="00A77B3E" w:rsidRPr="00857B1D" w:rsidRDefault="00EE0419">
            <w:pPr>
              <w:spacing w:before="100"/>
              <w:rPr>
                <w:color w:val="000000"/>
                <w:sz w:val="20"/>
                <w:lang w:val="it-IT"/>
              </w:rPr>
            </w:pPr>
            <w:r w:rsidRPr="00857B1D">
              <w:rPr>
                <w:color w:val="000000"/>
                <w:sz w:val="20"/>
                <w:lang w:val="it-IT"/>
              </w:rPr>
              <w:t>Interne evidence in letna poročila Centra za tujce.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60470D" w14:textId="77777777" w:rsidR="00A77B3E" w:rsidRPr="00857B1D" w:rsidRDefault="00A77B3E">
            <w:pPr>
              <w:spacing w:before="100"/>
              <w:rPr>
                <w:color w:val="000000"/>
                <w:sz w:val="20"/>
                <w:lang w:val="it-IT"/>
              </w:rPr>
            </w:pPr>
          </w:p>
        </w:tc>
      </w:tr>
      <w:tr w:rsidR="00EC4D24" w:rsidRPr="00857B1D" w14:paraId="26C8A26C"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A9E8FD" w14:textId="77777777" w:rsidR="00A77B3E" w:rsidRDefault="00EE0419">
            <w:pPr>
              <w:spacing w:before="100"/>
              <w:rPr>
                <w:color w:val="000000"/>
                <w:sz w:val="20"/>
              </w:rPr>
            </w:pPr>
            <w:r>
              <w:rPr>
                <w:color w:val="000000"/>
                <w:sz w:val="20"/>
              </w:rPr>
              <w:t>R.3.8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5BF7AC" w14:textId="77777777" w:rsidR="00A77B3E" w:rsidRPr="00857B1D" w:rsidRDefault="00EE0419">
            <w:pPr>
              <w:spacing w:before="100"/>
              <w:rPr>
                <w:color w:val="000000"/>
                <w:sz w:val="20"/>
                <w:lang w:val="it-IT"/>
              </w:rPr>
            </w:pPr>
            <w:r w:rsidRPr="00857B1D">
              <w:rPr>
                <w:color w:val="000000"/>
                <w:sz w:val="20"/>
                <w:lang w:val="it-IT"/>
              </w:rPr>
              <w:t>Število oseb v postopku vračanja, za katere so se uporabile alternative pridržanju</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393915"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4FABEE" w14:textId="77777777" w:rsidR="00A77B3E" w:rsidRDefault="00EE0419">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838003"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D2AF8E" w14:textId="77777777" w:rsidR="00A77B3E" w:rsidRDefault="00EE0419">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A5CAD5" w14:textId="77777777" w:rsidR="00A77B3E" w:rsidRDefault="00EE0419">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6304C1"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BA1C82" w14:textId="77777777" w:rsidR="00A77B3E" w:rsidRPr="00857B1D" w:rsidRDefault="00EE0419">
            <w:pPr>
              <w:spacing w:before="100"/>
              <w:rPr>
                <w:color w:val="000000"/>
                <w:sz w:val="20"/>
                <w:lang w:val="it-IT"/>
              </w:rPr>
            </w:pPr>
            <w:r w:rsidRPr="00857B1D">
              <w:rPr>
                <w:color w:val="000000"/>
                <w:sz w:val="20"/>
                <w:lang w:val="it-IT"/>
              </w:rPr>
              <w:t>Interne evidence in letna poročila Centra za tujce.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E46A24" w14:textId="77777777" w:rsidR="00A77B3E" w:rsidRPr="00857B1D" w:rsidRDefault="00A77B3E">
            <w:pPr>
              <w:spacing w:before="100"/>
              <w:rPr>
                <w:color w:val="000000"/>
                <w:sz w:val="20"/>
                <w:lang w:val="it-IT"/>
              </w:rPr>
            </w:pPr>
          </w:p>
        </w:tc>
      </w:tr>
    </w:tbl>
    <w:p w14:paraId="7A0BDDAD" w14:textId="77777777" w:rsidR="00A77B3E" w:rsidRPr="00857B1D" w:rsidRDefault="00A77B3E">
      <w:pPr>
        <w:spacing w:before="100"/>
        <w:rPr>
          <w:color w:val="000000"/>
          <w:sz w:val="20"/>
          <w:lang w:val="it-IT"/>
        </w:rPr>
        <w:sectPr w:rsidR="00A77B3E" w:rsidRPr="00857B1D">
          <w:headerReference w:type="even" r:id="rId49"/>
          <w:headerReference w:type="default" r:id="rId50"/>
          <w:footerReference w:type="even" r:id="rId51"/>
          <w:footerReference w:type="default" r:id="rId52"/>
          <w:headerReference w:type="first" r:id="rId53"/>
          <w:footerReference w:type="first" r:id="rId54"/>
          <w:pgSz w:w="16838" w:h="11906" w:orient="landscape"/>
          <w:pgMar w:top="720" w:right="720" w:bottom="864" w:left="936" w:header="288" w:footer="72" w:gutter="0"/>
          <w:cols w:space="720"/>
          <w:noEndnote/>
          <w:docGrid w:linePitch="360"/>
        </w:sectPr>
      </w:pPr>
    </w:p>
    <w:p w14:paraId="34442AE3" w14:textId="77777777" w:rsidR="00A77B3E" w:rsidRPr="00857B1D" w:rsidRDefault="00EE0419">
      <w:pPr>
        <w:spacing w:before="100"/>
        <w:rPr>
          <w:color w:val="000000"/>
          <w:sz w:val="0"/>
          <w:lang w:val="it-IT"/>
        </w:rPr>
      </w:pPr>
      <w:r w:rsidRPr="00857B1D">
        <w:rPr>
          <w:color w:val="000000"/>
          <w:lang w:val="it-IT"/>
        </w:rPr>
        <w:lastRenderedPageBreak/>
        <w:t>2.1. Specifični cilj 3. Vrnitev</w:t>
      </w:r>
    </w:p>
    <w:p w14:paraId="362E15D1" w14:textId="77777777" w:rsidR="00A77B3E" w:rsidRPr="00857B1D" w:rsidRDefault="00EE0419">
      <w:pPr>
        <w:pStyle w:val="Naslov3"/>
        <w:spacing w:before="100" w:after="0"/>
        <w:rPr>
          <w:rFonts w:ascii="Times New Roman" w:hAnsi="Times New Roman" w:cs="Times New Roman"/>
          <w:b w:val="0"/>
          <w:color w:val="000000"/>
          <w:sz w:val="24"/>
          <w:lang w:val="it-IT"/>
        </w:rPr>
      </w:pPr>
      <w:bookmarkStart w:id="22" w:name="_Toc256000086"/>
      <w:r w:rsidRPr="00857B1D">
        <w:rPr>
          <w:rFonts w:ascii="Times New Roman" w:hAnsi="Times New Roman" w:cs="Times New Roman"/>
          <w:b w:val="0"/>
          <w:color w:val="000000"/>
          <w:sz w:val="24"/>
          <w:lang w:val="it-IT"/>
        </w:rPr>
        <w:t>2.1.3. Okvirna razčlenitev programskih sredstev (EU) po vrsti ukrepa</w:t>
      </w:r>
      <w:bookmarkEnd w:id="22"/>
    </w:p>
    <w:p w14:paraId="2107B41E" w14:textId="77777777" w:rsidR="00A77B3E" w:rsidRPr="00857B1D" w:rsidRDefault="00EE0419">
      <w:pPr>
        <w:spacing w:before="100"/>
        <w:rPr>
          <w:color w:val="000000"/>
          <w:lang w:val="it-IT"/>
        </w:rPr>
      </w:pPr>
      <w:r w:rsidRPr="00857B1D">
        <w:rPr>
          <w:color w:val="000000"/>
          <w:lang w:val="it-IT"/>
        </w:rPr>
        <w:t>Sklic: člen 22(5) uredbe o skupnih določbah, člen 16(2) uredbe o AMIF, člen 13(12) uredbe o SNV ali člen 13(18) uredbe o IUMV</w:t>
      </w:r>
    </w:p>
    <w:p w14:paraId="3F95976C" w14:textId="77777777" w:rsidR="00A77B3E" w:rsidRDefault="00EE0419">
      <w:pPr>
        <w:pStyle w:val="Naslov4"/>
        <w:spacing w:before="100" w:after="0"/>
        <w:rPr>
          <w:b w:val="0"/>
          <w:color w:val="000000"/>
          <w:sz w:val="24"/>
        </w:rPr>
      </w:pPr>
      <w:bookmarkStart w:id="23" w:name="_Toc256000087"/>
      <w:r>
        <w:rPr>
          <w:b w:val="0"/>
          <w:color w:val="000000"/>
          <w:sz w:val="24"/>
        </w:rPr>
        <w:t>Tabela 3: Okvirna razčlenitev</w:t>
      </w:r>
      <w:bookmarkEnd w:id="23"/>
    </w:p>
    <w:p w14:paraId="68DEF0B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596"/>
        <w:gridCol w:w="3495"/>
      </w:tblGrid>
      <w:tr w:rsidR="00EC4D24" w14:paraId="201E5492"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C648B8" w14:textId="77777777" w:rsidR="00A77B3E" w:rsidRDefault="00EE0419">
            <w:pPr>
              <w:spacing w:before="100"/>
              <w:rPr>
                <w:color w:val="000000"/>
                <w:sz w:val="20"/>
              </w:rPr>
            </w:pPr>
            <w:r>
              <w:rPr>
                <w:color w:val="000000"/>
                <w:sz w:val="20"/>
              </w:rPr>
              <w:t>Vrsta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E08E51" w14:textId="77777777" w:rsidR="00A77B3E" w:rsidRDefault="00EE0419">
            <w:pPr>
              <w:spacing w:before="100"/>
              <w:rPr>
                <w:color w:val="000000"/>
                <w:sz w:val="20"/>
              </w:rPr>
            </w:pPr>
            <w:r>
              <w:rPr>
                <w:color w:val="000000"/>
                <w:sz w:val="20"/>
              </w:rPr>
              <w:t>Oznaka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C07A3E" w14:textId="77777777" w:rsidR="00A77B3E" w:rsidRDefault="00EE0419">
            <w:pPr>
              <w:spacing w:before="100"/>
              <w:jc w:val="right"/>
              <w:rPr>
                <w:color w:val="000000"/>
                <w:sz w:val="20"/>
              </w:rPr>
            </w:pPr>
            <w:r>
              <w:rPr>
                <w:color w:val="000000"/>
                <w:sz w:val="20"/>
              </w:rPr>
              <w:t>Okvirni znesek (v EUR)</w:t>
            </w:r>
          </w:p>
        </w:tc>
      </w:tr>
      <w:tr w:rsidR="00EC4D24" w14:paraId="1F96F03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9F39C8"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789834" w14:textId="77777777" w:rsidR="00A77B3E" w:rsidRDefault="00EE0419">
            <w:pPr>
              <w:spacing w:before="100"/>
              <w:rPr>
                <w:color w:val="000000"/>
                <w:sz w:val="20"/>
              </w:rPr>
            </w:pPr>
            <w:r>
              <w:rPr>
                <w:color w:val="000000"/>
                <w:sz w:val="20"/>
              </w:rPr>
              <w:t>001.Alternative pridržanju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73E7F8" w14:textId="77777777" w:rsidR="00A77B3E" w:rsidRDefault="00EE0419">
            <w:pPr>
              <w:spacing w:before="100"/>
              <w:jc w:val="right"/>
              <w:rPr>
                <w:color w:val="000000"/>
                <w:sz w:val="20"/>
              </w:rPr>
            </w:pPr>
            <w:r>
              <w:rPr>
                <w:color w:val="000000"/>
                <w:sz w:val="20"/>
              </w:rPr>
              <w:t>0,00</w:t>
            </w:r>
          </w:p>
        </w:tc>
      </w:tr>
      <w:tr w:rsidR="00EC4D24" w14:paraId="52C395D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89F64B"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BAA1AB" w14:textId="77777777" w:rsidR="00A77B3E" w:rsidRDefault="00EE0419">
            <w:pPr>
              <w:spacing w:before="100"/>
              <w:rPr>
                <w:color w:val="000000"/>
                <w:sz w:val="20"/>
              </w:rPr>
            </w:pPr>
            <w:r>
              <w:rPr>
                <w:color w:val="000000"/>
                <w:sz w:val="20"/>
              </w:rPr>
              <w:t>002.Pogoji za sprejem/pridržanje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D8F1DE" w14:textId="77777777" w:rsidR="00A77B3E" w:rsidRDefault="00EE0419">
            <w:pPr>
              <w:spacing w:before="100"/>
              <w:jc w:val="right"/>
              <w:rPr>
                <w:color w:val="000000"/>
                <w:sz w:val="20"/>
              </w:rPr>
            </w:pPr>
            <w:r>
              <w:rPr>
                <w:color w:val="000000"/>
                <w:sz w:val="20"/>
              </w:rPr>
              <w:t>6.626.296,42</w:t>
            </w:r>
          </w:p>
        </w:tc>
      </w:tr>
      <w:tr w:rsidR="00EC4D24" w14:paraId="569F791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57F175"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D6F09E" w14:textId="77777777" w:rsidR="00A77B3E" w:rsidRDefault="00EE0419">
            <w:pPr>
              <w:spacing w:before="100"/>
              <w:rPr>
                <w:color w:val="000000"/>
                <w:sz w:val="20"/>
              </w:rPr>
            </w:pPr>
            <w:r>
              <w:rPr>
                <w:color w:val="000000"/>
                <w:sz w:val="20"/>
              </w:rPr>
              <w:t xml:space="preserve">003.Postopki vračanja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D9B271" w14:textId="77777777" w:rsidR="00A77B3E" w:rsidRDefault="00EE0419">
            <w:pPr>
              <w:spacing w:before="100"/>
              <w:jc w:val="right"/>
              <w:rPr>
                <w:color w:val="000000"/>
                <w:sz w:val="20"/>
              </w:rPr>
            </w:pPr>
            <w:r>
              <w:rPr>
                <w:color w:val="000000"/>
                <w:sz w:val="20"/>
              </w:rPr>
              <w:t>1.500.000,00</w:t>
            </w:r>
          </w:p>
        </w:tc>
      </w:tr>
      <w:tr w:rsidR="00EC4D24" w14:paraId="5460AA8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F5FBC4"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C86AD0" w14:textId="77777777" w:rsidR="00A77B3E" w:rsidRDefault="00EE0419">
            <w:pPr>
              <w:spacing w:before="100"/>
              <w:rPr>
                <w:color w:val="000000"/>
                <w:sz w:val="20"/>
              </w:rPr>
            </w:pPr>
            <w:r>
              <w:rPr>
                <w:color w:val="000000"/>
                <w:sz w:val="20"/>
              </w:rPr>
              <w:t xml:space="preserve">004.Pomoč pri prostovoljnem vračanju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B69AE3" w14:textId="0AF8CA47" w:rsidR="00A77B3E" w:rsidRPr="00857B1D" w:rsidRDefault="008850F3" w:rsidP="008850F3">
            <w:pPr>
              <w:spacing w:before="100"/>
              <w:jc w:val="right"/>
              <w:rPr>
                <w:color w:val="000000"/>
                <w:sz w:val="20"/>
              </w:rPr>
            </w:pPr>
            <w:r w:rsidRPr="00857B1D">
              <w:rPr>
                <w:color w:val="000000"/>
                <w:sz w:val="20"/>
              </w:rPr>
              <w:t>6</w:t>
            </w:r>
            <w:r w:rsidR="00EE0419" w:rsidRPr="00857B1D">
              <w:rPr>
                <w:color w:val="000000"/>
                <w:sz w:val="20"/>
              </w:rPr>
              <w:t>1.</w:t>
            </w:r>
            <w:r w:rsidRPr="00857B1D">
              <w:rPr>
                <w:color w:val="000000"/>
                <w:sz w:val="20"/>
              </w:rPr>
              <w:t>74</w:t>
            </w:r>
            <w:r w:rsidR="00EE0419" w:rsidRPr="00857B1D">
              <w:rPr>
                <w:color w:val="000000"/>
                <w:sz w:val="20"/>
              </w:rPr>
              <w:t>0,00</w:t>
            </w:r>
          </w:p>
        </w:tc>
      </w:tr>
      <w:tr w:rsidR="00EC4D24" w14:paraId="6B45BE6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7B5331"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333738" w14:textId="77777777" w:rsidR="00A77B3E" w:rsidRDefault="00EE0419">
            <w:pPr>
              <w:spacing w:before="100"/>
              <w:rPr>
                <w:color w:val="000000"/>
                <w:sz w:val="20"/>
              </w:rPr>
            </w:pPr>
            <w:r>
              <w:rPr>
                <w:color w:val="000000"/>
                <w:sz w:val="20"/>
              </w:rPr>
              <w:t>005.Pomoč pri reintegraciji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DA56ED" w14:textId="6E20CE27" w:rsidR="00A77B3E" w:rsidRPr="00857B1D" w:rsidRDefault="00EE0419" w:rsidP="008850F3">
            <w:pPr>
              <w:spacing w:before="100"/>
              <w:jc w:val="right"/>
              <w:rPr>
                <w:color w:val="000000"/>
                <w:sz w:val="20"/>
              </w:rPr>
            </w:pPr>
            <w:r w:rsidRPr="00857B1D">
              <w:rPr>
                <w:color w:val="000000"/>
                <w:sz w:val="20"/>
              </w:rPr>
              <w:t>5</w:t>
            </w:r>
            <w:r w:rsidR="008850F3" w:rsidRPr="00857B1D">
              <w:rPr>
                <w:color w:val="000000"/>
                <w:sz w:val="20"/>
              </w:rPr>
              <w:t>1</w:t>
            </w:r>
            <w:r w:rsidRPr="00857B1D">
              <w:rPr>
                <w:color w:val="000000"/>
                <w:sz w:val="20"/>
              </w:rPr>
              <w:t>5.</w:t>
            </w:r>
            <w:r w:rsidR="008850F3" w:rsidRPr="00857B1D">
              <w:rPr>
                <w:color w:val="000000"/>
                <w:sz w:val="20"/>
              </w:rPr>
              <w:t>31</w:t>
            </w:r>
            <w:r w:rsidRPr="00857B1D">
              <w:rPr>
                <w:color w:val="000000"/>
                <w:sz w:val="20"/>
              </w:rPr>
              <w:t>0,00</w:t>
            </w:r>
          </w:p>
        </w:tc>
      </w:tr>
      <w:tr w:rsidR="00EC4D24" w14:paraId="067EC55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A65C71"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3551F7" w14:textId="77777777" w:rsidR="00A77B3E" w:rsidRDefault="00EE0419">
            <w:pPr>
              <w:spacing w:before="100"/>
              <w:rPr>
                <w:color w:val="000000"/>
                <w:sz w:val="20"/>
              </w:rPr>
            </w:pPr>
            <w:r>
              <w:rPr>
                <w:color w:val="000000"/>
                <w:sz w:val="20"/>
              </w:rPr>
              <w:t>006.Operacije odstranitve/vračanja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962E65" w14:textId="77777777" w:rsidR="00A77B3E" w:rsidRDefault="00EE0419">
            <w:pPr>
              <w:spacing w:before="100"/>
              <w:jc w:val="right"/>
              <w:rPr>
                <w:color w:val="000000"/>
                <w:sz w:val="20"/>
              </w:rPr>
            </w:pPr>
            <w:r>
              <w:rPr>
                <w:color w:val="000000"/>
                <w:sz w:val="20"/>
              </w:rPr>
              <w:t>525.000,00</w:t>
            </w:r>
          </w:p>
        </w:tc>
      </w:tr>
      <w:tr w:rsidR="00EC4D24" w14:paraId="42E491D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655CC4"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A4B3F3" w14:textId="77777777" w:rsidR="00A77B3E" w:rsidRDefault="00EE0419">
            <w:pPr>
              <w:spacing w:before="100"/>
              <w:rPr>
                <w:color w:val="000000"/>
                <w:sz w:val="20"/>
              </w:rPr>
            </w:pPr>
            <w:r>
              <w:rPr>
                <w:color w:val="000000"/>
                <w:sz w:val="20"/>
              </w:rPr>
              <w:t>007.Sistem za spremljanje prisilnega vračanja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986EEF" w14:textId="77777777" w:rsidR="00A77B3E" w:rsidRDefault="00EE0419">
            <w:pPr>
              <w:spacing w:before="100"/>
              <w:jc w:val="right"/>
              <w:rPr>
                <w:color w:val="000000"/>
                <w:sz w:val="20"/>
              </w:rPr>
            </w:pPr>
            <w:r>
              <w:rPr>
                <w:color w:val="000000"/>
                <w:sz w:val="20"/>
              </w:rPr>
              <w:t>105.000,00</w:t>
            </w:r>
          </w:p>
        </w:tc>
      </w:tr>
      <w:tr w:rsidR="00EC4D24" w14:paraId="73794C6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BB4509"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544E01" w14:textId="77777777" w:rsidR="00A77B3E" w:rsidRDefault="00EE0419">
            <w:pPr>
              <w:spacing w:before="100"/>
              <w:rPr>
                <w:color w:val="000000"/>
                <w:sz w:val="20"/>
              </w:rPr>
            </w:pPr>
            <w:r>
              <w:rPr>
                <w:color w:val="000000"/>
                <w:sz w:val="20"/>
              </w:rPr>
              <w:t>008.Ranljive osebe/mladoletniki brez spremstva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4126C6" w14:textId="77777777" w:rsidR="00A77B3E" w:rsidRDefault="00EE0419">
            <w:pPr>
              <w:spacing w:before="100"/>
              <w:jc w:val="right"/>
              <w:rPr>
                <w:color w:val="000000"/>
                <w:sz w:val="20"/>
              </w:rPr>
            </w:pPr>
            <w:r>
              <w:rPr>
                <w:color w:val="000000"/>
                <w:sz w:val="20"/>
              </w:rPr>
              <w:t>0,00</w:t>
            </w:r>
          </w:p>
        </w:tc>
      </w:tr>
      <w:tr w:rsidR="00EC4D24" w14:paraId="00A3835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75CAEA"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F63A44" w14:textId="77777777" w:rsidR="00A77B3E" w:rsidRDefault="00EE0419">
            <w:pPr>
              <w:spacing w:before="100"/>
              <w:rPr>
                <w:color w:val="000000"/>
                <w:sz w:val="20"/>
              </w:rPr>
            </w:pPr>
            <w:r>
              <w:rPr>
                <w:color w:val="000000"/>
                <w:sz w:val="20"/>
              </w:rPr>
              <w:t>009.Ukrepi za odpravljanje spodbud za nedovoljene migracije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261293" w14:textId="77777777" w:rsidR="00A77B3E" w:rsidRDefault="00EE0419">
            <w:pPr>
              <w:spacing w:before="100"/>
              <w:jc w:val="right"/>
              <w:rPr>
                <w:color w:val="000000"/>
                <w:sz w:val="20"/>
              </w:rPr>
            </w:pPr>
            <w:r>
              <w:rPr>
                <w:color w:val="000000"/>
                <w:sz w:val="20"/>
              </w:rPr>
              <w:t>0,00</w:t>
            </w:r>
          </w:p>
        </w:tc>
      </w:tr>
      <w:tr w:rsidR="00EC4D24" w14:paraId="14ACEF3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F3918E"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23B759" w14:textId="77777777" w:rsidR="00A77B3E" w:rsidRDefault="00EE0419">
            <w:pPr>
              <w:spacing w:before="100"/>
              <w:rPr>
                <w:color w:val="000000"/>
                <w:sz w:val="20"/>
              </w:rPr>
            </w:pPr>
            <w:r>
              <w:rPr>
                <w:color w:val="000000"/>
                <w:sz w:val="20"/>
              </w:rPr>
              <w:t>010.Operativna podpora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3DB09A" w14:textId="77777777" w:rsidR="00A77B3E" w:rsidRDefault="00EE0419">
            <w:pPr>
              <w:spacing w:before="100"/>
              <w:jc w:val="right"/>
              <w:rPr>
                <w:color w:val="000000"/>
                <w:sz w:val="20"/>
              </w:rPr>
            </w:pPr>
            <w:r>
              <w:rPr>
                <w:color w:val="000000"/>
                <w:sz w:val="20"/>
              </w:rPr>
              <w:t>0,00</w:t>
            </w:r>
          </w:p>
        </w:tc>
      </w:tr>
    </w:tbl>
    <w:p w14:paraId="4962FB8F" w14:textId="77777777" w:rsidR="00A77B3E" w:rsidRDefault="00A77B3E">
      <w:pPr>
        <w:spacing w:before="100"/>
        <w:rPr>
          <w:color w:val="000000"/>
          <w:sz w:val="20"/>
        </w:rPr>
        <w:sectPr w:rsidR="00A77B3E">
          <w:pgSz w:w="16838" w:h="11906" w:orient="landscape"/>
          <w:pgMar w:top="720" w:right="720" w:bottom="864" w:left="936" w:header="288" w:footer="72" w:gutter="0"/>
          <w:cols w:space="720"/>
          <w:noEndnote/>
          <w:docGrid w:linePitch="360"/>
        </w:sectPr>
      </w:pPr>
    </w:p>
    <w:p w14:paraId="75597536" w14:textId="77777777" w:rsidR="00A77B3E" w:rsidRDefault="00EE0419">
      <w:pPr>
        <w:pStyle w:val="Naslov2"/>
        <w:spacing w:before="100" w:after="0"/>
        <w:rPr>
          <w:rFonts w:ascii="Times New Roman" w:hAnsi="Times New Roman" w:cs="Times New Roman"/>
          <w:b w:val="0"/>
          <w:i w:val="0"/>
          <w:color w:val="000000"/>
          <w:sz w:val="24"/>
        </w:rPr>
      </w:pPr>
      <w:bookmarkStart w:id="24" w:name="_Toc256000088"/>
      <w:r>
        <w:rPr>
          <w:rFonts w:ascii="Times New Roman" w:hAnsi="Times New Roman" w:cs="Times New Roman"/>
          <w:b w:val="0"/>
          <w:i w:val="0"/>
          <w:color w:val="000000"/>
          <w:sz w:val="24"/>
        </w:rPr>
        <w:lastRenderedPageBreak/>
        <w:t>2.1. Specifični cilj: 4. Solidarnost</w:t>
      </w:r>
      <w:bookmarkEnd w:id="24"/>
    </w:p>
    <w:p w14:paraId="03F297C6" w14:textId="77777777" w:rsidR="00A77B3E" w:rsidRDefault="00A77B3E">
      <w:pPr>
        <w:spacing w:before="100"/>
        <w:rPr>
          <w:color w:val="000000"/>
          <w:sz w:val="0"/>
        </w:rPr>
      </w:pPr>
    </w:p>
    <w:p w14:paraId="0CB543DA" w14:textId="77777777" w:rsidR="00A77B3E" w:rsidRDefault="00EE0419">
      <w:pPr>
        <w:pStyle w:val="Naslov3"/>
        <w:spacing w:before="100" w:after="0"/>
        <w:rPr>
          <w:rFonts w:ascii="Times New Roman" w:hAnsi="Times New Roman" w:cs="Times New Roman"/>
          <w:b w:val="0"/>
          <w:color w:val="000000"/>
          <w:sz w:val="24"/>
        </w:rPr>
      </w:pPr>
      <w:bookmarkStart w:id="25" w:name="_Toc256000089"/>
      <w:r>
        <w:rPr>
          <w:rFonts w:ascii="Times New Roman" w:hAnsi="Times New Roman" w:cs="Times New Roman"/>
          <w:b w:val="0"/>
          <w:color w:val="000000"/>
          <w:sz w:val="24"/>
        </w:rPr>
        <w:t>2.1.1. Opis specifičnega cilja</w:t>
      </w:r>
      <w:bookmarkEnd w:id="25"/>
    </w:p>
    <w:p w14:paraId="20F8A92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C4D24" w:rsidRPr="00857B1D" w14:paraId="6445B96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7E4EC0" w14:textId="77777777" w:rsidR="00A77B3E" w:rsidRDefault="00A77B3E">
            <w:pPr>
              <w:spacing w:before="100"/>
              <w:rPr>
                <w:color w:val="000000"/>
                <w:sz w:val="0"/>
              </w:rPr>
            </w:pPr>
          </w:p>
          <w:p w14:paraId="4EA0192E" w14:textId="77777777" w:rsidR="00A77B3E" w:rsidRDefault="00EE0419">
            <w:pPr>
              <w:spacing w:before="100"/>
              <w:rPr>
                <w:color w:val="000000"/>
              </w:rPr>
            </w:pPr>
            <w:r>
              <w:rPr>
                <w:color w:val="000000"/>
              </w:rPr>
              <w:t xml:space="preserve">V okviru SO4 je Slovenija vzpostavila svoje prednostne cilje na spodaj navedenih področjih. Skladno s tem se bodo izvajali </w:t>
            </w:r>
            <w:r w:rsidRPr="00F86336">
              <w:rPr>
                <w:color w:val="000000"/>
              </w:rPr>
              <w:t>ukrepi 4a in 4b iz Priloge II.</w:t>
            </w:r>
          </w:p>
          <w:p w14:paraId="6EF2D63F" w14:textId="77777777" w:rsidR="00A77B3E" w:rsidRDefault="00A77B3E">
            <w:pPr>
              <w:spacing w:before="100"/>
              <w:rPr>
                <w:color w:val="000000"/>
              </w:rPr>
            </w:pPr>
          </w:p>
          <w:p w14:paraId="7512153C" w14:textId="77777777" w:rsidR="00A77B3E" w:rsidRDefault="00EE0419">
            <w:pPr>
              <w:spacing w:before="100"/>
              <w:rPr>
                <w:color w:val="000000"/>
              </w:rPr>
            </w:pPr>
            <w:r>
              <w:rPr>
                <w:color w:val="000000"/>
              </w:rPr>
              <w:t xml:space="preserve">1) </w:t>
            </w:r>
            <w:r>
              <w:rPr>
                <w:color w:val="000000"/>
                <w:u w:val="single"/>
              </w:rPr>
              <w:t xml:space="preserve">Izvedbeni ukrep 4a: </w:t>
            </w:r>
          </w:p>
          <w:p w14:paraId="51C5A3CB" w14:textId="77777777" w:rsidR="00A77B3E" w:rsidRPr="00857B1D" w:rsidRDefault="00EE0419">
            <w:pPr>
              <w:spacing w:before="100"/>
              <w:rPr>
                <w:color w:val="000000"/>
                <w:lang w:val="it-IT"/>
              </w:rPr>
            </w:pPr>
            <w:r>
              <w:rPr>
                <w:color w:val="000000"/>
              </w:rPr>
              <w:t xml:space="preserve">Slovenija je vzpostavila zakonski okvir za okrepitev solidarnosti in sodelovanja pri preselitvah in humanitarnem sprejemu s tretjimi državami, ki se soočajo z migracijskimi tokovi, z ZMZ in drugimi podzakonskimi predpisi. </w:t>
            </w:r>
            <w:r w:rsidRPr="00857B1D">
              <w:rPr>
                <w:color w:val="000000"/>
                <w:lang w:val="it-IT"/>
              </w:rPr>
              <w:t>Poleg tega lahko nudimo možnosti za nastanitev, vse oblike pomoči in integracijo posameznikov v družbo. Glede na pozive o sodelovanju in nestabilno spreminjajočo se situacijo v drugih regijah pa je odločitev o sodelovanju odvisna od političnega konsenza ter odobritve.</w:t>
            </w:r>
          </w:p>
          <w:p w14:paraId="26298C79" w14:textId="77777777" w:rsidR="00A77B3E" w:rsidRPr="00857B1D" w:rsidRDefault="00EE0419">
            <w:pPr>
              <w:spacing w:before="100"/>
              <w:rPr>
                <w:color w:val="000000"/>
                <w:lang w:val="it-IT"/>
              </w:rPr>
            </w:pPr>
            <w:r w:rsidRPr="00857B1D">
              <w:rPr>
                <w:color w:val="000000"/>
                <w:lang w:val="it-IT"/>
              </w:rPr>
              <w:t xml:space="preserve">2) </w:t>
            </w:r>
            <w:r w:rsidRPr="00857B1D">
              <w:rPr>
                <w:color w:val="000000"/>
                <w:u w:val="single"/>
                <w:lang w:val="it-IT"/>
              </w:rPr>
              <w:t xml:space="preserve">Izvedbeni ukrep 4b: </w:t>
            </w:r>
          </w:p>
          <w:p w14:paraId="22FEBCC0" w14:textId="77777777" w:rsidR="00A77B3E" w:rsidRPr="00857B1D" w:rsidRDefault="00EE0419">
            <w:pPr>
              <w:spacing w:before="100"/>
              <w:rPr>
                <w:color w:val="000000"/>
                <w:lang w:val="it-IT"/>
              </w:rPr>
            </w:pPr>
            <w:r w:rsidRPr="00857B1D">
              <w:rPr>
                <w:color w:val="000000"/>
                <w:lang w:val="it-IT"/>
              </w:rPr>
              <w:t>Predaje in prevzemi po dublinski uredbi: Učinkovito izvajanje Uredbe (EU) 604/2013 o vzpostavitvi meril in mehanizmov za določitev države članice, odgovorne za obravnavanje prošnje za azil, ki jo v eni od držav članic vloži državljan tretje države ter zagotovitev spremstva pri predaji in prevzemu tujcev.</w:t>
            </w:r>
          </w:p>
          <w:p w14:paraId="219BCD78" w14:textId="77777777" w:rsidR="00A77B3E" w:rsidRPr="00857B1D" w:rsidRDefault="00EE0419">
            <w:pPr>
              <w:spacing w:before="100"/>
              <w:rPr>
                <w:color w:val="000000"/>
                <w:lang w:val="it-IT"/>
              </w:rPr>
            </w:pPr>
            <w:r w:rsidRPr="00857B1D">
              <w:rPr>
                <w:color w:val="000000"/>
                <w:lang w:val="it-IT"/>
              </w:rPr>
              <w:t>Slovenija je vzpostavila zakonski okvir za okrepitev solidarnosti in delitve odgovornosti med državami članicami oz. premestitev z ZMZ in drugimi podzakonski predpisi. Poleg tega ima možnosti za nastanitev in vse oblike pomoči kot tudi integracijo v družbo. Glede na pozive o sodelovanju in nestabilno spreminjajočo se situacijo v drugih regijah, pa je odločitev o sodelovanju odvisna od političnega konsenza ter odobritve.</w:t>
            </w:r>
          </w:p>
          <w:p w14:paraId="71264583" w14:textId="77777777" w:rsidR="00A77B3E" w:rsidRPr="00857B1D" w:rsidRDefault="00A77B3E">
            <w:pPr>
              <w:spacing w:before="100"/>
              <w:rPr>
                <w:color w:val="000000"/>
                <w:lang w:val="it-IT"/>
              </w:rPr>
            </w:pPr>
          </w:p>
        </w:tc>
      </w:tr>
    </w:tbl>
    <w:p w14:paraId="61E5DC1C" w14:textId="77777777" w:rsidR="00A77B3E" w:rsidRPr="00857B1D" w:rsidRDefault="00A77B3E">
      <w:pPr>
        <w:spacing w:before="100"/>
        <w:rPr>
          <w:color w:val="000000"/>
          <w:lang w:val="it-IT"/>
        </w:rPr>
        <w:sectPr w:rsidR="00A77B3E" w:rsidRPr="00857B1D">
          <w:headerReference w:type="even" r:id="rId55"/>
          <w:headerReference w:type="default" r:id="rId56"/>
          <w:footerReference w:type="even" r:id="rId57"/>
          <w:footerReference w:type="default" r:id="rId58"/>
          <w:headerReference w:type="first" r:id="rId59"/>
          <w:footerReference w:type="first" r:id="rId60"/>
          <w:pgSz w:w="11906" w:h="16838"/>
          <w:pgMar w:top="720" w:right="936" w:bottom="864" w:left="720" w:header="0" w:footer="72" w:gutter="0"/>
          <w:cols w:space="720"/>
          <w:noEndnote/>
          <w:docGrid w:linePitch="360"/>
        </w:sectPr>
      </w:pPr>
    </w:p>
    <w:p w14:paraId="4A3A1382" w14:textId="77777777" w:rsidR="00A77B3E" w:rsidRPr="00857B1D" w:rsidRDefault="00EE0419">
      <w:pPr>
        <w:spacing w:before="100"/>
        <w:rPr>
          <w:color w:val="000000"/>
          <w:lang w:val="it-IT"/>
        </w:rPr>
      </w:pPr>
      <w:r w:rsidRPr="00857B1D">
        <w:rPr>
          <w:color w:val="000000"/>
          <w:lang w:val="it-IT"/>
        </w:rPr>
        <w:lastRenderedPageBreak/>
        <w:t>2.1. Specifični cilj 4. Solidarnost</w:t>
      </w:r>
    </w:p>
    <w:p w14:paraId="310B4D4D" w14:textId="77777777" w:rsidR="00A77B3E" w:rsidRPr="00857B1D" w:rsidRDefault="00EE0419">
      <w:pPr>
        <w:pStyle w:val="Naslov3"/>
        <w:spacing w:before="100" w:after="0"/>
        <w:rPr>
          <w:rFonts w:ascii="Times New Roman" w:hAnsi="Times New Roman" w:cs="Times New Roman"/>
          <w:b w:val="0"/>
          <w:color w:val="000000"/>
          <w:sz w:val="24"/>
          <w:lang w:val="it-IT"/>
        </w:rPr>
      </w:pPr>
      <w:bookmarkStart w:id="26" w:name="_Toc256000090"/>
      <w:r w:rsidRPr="00857B1D">
        <w:rPr>
          <w:rFonts w:ascii="Times New Roman" w:hAnsi="Times New Roman" w:cs="Times New Roman"/>
          <w:b w:val="0"/>
          <w:color w:val="000000"/>
          <w:sz w:val="24"/>
          <w:lang w:val="it-IT"/>
        </w:rPr>
        <w:t>2.1.2. Kazalniki</w:t>
      </w:r>
      <w:bookmarkEnd w:id="26"/>
    </w:p>
    <w:p w14:paraId="19A14C1B" w14:textId="77777777" w:rsidR="00A77B3E" w:rsidRPr="00857B1D" w:rsidRDefault="00EE0419">
      <w:pPr>
        <w:spacing w:before="100"/>
        <w:rPr>
          <w:color w:val="000000"/>
          <w:sz w:val="12"/>
          <w:lang w:val="it-IT"/>
        </w:rPr>
      </w:pPr>
      <w:r w:rsidRPr="00857B1D">
        <w:rPr>
          <w:color w:val="000000"/>
          <w:lang w:val="it-IT"/>
        </w:rPr>
        <w:t>Sklic: člen 22(4)(e) uredbe o skupnih določbah</w:t>
      </w:r>
    </w:p>
    <w:p w14:paraId="5BF16613" w14:textId="77777777" w:rsidR="00A77B3E" w:rsidRDefault="00EE0419">
      <w:pPr>
        <w:pStyle w:val="Naslov4"/>
        <w:spacing w:before="100" w:after="0"/>
        <w:rPr>
          <w:b w:val="0"/>
          <w:color w:val="000000"/>
          <w:sz w:val="24"/>
        </w:rPr>
      </w:pPr>
      <w:bookmarkStart w:id="27" w:name="_Toc256000091"/>
      <w:r>
        <w:rPr>
          <w:b w:val="0"/>
          <w:color w:val="000000"/>
          <w:sz w:val="24"/>
        </w:rPr>
        <w:t>Tabela 1: Kazalniki učinka</w:t>
      </w:r>
      <w:bookmarkEnd w:id="27"/>
    </w:p>
    <w:p w14:paraId="56E5BE9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7659"/>
        <w:gridCol w:w="1962"/>
        <w:gridCol w:w="2089"/>
        <w:gridCol w:w="1637"/>
      </w:tblGrid>
      <w:tr w:rsidR="00EC4D24" w14:paraId="6E3F360F"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CCAE72" w14:textId="77777777" w:rsidR="00A77B3E" w:rsidRDefault="00EE0419">
            <w:pPr>
              <w:spacing w:before="100"/>
              <w:jc w:val="center"/>
              <w:rPr>
                <w:color w:val="000000"/>
                <w:sz w:val="20"/>
              </w:rPr>
            </w:pPr>
            <w:r>
              <w:rPr>
                <w:color w:val="000000"/>
                <w:sz w:val="20"/>
              </w:rPr>
              <w:t>Identifikator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4D293A" w14:textId="77777777" w:rsidR="00A77B3E" w:rsidRDefault="00EE0419">
            <w:pPr>
              <w:spacing w:before="100"/>
              <w:jc w:val="center"/>
              <w:rPr>
                <w:color w:val="000000"/>
                <w:sz w:val="20"/>
              </w:rPr>
            </w:pPr>
            <w:r>
              <w:rPr>
                <w:color w:val="000000"/>
                <w:sz w:val="20"/>
              </w:rPr>
              <w:t>Kazalnik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33596E" w14:textId="77777777" w:rsidR="00A77B3E" w:rsidRDefault="00EE0419">
            <w:pPr>
              <w:spacing w:before="100"/>
              <w:jc w:val="center"/>
              <w:rPr>
                <w:color w:val="000000"/>
                <w:sz w:val="20"/>
              </w:rPr>
            </w:pPr>
            <w:r>
              <w:rPr>
                <w:color w:val="000000"/>
                <w:sz w:val="20"/>
              </w:rPr>
              <w:t>Merska enota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FAB61E" w14:textId="77777777" w:rsidR="00A77B3E" w:rsidRDefault="00EE0419">
            <w:pPr>
              <w:spacing w:before="100"/>
              <w:jc w:val="center"/>
              <w:rPr>
                <w:color w:val="000000"/>
                <w:sz w:val="20"/>
              </w:rPr>
            </w:pPr>
            <w:r>
              <w:rPr>
                <w:color w:val="000000"/>
                <w:sz w:val="20"/>
              </w:rPr>
              <w:t>Mejnik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2958C5" w14:textId="77777777" w:rsidR="00A77B3E" w:rsidRDefault="00EE0419">
            <w:pPr>
              <w:spacing w:before="100"/>
              <w:jc w:val="center"/>
              <w:rPr>
                <w:color w:val="000000"/>
                <w:sz w:val="20"/>
              </w:rPr>
            </w:pPr>
            <w:r>
              <w:rPr>
                <w:color w:val="000000"/>
                <w:sz w:val="20"/>
              </w:rPr>
              <w:t>Cilj (2029)</w:t>
            </w:r>
          </w:p>
        </w:tc>
      </w:tr>
      <w:tr w:rsidR="00EC4D24" w14:paraId="439DE40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09DC02" w14:textId="77777777" w:rsidR="00A77B3E" w:rsidRDefault="00EE0419">
            <w:pPr>
              <w:spacing w:before="100"/>
              <w:rPr>
                <w:color w:val="000000"/>
                <w:sz w:val="20"/>
              </w:rPr>
            </w:pPr>
            <w:r>
              <w:rPr>
                <w:color w:val="000000"/>
                <w:sz w:val="20"/>
              </w:rPr>
              <w:t>O.4.1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49E443" w14:textId="77777777" w:rsidR="00A77B3E" w:rsidRDefault="00EE0419">
            <w:pPr>
              <w:spacing w:before="100"/>
              <w:rPr>
                <w:color w:val="000000"/>
                <w:sz w:val="20"/>
              </w:rPr>
            </w:pPr>
            <w:r>
              <w:rPr>
                <w:color w:val="000000"/>
                <w:sz w:val="20"/>
              </w:rPr>
              <w:t>Število usposobljenega osebja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C6A646"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E58D4A" w14:textId="77777777" w:rsidR="00A77B3E" w:rsidRDefault="00EE0419">
            <w:pPr>
              <w:spacing w:before="100"/>
              <w:jc w:val="right"/>
              <w:rPr>
                <w:color w:val="000000"/>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6A431F" w14:textId="77777777" w:rsidR="00A77B3E" w:rsidRDefault="00EE0419">
            <w:pPr>
              <w:spacing w:before="100"/>
              <w:jc w:val="right"/>
              <w:rPr>
                <w:color w:val="000000"/>
                <w:sz w:val="20"/>
              </w:rPr>
            </w:pPr>
            <w:r>
              <w:rPr>
                <w:color w:val="000000"/>
                <w:sz w:val="20"/>
              </w:rPr>
              <w:t>0</w:t>
            </w:r>
          </w:p>
        </w:tc>
      </w:tr>
      <w:tr w:rsidR="00EC4D24" w14:paraId="2D33B02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421D24" w14:textId="77777777" w:rsidR="00A77B3E" w:rsidRDefault="00EE0419">
            <w:pPr>
              <w:spacing w:before="100"/>
              <w:rPr>
                <w:color w:val="000000"/>
                <w:sz w:val="20"/>
              </w:rPr>
            </w:pPr>
            <w:r>
              <w:rPr>
                <w:color w:val="000000"/>
                <w:sz w:val="20"/>
              </w:rPr>
              <w:t>O.4.2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64A8D2" w14:textId="77777777" w:rsidR="00A77B3E" w:rsidRPr="00857B1D" w:rsidRDefault="00EE0419">
            <w:pPr>
              <w:spacing w:before="100"/>
              <w:rPr>
                <w:color w:val="000000"/>
                <w:sz w:val="20"/>
                <w:lang w:val="it-IT"/>
              </w:rPr>
            </w:pPr>
            <w:r w:rsidRPr="00857B1D">
              <w:rPr>
                <w:color w:val="000000"/>
                <w:sz w:val="20"/>
                <w:lang w:val="it-IT"/>
              </w:rPr>
              <w:t>Število udeležencev, ki so prejeli podporo pred odhodom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AD69B6" w14:textId="77777777" w:rsidR="00A77B3E" w:rsidRDefault="00EE0419">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BD5AC2" w14:textId="77777777" w:rsidR="00A77B3E" w:rsidRDefault="00EE0419">
            <w:pPr>
              <w:spacing w:before="100"/>
              <w:jc w:val="right"/>
              <w:rPr>
                <w:color w:val="000000"/>
                <w:sz w:val="20"/>
              </w:rPr>
            </w:pPr>
            <w:r>
              <w:rPr>
                <w:color w:val="000000"/>
                <w:sz w:val="2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4FB732" w14:textId="77777777" w:rsidR="00A77B3E" w:rsidRDefault="00EE0419">
            <w:pPr>
              <w:spacing w:before="100"/>
              <w:jc w:val="right"/>
              <w:rPr>
                <w:color w:val="000000"/>
                <w:sz w:val="20"/>
              </w:rPr>
            </w:pPr>
            <w:r>
              <w:rPr>
                <w:color w:val="000000"/>
                <w:sz w:val="20"/>
              </w:rPr>
              <w:t>25</w:t>
            </w:r>
          </w:p>
        </w:tc>
      </w:tr>
    </w:tbl>
    <w:p w14:paraId="32F9FB2C" w14:textId="77777777" w:rsidR="00A77B3E" w:rsidRDefault="00EE0419">
      <w:pPr>
        <w:spacing w:before="100"/>
        <w:rPr>
          <w:color w:val="000000"/>
        </w:rPr>
      </w:pPr>
      <w:r>
        <w:rPr>
          <w:color w:val="000000"/>
          <w:sz w:val="20"/>
        </w:rPr>
        <w:br w:type="page"/>
      </w:r>
      <w:r>
        <w:rPr>
          <w:color w:val="000000"/>
        </w:rPr>
        <w:lastRenderedPageBreak/>
        <w:t>2.1. Specifični cilj 4. Solidarnost</w:t>
      </w:r>
    </w:p>
    <w:p w14:paraId="3B259E80" w14:textId="77777777" w:rsidR="00A77B3E" w:rsidRDefault="00EE0419">
      <w:pPr>
        <w:spacing w:before="100"/>
        <w:rPr>
          <w:color w:val="000000"/>
          <w:sz w:val="0"/>
        </w:rPr>
      </w:pPr>
      <w:r>
        <w:rPr>
          <w:color w:val="000000"/>
        </w:rPr>
        <w:t>2.1.2. Kazalniki</w:t>
      </w:r>
    </w:p>
    <w:p w14:paraId="2D3E7456" w14:textId="77777777" w:rsidR="00A77B3E" w:rsidRDefault="00EE0419">
      <w:pPr>
        <w:spacing w:before="100"/>
        <w:rPr>
          <w:color w:val="000000"/>
          <w:sz w:val="12"/>
        </w:rPr>
      </w:pPr>
      <w:r>
        <w:rPr>
          <w:color w:val="000000"/>
        </w:rPr>
        <w:t>Sklic: člen 22(4)(e) uredbe o skupnih določbah</w:t>
      </w:r>
    </w:p>
    <w:p w14:paraId="5001C6EE" w14:textId="77777777" w:rsidR="00A77B3E" w:rsidRDefault="00EE0419">
      <w:pPr>
        <w:pStyle w:val="Naslov4"/>
        <w:spacing w:before="100" w:after="0"/>
        <w:rPr>
          <w:b w:val="0"/>
          <w:color w:val="000000"/>
          <w:sz w:val="24"/>
        </w:rPr>
      </w:pPr>
      <w:bookmarkStart w:id="28" w:name="_Toc256000092"/>
      <w:r>
        <w:rPr>
          <w:b w:val="0"/>
          <w:color w:val="000000"/>
          <w:sz w:val="24"/>
        </w:rPr>
        <w:t>Tabela 2: Kazalniki rezultatov</w:t>
      </w:r>
      <w:bookmarkEnd w:id="28"/>
    </w:p>
    <w:p w14:paraId="6F39816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76"/>
        <w:gridCol w:w="1517"/>
        <w:gridCol w:w="1517"/>
        <w:gridCol w:w="1517"/>
        <w:gridCol w:w="1517"/>
        <w:gridCol w:w="1517"/>
        <w:gridCol w:w="1517"/>
        <w:gridCol w:w="1517"/>
        <w:gridCol w:w="1517"/>
      </w:tblGrid>
      <w:tr w:rsidR="00EC4D24" w14:paraId="2D7DE992" w14:textId="77777777">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276B86" w14:textId="77777777" w:rsidR="00A77B3E" w:rsidRDefault="00EE0419">
            <w:pPr>
              <w:spacing w:before="100"/>
              <w:jc w:val="center"/>
              <w:rPr>
                <w:color w:val="000000"/>
                <w:sz w:val="20"/>
              </w:rPr>
            </w:pPr>
            <w:r>
              <w:rPr>
                <w:color w:val="000000"/>
                <w:sz w:val="20"/>
              </w:rPr>
              <w:t>Identifikator</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54B23E" w14:textId="77777777" w:rsidR="00A77B3E" w:rsidRDefault="00EE0419">
            <w:pPr>
              <w:spacing w:before="100"/>
              <w:jc w:val="center"/>
              <w:rPr>
                <w:color w:val="000000"/>
                <w:sz w:val="20"/>
              </w:rPr>
            </w:pPr>
            <w:r>
              <w:rPr>
                <w:color w:val="000000"/>
                <w:sz w:val="20"/>
              </w:rPr>
              <w:t>Kazalnik</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46E810" w14:textId="77777777" w:rsidR="00A77B3E" w:rsidRDefault="00EE0419">
            <w:pPr>
              <w:spacing w:before="100"/>
              <w:jc w:val="center"/>
              <w:rPr>
                <w:color w:val="000000"/>
                <w:sz w:val="20"/>
              </w:rPr>
            </w:pPr>
            <w:r>
              <w:rPr>
                <w:color w:val="000000"/>
                <w:sz w:val="20"/>
              </w:rPr>
              <w:t>Merska enota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418B19" w14:textId="77777777" w:rsidR="00A77B3E" w:rsidRDefault="00EE0419">
            <w:pPr>
              <w:spacing w:before="100"/>
              <w:jc w:val="center"/>
              <w:rPr>
                <w:color w:val="000000"/>
                <w:sz w:val="20"/>
              </w:rPr>
            </w:pPr>
            <w:r>
              <w:rPr>
                <w:color w:val="000000"/>
                <w:sz w:val="20"/>
              </w:rPr>
              <w:t>Izhodišče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821D64" w14:textId="77777777" w:rsidR="00A77B3E" w:rsidRDefault="00EE0419">
            <w:pPr>
              <w:spacing w:before="100"/>
              <w:jc w:val="center"/>
              <w:rPr>
                <w:color w:val="000000"/>
                <w:sz w:val="20"/>
              </w:rPr>
            </w:pPr>
            <w:r>
              <w:rPr>
                <w:color w:val="000000"/>
                <w:sz w:val="20"/>
              </w:rPr>
              <w:t>Merska enota za izhodišče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AE60F8" w14:textId="77777777" w:rsidR="00A77B3E" w:rsidRDefault="00EE0419">
            <w:pPr>
              <w:spacing w:before="100"/>
              <w:jc w:val="center"/>
              <w:rPr>
                <w:color w:val="000000"/>
                <w:sz w:val="20"/>
              </w:rPr>
            </w:pPr>
            <w:r>
              <w:rPr>
                <w:color w:val="000000"/>
                <w:sz w:val="20"/>
              </w:rPr>
              <w:t>Referenčna leta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CAC330" w14:textId="77777777" w:rsidR="00A77B3E" w:rsidRDefault="00EE0419">
            <w:pPr>
              <w:spacing w:before="100"/>
              <w:jc w:val="center"/>
              <w:rPr>
                <w:color w:val="000000"/>
                <w:sz w:val="20"/>
              </w:rPr>
            </w:pPr>
            <w:r>
              <w:rPr>
                <w:color w:val="000000"/>
                <w:sz w:val="20"/>
              </w:rPr>
              <w:t>Cilj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AEF203" w14:textId="77777777" w:rsidR="00A77B3E" w:rsidRDefault="00EE0419">
            <w:pPr>
              <w:spacing w:before="100"/>
              <w:jc w:val="center"/>
              <w:rPr>
                <w:color w:val="000000"/>
                <w:sz w:val="20"/>
              </w:rPr>
            </w:pPr>
            <w:r>
              <w:rPr>
                <w:color w:val="000000"/>
                <w:sz w:val="20"/>
              </w:rPr>
              <w:t>Merska enota za cilj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87344F" w14:textId="77777777" w:rsidR="00A77B3E" w:rsidRDefault="00EE0419">
            <w:pPr>
              <w:spacing w:before="100"/>
              <w:jc w:val="center"/>
              <w:rPr>
                <w:color w:val="000000"/>
                <w:sz w:val="20"/>
              </w:rPr>
            </w:pPr>
            <w:r>
              <w:rPr>
                <w:color w:val="000000"/>
                <w:sz w:val="20"/>
              </w:rPr>
              <w:t>Vir podatkov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EE7EA8" w14:textId="77777777" w:rsidR="00A77B3E" w:rsidRDefault="00EE0419">
            <w:pPr>
              <w:spacing w:before="100"/>
              <w:rPr>
                <w:color w:val="000000"/>
                <w:sz w:val="20"/>
              </w:rPr>
            </w:pPr>
            <w:r>
              <w:rPr>
                <w:color w:val="000000"/>
                <w:sz w:val="20"/>
              </w:rPr>
              <w:t>Opombe</w:t>
            </w:r>
          </w:p>
        </w:tc>
      </w:tr>
      <w:tr w:rsidR="00EC4D24" w14:paraId="489A7518"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764727" w14:textId="77777777" w:rsidR="00A77B3E" w:rsidRDefault="00EE0419">
            <w:pPr>
              <w:spacing w:before="100"/>
              <w:rPr>
                <w:color w:val="000000"/>
                <w:sz w:val="20"/>
              </w:rPr>
            </w:pPr>
            <w:r>
              <w:rPr>
                <w:color w:val="000000"/>
                <w:sz w:val="20"/>
              </w:rPr>
              <w:t>R.4.3</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947717" w14:textId="77777777" w:rsidR="00A77B3E" w:rsidRDefault="00EE0419">
            <w:pPr>
              <w:spacing w:before="100"/>
              <w:rPr>
                <w:color w:val="000000"/>
                <w:sz w:val="20"/>
              </w:rPr>
            </w:pPr>
            <w:r>
              <w:rPr>
                <w:color w:val="000000"/>
                <w:sz w:val="20"/>
              </w:rPr>
              <w:t>Število prosilcev za mednarodno zaščito in upravičencev do nje, premeščenih iz ene države članice v drugo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A9719E"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788015" w14:textId="77777777" w:rsidR="00A77B3E" w:rsidRDefault="00EE0419">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D67CA0"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77B52F" w14:textId="77777777" w:rsidR="00A77B3E" w:rsidRDefault="00EE0419">
            <w:pPr>
              <w:spacing w:before="100"/>
              <w:jc w:val="center"/>
              <w:rPr>
                <w:color w:val="000000"/>
                <w:sz w:val="20"/>
              </w:rPr>
            </w:pPr>
            <w:r>
              <w:rPr>
                <w:color w:val="000000"/>
                <w:sz w:val="20"/>
              </w:rPr>
              <w:t>2021-2027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6E823F" w14:textId="30747E52" w:rsidR="00A77B3E" w:rsidRDefault="00AA4EAA">
            <w:pPr>
              <w:spacing w:before="100"/>
              <w:jc w:val="center"/>
              <w:rPr>
                <w:color w:val="000000"/>
                <w:sz w:val="20"/>
              </w:rPr>
            </w:pPr>
            <w:r w:rsidRPr="00857B1D">
              <w:rPr>
                <w:color w:val="000000"/>
                <w:sz w:val="20"/>
              </w:rPr>
              <w:t>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87913D"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DBAFA5" w14:textId="77777777" w:rsidR="00A77B3E" w:rsidRDefault="00EE0419">
            <w:pPr>
              <w:spacing w:before="100"/>
              <w:rPr>
                <w:color w:val="000000"/>
                <w:sz w:val="20"/>
              </w:rPr>
            </w:pPr>
            <w:r>
              <w:rPr>
                <w:color w:val="000000"/>
                <w:sz w:val="20"/>
              </w:rPr>
              <w:t>Evidence MNZ, azilni register in evidence UOIM.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EE28A8" w14:textId="77777777" w:rsidR="00A77B3E" w:rsidRDefault="00A77B3E">
            <w:pPr>
              <w:spacing w:before="100"/>
              <w:rPr>
                <w:color w:val="000000"/>
                <w:sz w:val="20"/>
              </w:rPr>
            </w:pPr>
          </w:p>
        </w:tc>
      </w:tr>
      <w:tr w:rsidR="00EC4D24" w14:paraId="34D6912F"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8AFF2B" w14:textId="77777777" w:rsidR="00A77B3E" w:rsidRDefault="00EE0419">
            <w:pPr>
              <w:spacing w:before="100"/>
              <w:rPr>
                <w:color w:val="000000"/>
                <w:sz w:val="20"/>
              </w:rPr>
            </w:pPr>
            <w:r>
              <w:rPr>
                <w:color w:val="000000"/>
                <w:sz w:val="20"/>
              </w:rPr>
              <w:t>R.4.4</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6C1294" w14:textId="77777777" w:rsidR="00A77B3E" w:rsidRDefault="00EE0419">
            <w:pPr>
              <w:spacing w:before="100"/>
              <w:rPr>
                <w:color w:val="000000"/>
                <w:sz w:val="20"/>
              </w:rPr>
            </w:pPr>
            <w:r>
              <w:rPr>
                <w:color w:val="000000"/>
                <w:sz w:val="20"/>
              </w:rPr>
              <w:t>Število preseljenih oseb</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117834"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3D44D2" w14:textId="77777777" w:rsidR="00A77B3E" w:rsidRDefault="00EE0419">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8615A4"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F8F6E3" w14:textId="77777777" w:rsidR="00A77B3E" w:rsidRDefault="00EE0419">
            <w:pPr>
              <w:spacing w:before="100"/>
              <w:jc w:val="center"/>
              <w:rPr>
                <w:color w:val="000000"/>
                <w:sz w:val="20"/>
              </w:rPr>
            </w:pPr>
            <w:r>
              <w:rPr>
                <w:color w:val="000000"/>
                <w:sz w:val="20"/>
              </w:rPr>
              <w:t>2021-2027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245927" w14:textId="77777777" w:rsidR="00A77B3E" w:rsidRDefault="00EE0419">
            <w:pPr>
              <w:spacing w:before="100"/>
              <w:jc w:val="center"/>
              <w:rPr>
                <w:color w:val="000000"/>
                <w:sz w:val="20"/>
              </w:rPr>
            </w:pPr>
            <w:r>
              <w:rPr>
                <w:color w:val="000000"/>
                <w:sz w:val="20"/>
              </w:rPr>
              <w:t>25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7CFC37"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E4BC06" w14:textId="77777777" w:rsidR="00A77B3E" w:rsidRDefault="00EE0419">
            <w:pPr>
              <w:spacing w:before="100"/>
              <w:rPr>
                <w:color w:val="000000"/>
                <w:sz w:val="20"/>
              </w:rPr>
            </w:pPr>
            <w:r>
              <w:rPr>
                <w:color w:val="000000"/>
                <w:sz w:val="20"/>
              </w:rPr>
              <w:t>Evidence MNZ, azilni register in evidence UOIM.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0DF756" w14:textId="77777777" w:rsidR="00A77B3E" w:rsidRDefault="00A77B3E">
            <w:pPr>
              <w:spacing w:before="100"/>
              <w:rPr>
                <w:color w:val="000000"/>
                <w:sz w:val="20"/>
              </w:rPr>
            </w:pPr>
          </w:p>
        </w:tc>
      </w:tr>
      <w:tr w:rsidR="00EC4D24" w14:paraId="5D909342"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8C83FA" w14:textId="77777777" w:rsidR="00A77B3E" w:rsidRDefault="00EE0419">
            <w:pPr>
              <w:spacing w:before="100"/>
              <w:rPr>
                <w:color w:val="000000"/>
                <w:sz w:val="20"/>
              </w:rPr>
            </w:pPr>
            <w:r>
              <w:rPr>
                <w:color w:val="000000"/>
                <w:sz w:val="20"/>
              </w:rPr>
              <w:t>R.4.5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AFE7BB" w14:textId="77777777" w:rsidR="00A77B3E" w:rsidRPr="00857B1D" w:rsidRDefault="00EE0419">
            <w:pPr>
              <w:spacing w:before="100"/>
              <w:rPr>
                <w:color w:val="000000"/>
                <w:sz w:val="20"/>
                <w:lang w:val="it-IT"/>
              </w:rPr>
            </w:pPr>
            <w:r w:rsidRPr="00857B1D">
              <w:rPr>
                <w:color w:val="000000"/>
                <w:sz w:val="20"/>
                <w:lang w:val="it-IT"/>
              </w:rPr>
              <w:t>Število oseb, sprejetih na podlagi programov humanitarnega sprejema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59EFF0"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569F88" w14:textId="77777777" w:rsidR="00A77B3E" w:rsidRDefault="00EE0419">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32F9F9"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ACAFEE" w14:textId="77777777" w:rsidR="00A77B3E" w:rsidRDefault="00EE0419">
            <w:pPr>
              <w:spacing w:before="100"/>
              <w:jc w:val="center"/>
              <w:rPr>
                <w:color w:val="000000"/>
                <w:sz w:val="20"/>
              </w:rPr>
            </w:pPr>
            <w:r>
              <w:rPr>
                <w:color w:val="000000"/>
                <w:sz w:val="20"/>
              </w:rPr>
              <w:t>2021-2027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E61BA6" w14:textId="77777777" w:rsidR="00A77B3E" w:rsidRDefault="00EE0419">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BF6F25" w14:textId="77777777" w:rsidR="00A77B3E" w:rsidRDefault="00EE0419">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17AEFE" w14:textId="77777777" w:rsidR="00A77B3E" w:rsidRDefault="00EE0419">
            <w:pPr>
              <w:spacing w:before="100"/>
              <w:rPr>
                <w:color w:val="000000"/>
                <w:sz w:val="20"/>
              </w:rPr>
            </w:pPr>
            <w:r>
              <w:rPr>
                <w:color w:val="000000"/>
                <w:sz w:val="20"/>
              </w:rPr>
              <w:t>Evidence MNZ, azilni register in evidence UOIM.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A11ADE" w14:textId="77777777" w:rsidR="00A77B3E" w:rsidRDefault="00A77B3E">
            <w:pPr>
              <w:spacing w:before="100"/>
              <w:rPr>
                <w:color w:val="000000"/>
                <w:sz w:val="20"/>
              </w:rPr>
            </w:pPr>
          </w:p>
        </w:tc>
      </w:tr>
    </w:tbl>
    <w:p w14:paraId="0E6E384D" w14:textId="77777777" w:rsidR="00A77B3E" w:rsidRDefault="00A77B3E">
      <w:pPr>
        <w:spacing w:before="100"/>
        <w:rPr>
          <w:color w:val="000000"/>
          <w:sz w:val="20"/>
        </w:rPr>
        <w:sectPr w:rsidR="00A77B3E">
          <w:headerReference w:type="even" r:id="rId61"/>
          <w:headerReference w:type="default" r:id="rId62"/>
          <w:footerReference w:type="even" r:id="rId63"/>
          <w:footerReference w:type="default" r:id="rId64"/>
          <w:headerReference w:type="first" r:id="rId65"/>
          <w:footerReference w:type="first" r:id="rId66"/>
          <w:pgSz w:w="16838" w:h="11906" w:orient="landscape"/>
          <w:pgMar w:top="720" w:right="720" w:bottom="864" w:left="936" w:header="288" w:footer="72" w:gutter="0"/>
          <w:cols w:space="720"/>
          <w:noEndnote/>
          <w:docGrid w:linePitch="360"/>
        </w:sectPr>
      </w:pPr>
    </w:p>
    <w:p w14:paraId="357295F9" w14:textId="77777777" w:rsidR="00A77B3E" w:rsidRDefault="00EE0419">
      <w:pPr>
        <w:spacing w:before="100"/>
        <w:rPr>
          <w:color w:val="000000"/>
          <w:sz w:val="0"/>
        </w:rPr>
      </w:pPr>
      <w:r>
        <w:rPr>
          <w:color w:val="000000"/>
        </w:rPr>
        <w:lastRenderedPageBreak/>
        <w:t>2.1. Specifični cilj 4. Solidarnost</w:t>
      </w:r>
    </w:p>
    <w:p w14:paraId="07F04D8C" w14:textId="77777777" w:rsidR="00A77B3E" w:rsidRDefault="00EE0419">
      <w:pPr>
        <w:pStyle w:val="Naslov3"/>
        <w:spacing w:before="100" w:after="0"/>
        <w:rPr>
          <w:rFonts w:ascii="Times New Roman" w:hAnsi="Times New Roman" w:cs="Times New Roman"/>
          <w:b w:val="0"/>
          <w:color w:val="000000"/>
          <w:sz w:val="24"/>
        </w:rPr>
      </w:pPr>
      <w:bookmarkStart w:id="29" w:name="_Toc256000093"/>
      <w:r>
        <w:rPr>
          <w:rFonts w:ascii="Times New Roman" w:hAnsi="Times New Roman" w:cs="Times New Roman"/>
          <w:b w:val="0"/>
          <w:color w:val="000000"/>
          <w:sz w:val="24"/>
        </w:rPr>
        <w:t>2.1.3. Okvirna razčlenitev programskih sredstev (EU) po vrsti ukrepa</w:t>
      </w:r>
      <w:bookmarkEnd w:id="29"/>
    </w:p>
    <w:p w14:paraId="28DBB067" w14:textId="77777777" w:rsidR="00A77B3E" w:rsidRDefault="00EE0419">
      <w:pPr>
        <w:spacing w:before="100"/>
        <w:rPr>
          <w:color w:val="000000"/>
        </w:rPr>
      </w:pPr>
      <w:r>
        <w:rPr>
          <w:color w:val="000000"/>
        </w:rPr>
        <w:t>Sklic: člen 22(5) uredbe o skupnih določbah, člen 16(2) uredbe o AMIF, člen 13(12) uredbe o SNV ali člen 13(18) uredbe o IUMV</w:t>
      </w:r>
    </w:p>
    <w:p w14:paraId="0F0B3045" w14:textId="77777777" w:rsidR="00A77B3E" w:rsidRDefault="00EE0419">
      <w:pPr>
        <w:pStyle w:val="Naslov4"/>
        <w:spacing w:before="100" w:after="0"/>
        <w:rPr>
          <w:b w:val="0"/>
          <w:color w:val="000000"/>
          <w:sz w:val="24"/>
        </w:rPr>
      </w:pPr>
      <w:bookmarkStart w:id="30" w:name="_Toc256000094"/>
      <w:r>
        <w:rPr>
          <w:b w:val="0"/>
          <w:color w:val="000000"/>
          <w:sz w:val="24"/>
        </w:rPr>
        <w:t>Tabela 3: Okvirna razčlenitev</w:t>
      </w:r>
      <w:bookmarkEnd w:id="30"/>
    </w:p>
    <w:p w14:paraId="3B477A2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9423"/>
        <w:gridCol w:w="3055"/>
      </w:tblGrid>
      <w:tr w:rsidR="00EC4D24" w14:paraId="45B91255"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2698D1" w14:textId="77777777" w:rsidR="00A77B3E" w:rsidRDefault="00EE0419">
            <w:pPr>
              <w:spacing w:before="100"/>
              <w:rPr>
                <w:color w:val="000000"/>
                <w:sz w:val="20"/>
              </w:rPr>
            </w:pPr>
            <w:r>
              <w:rPr>
                <w:color w:val="000000"/>
                <w:sz w:val="20"/>
              </w:rPr>
              <w:t>Vrsta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C1518F" w14:textId="77777777" w:rsidR="00A77B3E" w:rsidRDefault="00EE0419">
            <w:pPr>
              <w:spacing w:before="100"/>
              <w:rPr>
                <w:color w:val="000000"/>
                <w:sz w:val="20"/>
              </w:rPr>
            </w:pPr>
            <w:r>
              <w:rPr>
                <w:color w:val="000000"/>
                <w:sz w:val="20"/>
              </w:rPr>
              <w:t>Oznaka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62A74D" w14:textId="77777777" w:rsidR="00A77B3E" w:rsidRDefault="00EE0419">
            <w:pPr>
              <w:spacing w:before="100"/>
              <w:jc w:val="right"/>
              <w:rPr>
                <w:color w:val="000000"/>
                <w:sz w:val="20"/>
              </w:rPr>
            </w:pPr>
            <w:r>
              <w:rPr>
                <w:color w:val="000000"/>
                <w:sz w:val="20"/>
              </w:rPr>
              <w:t>Okvirni znesek (v EUR)</w:t>
            </w:r>
          </w:p>
        </w:tc>
      </w:tr>
      <w:tr w:rsidR="00EC4D24" w14:paraId="7AE6A0D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012D27"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2E2F0D" w14:textId="77777777" w:rsidR="00A77B3E" w:rsidRPr="00857B1D" w:rsidRDefault="00EE0419">
            <w:pPr>
              <w:spacing w:before="100"/>
              <w:rPr>
                <w:color w:val="000000"/>
                <w:sz w:val="20"/>
                <w:lang w:val="it-IT"/>
              </w:rPr>
            </w:pPr>
            <w:r w:rsidRPr="00857B1D">
              <w:rPr>
                <w:color w:val="000000"/>
                <w:sz w:val="20"/>
                <w:lang w:val="it-IT"/>
              </w:rPr>
              <w:t>001.Premestitev v drugo državo članico (premestitev)</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CFBF31" w14:textId="7076E2E5" w:rsidR="00A77B3E" w:rsidRDefault="00AA4EAA" w:rsidP="00AA4EAA">
            <w:pPr>
              <w:spacing w:before="100"/>
              <w:jc w:val="right"/>
              <w:rPr>
                <w:color w:val="000000"/>
                <w:sz w:val="20"/>
              </w:rPr>
            </w:pPr>
            <w:r w:rsidRPr="00857B1D">
              <w:rPr>
                <w:color w:val="000000"/>
                <w:sz w:val="20"/>
              </w:rPr>
              <w:t>50.000</w:t>
            </w:r>
            <w:r w:rsidR="00EE0419" w:rsidRPr="00857B1D">
              <w:rPr>
                <w:color w:val="000000"/>
                <w:sz w:val="20"/>
              </w:rPr>
              <w:t>,00</w:t>
            </w:r>
          </w:p>
        </w:tc>
      </w:tr>
      <w:tr w:rsidR="00EC4D24" w14:paraId="29940F7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B5B42B"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CDC1E4" w14:textId="77777777" w:rsidR="00A77B3E" w:rsidRDefault="00EE0419">
            <w:pPr>
              <w:spacing w:before="100"/>
              <w:rPr>
                <w:color w:val="000000"/>
                <w:sz w:val="20"/>
              </w:rPr>
            </w:pPr>
            <w:r>
              <w:rPr>
                <w:color w:val="000000"/>
                <w:sz w:val="20"/>
              </w:rPr>
              <w:t>002.Podpora države članice drugi državi članici, vključno s podporo za EASO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9433CD" w14:textId="77777777" w:rsidR="00A77B3E" w:rsidRDefault="00EE0419">
            <w:pPr>
              <w:spacing w:before="100"/>
              <w:jc w:val="right"/>
              <w:rPr>
                <w:color w:val="000000"/>
                <w:sz w:val="20"/>
              </w:rPr>
            </w:pPr>
            <w:r>
              <w:rPr>
                <w:color w:val="000000"/>
                <w:sz w:val="20"/>
              </w:rPr>
              <w:t>0,00</w:t>
            </w:r>
          </w:p>
        </w:tc>
      </w:tr>
      <w:tr w:rsidR="00EC4D24" w14:paraId="161DF3A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2354AD"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744D02" w14:textId="77777777" w:rsidR="00A77B3E" w:rsidRDefault="00EE0419">
            <w:pPr>
              <w:spacing w:before="100"/>
              <w:rPr>
                <w:color w:val="000000"/>
                <w:sz w:val="20"/>
              </w:rPr>
            </w:pPr>
            <w:r>
              <w:rPr>
                <w:color w:val="000000"/>
                <w:sz w:val="20"/>
              </w:rPr>
              <w:t>003.Preselitev (člen 19)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BB2F9A" w14:textId="77777777" w:rsidR="00A77B3E" w:rsidRDefault="00EE0419">
            <w:pPr>
              <w:spacing w:before="100"/>
              <w:jc w:val="right"/>
              <w:rPr>
                <w:color w:val="000000"/>
                <w:sz w:val="20"/>
              </w:rPr>
            </w:pPr>
            <w:r>
              <w:rPr>
                <w:color w:val="000000"/>
                <w:sz w:val="20"/>
              </w:rPr>
              <w:t>250.000,00</w:t>
            </w:r>
          </w:p>
        </w:tc>
      </w:tr>
      <w:tr w:rsidR="00EC4D24" w14:paraId="0ED0984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19E754"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CC2CD2" w14:textId="77777777" w:rsidR="00A77B3E" w:rsidRDefault="00EE0419">
            <w:pPr>
              <w:spacing w:before="100"/>
              <w:rPr>
                <w:color w:val="000000"/>
                <w:sz w:val="20"/>
              </w:rPr>
            </w:pPr>
            <w:r>
              <w:rPr>
                <w:color w:val="000000"/>
                <w:sz w:val="20"/>
              </w:rPr>
              <w:t>004.Humanitarni sprejem (člen 19)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E0740C" w14:textId="77777777" w:rsidR="00A77B3E" w:rsidRDefault="00EE0419">
            <w:pPr>
              <w:spacing w:before="100"/>
              <w:jc w:val="right"/>
              <w:rPr>
                <w:color w:val="000000"/>
                <w:sz w:val="20"/>
              </w:rPr>
            </w:pPr>
            <w:r>
              <w:rPr>
                <w:color w:val="000000"/>
                <w:sz w:val="20"/>
              </w:rPr>
              <w:t>0,00</w:t>
            </w:r>
          </w:p>
        </w:tc>
      </w:tr>
      <w:tr w:rsidR="00EC4D24" w14:paraId="23967B7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6F6E54"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E87ABD" w14:textId="77777777" w:rsidR="00A77B3E" w:rsidRPr="00857B1D" w:rsidRDefault="00EE0419">
            <w:pPr>
              <w:spacing w:before="100"/>
              <w:rPr>
                <w:color w:val="000000"/>
                <w:sz w:val="20"/>
                <w:lang w:val="it-IT"/>
              </w:rPr>
            </w:pPr>
            <w:r w:rsidRPr="00857B1D">
              <w:rPr>
                <w:color w:val="000000"/>
                <w:sz w:val="20"/>
                <w:lang w:val="it-IT"/>
              </w:rPr>
              <w:t>005.Podpora v smislu sprejemne infrastrukture drugi državi članici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B95FA1" w14:textId="77777777" w:rsidR="00A77B3E" w:rsidRDefault="00EE0419">
            <w:pPr>
              <w:spacing w:before="100"/>
              <w:jc w:val="right"/>
              <w:rPr>
                <w:color w:val="000000"/>
                <w:sz w:val="20"/>
              </w:rPr>
            </w:pPr>
            <w:r>
              <w:rPr>
                <w:color w:val="000000"/>
                <w:sz w:val="20"/>
              </w:rPr>
              <w:t>0,00</w:t>
            </w:r>
          </w:p>
        </w:tc>
      </w:tr>
      <w:tr w:rsidR="00EC4D24" w14:paraId="4968640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0AF46B"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4FA090" w14:textId="77777777" w:rsidR="00A77B3E" w:rsidRDefault="00EE0419">
            <w:pPr>
              <w:spacing w:before="100"/>
              <w:rPr>
                <w:color w:val="000000"/>
                <w:sz w:val="20"/>
              </w:rPr>
            </w:pPr>
            <w:r>
              <w:rPr>
                <w:color w:val="000000"/>
                <w:sz w:val="20"/>
              </w:rPr>
              <w:t>006.Operativna podpora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CF792D" w14:textId="77777777" w:rsidR="00A77B3E" w:rsidRDefault="00EE0419">
            <w:pPr>
              <w:spacing w:before="100"/>
              <w:jc w:val="right"/>
              <w:rPr>
                <w:color w:val="000000"/>
                <w:sz w:val="20"/>
              </w:rPr>
            </w:pPr>
            <w:r>
              <w:rPr>
                <w:color w:val="000000"/>
                <w:sz w:val="20"/>
              </w:rPr>
              <w:t>0,00</w:t>
            </w:r>
          </w:p>
        </w:tc>
      </w:tr>
    </w:tbl>
    <w:p w14:paraId="44D3231C" w14:textId="77777777" w:rsidR="00A77B3E" w:rsidRDefault="00A77B3E">
      <w:pPr>
        <w:spacing w:before="100"/>
        <w:rPr>
          <w:color w:val="000000"/>
          <w:sz w:val="20"/>
        </w:rPr>
        <w:sectPr w:rsidR="00A77B3E">
          <w:pgSz w:w="16838" w:h="11906" w:orient="landscape"/>
          <w:pgMar w:top="720" w:right="720" w:bottom="864" w:left="936" w:header="288" w:footer="72" w:gutter="0"/>
          <w:cols w:space="720"/>
          <w:noEndnote/>
          <w:docGrid w:linePitch="360"/>
        </w:sectPr>
      </w:pPr>
    </w:p>
    <w:p w14:paraId="72F6C196" w14:textId="77777777" w:rsidR="00A77B3E" w:rsidRDefault="00EE0419">
      <w:pPr>
        <w:pStyle w:val="Naslov2"/>
        <w:spacing w:before="100" w:after="0"/>
        <w:rPr>
          <w:rFonts w:ascii="Times New Roman" w:hAnsi="Times New Roman" w:cs="Times New Roman"/>
          <w:b w:val="0"/>
          <w:i w:val="0"/>
          <w:color w:val="000000"/>
          <w:sz w:val="24"/>
        </w:rPr>
      </w:pPr>
      <w:bookmarkStart w:id="31" w:name="_Toc256000095"/>
      <w:r>
        <w:rPr>
          <w:rFonts w:ascii="Times New Roman" w:hAnsi="Times New Roman" w:cs="Times New Roman"/>
          <w:b w:val="0"/>
          <w:i w:val="0"/>
          <w:color w:val="000000"/>
          <w:sz w:val="24"/>
        </w:rPr>
        <w:lastRenderedPageBreak/>
        <w:t>2.2. Tehnična pomoč: TA.36(5). Tehnična pomoč – pavšalna stopnja(člen 36(5) uredbe o skupnih določbah)</w:t>
      </w:r>
      <w:bookmarkEnd w:id="31"/>
    </w:p>
    <w:p w14:paraId="7F6D7E37" w14:textId="77777777" w:rsidR="00A77B3E" w:rsidRDefault="00A77B3E">
      <w:pPr>
        <w:spacing w:before="100"/>
        <w:rPr>
          <w:color w:val="000000"/>
          <w:sz w:val="0"/>
        </w:rPr>
      </w:pPr>
    </w:p>
    <w:p w14:paraId="26900562" w14:textId="77777777" w:rsidR="00A77B3E" w:rsidRDefault="00EE0419">
      <w:pPr>
        <w:spacing w:before="100"/>
        <w:rPr>
          <w:color w:val="000000"/>
          <w:sz w:val="0"/>
        </w:rPr>
      </w:pPr>
      <w:r>
        <w:rPr>
          <w:color w:val="000000"/>
        </w:rPr>
        <w:t>Sklic: člen 22(3)(f), člen 36(5) ter člena 37 in 95 uredbe o skupnih določbah</w:t>
      </w:r>
    </w:p>
    <w:p w14:paraId="7E2B4EC0" w14:textId="77777777" w:rsidR="00A77B3E" w:rsidRDefault="00EE0419">
      <w:pPr>
        <w:pStyle w:val="Naslov3"/>
        <w:spacing w:before="100" w:after="0"/>
        <w:rPr>
          <w:rFonts w:ascii="Times New Roman" w:hAnsi="Times New Roman" w:cs="Times New Roman"/>
          <w:b w:val="0"/>
          <w:color w:val="000000"/>
          <w:sz w:val="24"/>
        </w:rPr>
      </w:pPr>
      <w:bookmarkStart w:id="32" w:name="_Toc256000096"/>
      <w:r>
        <w:rPr>
          <w:rFonts w:ascii="Times New Roman" w:hAnsi="Times New Roman" w:cs="Times New Roman"/>
          <w:b w:val="0"/>
          <w:color w:val="000000"/>
          <w:sz w:val="24"/>
        </w:rPr>
        <w:t>2.2.1. Opis</w:t>
      </w:r>
      <w:bookmarkEnd w:id="32"/>
    </w:p>
    <w:p w14:paraId="5E7906E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C4D24" w:rsidRPr="00857B1D" w14:paraId="376E604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0A75CD" w14:textId="77777777" w:rsidR="00A77B3E" w:rsidRDefault="00A77B3E">
            <w:pPr>
              <w:spacing w:before="100"/>
              <w:rPr>
                <w:color w:val="000000"/>
                <w:sz w:val="0"/>
              </w:rPr>
            </w:pPr>
          </w:p>
          <w:p w14:paraId="005627EC" w14:textId="77777777" w:rsidR="00A77B3E" w:rsidRPr="00857B1D" w:rsidRDefault="00EE0419">
            <w:pPr>
              <w:spacing w:before="100"/>
              <w:rPr>
                <w:color w:val="000000"/>
                <w:lang w:val="it-IT"/>
              </w:rPr>
            </w:pPr>
            <w:r>
              <w:rPr>
                <w:color w:val="000000"/>
              </w:rPr>
              <w:t xml:space="preserve">Sredstva tehnične pomoči (TP) bodo v večini namenjena za krepitev zmogljivosti (tj. plače osebja, izobraževanja in usposabljanja itd.) v okviru organa upravljanja tj. MNZ, Služba za evropska sredstva, Projektna enota za sklade notranje varnosti in migracije, ki se bo skladno s povečanim obsegom dodeljenih sredstev in posledično povečanim številom operacij okrepila. </w:t>
            </w:r>
            <w:r w:rsidRPr="00857B1D">
              <w:rPr>
                <w:color w:val="000000"/>
                <w:lang w:val="it-IT"/>
              </w:rPr>
              <w:t>Sredstva TP bodo namenjena tudi za delovanje revizijskega organa tj. Ministrstva za finance, Urada za nadzor proračuna ter dveh posredniških teles. To sta Ministrstvo za finance, Sektor za upravljanje s sredstvi EU/CA za izvajanje finančnih transakcij med EU in nacionalnim proračunom ter posredniško telo za operacije, ki se izvajajo na podlagi javnih razpisov. Načrtovani stroški so vezani na stroški osebja, usposabljanj in tekoči stroški delovanja v vseh fazah programiranja (priprava, upravljanje in nadzor, spremljanje in vrednotenje).</w:t>
            </w:r>
          </w:p>
          <w:p w14:paraId="0446322C" w14:textId="77777777" w:rsidR="00A77B3E" w:rsidRPr="00857B1D" w:rsidRDefault="00A77B3E">
            <w:pPr>
              <w:spacing w:before="100"/>
              <w:rPr>
                <w:color w:val="000000"/>
                <w:lang w:val="it-IT"/>
              </w:rPr>
            </w:pPr>
          </w:p>
          <w:p w14:paraId="13FF86A0" w14:textId="77777777" w:rsidR="00A77B3E" w:rsidRPr="00857B1D" w:rsidRDefault="00EE0419">
            <w:pPr>
              <w:spacing w:before="100"/>
              <w:rPr>
                <w:color w:val="000000"/>
                <w:lang w:val="it-IT"/>
              </w:rPr>
            </w:pPr>
            <w:r w:rsidRPr="00857B1D">
              <w:rPr>
                <w:color w:val="000000"/>
                <w:lang w:val="it-IT"/>
              </w:rPr>
              <w:t>Del sredstev bo namenjenih za postavitev, nadgradnjo in vzdrževanje informacijskega sistema MIGRA III, ki je namenjen upravljanju in nadzoru EU sredstev skladov s področja notranje varnosti in migracij. Uporablja se za načrtovanje, izvajanje, spremljanje operacij, tako z vsebinskega kot tudi finančnega vidika.</w:t>
            </w:r>
          </w:p>
          <w:p w14:paraId="4CDC524C" w14:textId="77777777" w:rsidR="00A77B3E" w:rsidRPr="00857B1D" w:rsidRDefault="00A77B3E">
            <w:pPr>
              <w:spacing w:before="100"/>
              <w:rPr>
                <w:color w:val="000000"/>
                <w:lang w:val="it-IT"/>
              </w:rPr>
            </w:pPr>
          </w:p>
          <w:p w14:paraId="3B4DFAAC" w14:textId="77777777" w:rsidR="00A77B3E" w:rsidRPr="00857B1D" w:rsidRDefault="00EE0419">
            <w:pPr>
              <w:spacing w:before="100"/>
              <w:rPr>
                <w:color w:val="000000"/>
                <w:lang w:val="it-IT"/>
              </w:rPr>
            </w:pPr>
            <w:r w:rsidRPr="00857B1D">
              <w:rPr>
                <w:color w:val="000000"/>
                <w:lang w:val="it-IT"/>
              </w:rPr>
              <w:t>Preko nje bo potekala tudi izmenjava podatkov z aplikacijo SFC21 in bo osnova za pripravo vseh poročil. Dostop bodo imeli tako upravičenci kot tudi drugi organi v sistemu upravljanja in nadzora.</w:t>
            </w:r>
          </w:p>
          <w:p w14:paraId="39967E8A" w14:textId="77777777" w:rsidR="00A77B3E" w:rsidRPr="00857B1D" w:rsidRDefault="00A77B3E">
            <w:pPr>
              <w:spacing w:before="100"/>
              <w:rPr>
                <w:color w:val="000000"/>
                <w:lang w:val="it-IT"/>
              </w:rPr>
            </w:pPr>
          </w:p>
          <w:p w14:paraId="5D8136BE" w14:textId="77777777" w:rsidR="00A77B3E" w:rsidRPr="00857B1D" w:rsidRDefault="00EE0419">
            <w:pPr>
              <w:spacing w:before="100"/>
              <w:rPr>
                <w:color w:val="000000"/>
                <w:lang w:val="it-IT"/>
              </w:rPr>
            </w:pPr>
            <w:r w:rsidRPr="00857B1D">
              <w:rPr>
                <w:color w:val="000000"/>
                <w:lang w:val="it-IT"/>
              </w:rPr>
              <w:t>Manjši del sredstev pa bo namenjen področju obveščanja in objavljanja ter študijam in evalvacijam.</w:t>
            </w:r>
          </w:p>
          <w:p w14:paraId="411E0338" w14:textId="77777777" w:rsidR="00A77B3E" w:rsidRPr="00857B1D" w:rsidRDefault="00A77B3E">
            <w:pPr>
              <w:spacing w:before="100"/>
              <w:rPr>
                <w:color w:val="000000"/>
                <w:lang w:val="it-IT"/>
              </w:rPr>
            </w:pPr>
          </w:p>
        </w:tc>
      </w:tr>
    </w:tbl>
    <w:p w14:paraId="20702A9C" w14:textId="77777777" w:rsidR="00A77B3E" w:rsidRPr="00857B1D" w:rsidRDefault="00A77B3E">
      <w:pPr>
        <w:spacing w:before="100"/>
        <w:rPr>
          <w:color w:val="000000"/>
          <w:lang w:val="it-IT"/>
        </w:rPr>
        <w:sectPr w:rsidR="00A77B3E" w:rsidRPr="00857B1D">
          <w:headerReference w:type="even" r:id="rId67"/>
          <w:headerReference w:type="default" r:id="rId68"/>
          <w:footerReference w:type="even" r:id="rId69"/>
          <w:footerReference w:type="default" r:id="rId70"/>
          <w:headerReference w:type="first" r:id="rId71"/>
          <w:footerReference w:type="first" r:id="rId72"/>
          <w:pgSz w:w="11906" w:h="16838"/>
          <w:pgMar w:top="720" w:right="936" w:bottom="864" w:left="720" w:header="0" w:footer="72" w:gutter="0"/>
          <w:cols w:space="720"/>
          <w:noEndnote/>
          <w:docGrid w:linePitch="360"/>
        </w:sectPr>
      </w:pPr>
    </w:p>
    <w:p w14:paraId="0A1F5999" w14:textId="7751676A" w:rsidR="00A77B3E" w:rsidRPr="00857B1D" w:rsidRDefault="00EE0419">
      <w:pPr>
        <w:spacing w:before="100"/>
        <w:rPr>
          <w:color w:val="000000"/>
          <w:sz w:val="0"/>
          <w:lang w:val="it-IT"/>
        </w:rPr>
      </w:pPr>
      <w:r w:rsidRPr="00857B1D">
        <w:rPr>
          <w:color w:val="000000"/>
          <w:lang w:val="it-IT"/>
        </w:rPr>
        <w:lastRenderedPageBreak/>
        <w:t>2.2. Tehnična pomoč TA.36(5). Tehnična pomoč – pavšalna stopnja(člen 36(5) uredbe o skupnih določbah)</w:t>
      </w:r>
    </w:p>
    <w:p w14:paraId="6FBCFB86" w14:textId="77777777" w:rsidR="00A77B3E" w:rsidRPr="00857B1D" w:rsidRDefault="00EE0419">
      <w:pPr>
        <w:pStyle w:val="Naslov3"/>
        <w:spacing w:before="100" w:after="0"/>
        <w:rPr>
          <w:rFonts w:ascii="Times New Roman" w:hAnsi="Times New Roman" w:cs="Times New Roman"/>
          <w:b w:val="0"/>
          <w:color w:val="000000"/>
          <w:sz w:val="24"/>
          <w:lang w:val="it-IT"/>
        </w:rPr>
      </w:pPr>
      <w:bookmarkStart w:id="33" w:name="_Toc256000097"/>
      <w:r w:rsidRPr="00857B1D">
        <w:rPr>
          <w:rFonts w:ascii="Times New Roman" w:hAnsi="Times New Roman" w:cs="Times New Roman"/>
          <w:b w:val="0"/>
          <w:color w:val="000000"/>
          <w:sz w:val="24"/>
          <w:lang w:val="it-IT"/>
        </w:rPr>
        <w:t>2.2.2. Okvirna razčlenitev tehnične pomoči v skladu s členom 37 uredbe o skupnih določbah</w:t>
      </w:r>
      <w:bookmarkEnd w:id="33"/>
    </w:p>
    <w:p w14:paraId="400A45AE" w14:textId="77777777" w:rsidR="00A77B3E" w:rsidRDefault="00EE0419">
      <w:pPr>
        <w:pStyle w:val="Naslov4"/>
        <w:spacing w:before="100" w:after="0"/>
        <w:rPr>
          <w:b w:val="0"/>
          <w:color w:val="000000"/>
          <w:sz w:val="24"/>
        </w:rPr>
      </w:pPr>
      <w:bookmarkStart w:id="34" w:name="_Toc256000098"/>
      <w:r>
        <w:rPr>
          <w:b w:val="0"/>
          <w:color w:val="000000"/>
          <w:sz w:val="24"/>
        </w:rPr>
        <w:t>Tabela 4: Okvirna razčlenitev</w:t>
      </w:r>
      <w:bookmarkEnd w:id="34"/>
    </w:p>
    <w:p w14:paraId="652003B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5172"/>
        <w:gridCol w:w="2693"/>
      </w:tblGrid>
      <w:tr w:rsidR="00EC4D24" w14:paraId="0689E25C"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3C8092" w14:textId="77777777" w:rsidR="00A77B3E" w:rsidRDefault="00EE0419">
            <w:pPr>
              <w:spacing w:before="100"/>
              <w:rPr>
                <w:color w:val="000000"/>
                <w:sz w:val="20"/>
              </w:rPr>
            </w:pPr>
            <w:r>
              <w:rPr>
                <w:color w:val="000000"/>
                <w:sz w:val="20"/>
              </w:rPr>
              <w:t>Vrsta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1D0DC5" w14:textId="77777777" w:rsidR="00A77B3E" w:rsidRDefault="00EE0419">
            <w:pPr>
              <w:spacing w:before="100"/>
              <w:rPr>
                <w:color w:val="000000"/>
                <w:sz w:val="20"/>
              </w:rPr>
            </w:pPr>
            <w:r>
              <w:rPr>
                <w:color w:val="000000"/>
                <w:sz w:val="20"/>
              </w:rPr>
              <w:t>Oznaka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A62944" w14:textId="77777777" w:rsidR="00A77B3E" w:rsidRDefault="00EE0419">
            <w:pPr>
              <w:spacing w:before="100"/>
              <w:jc w:val="right"/>
              <w:rPr>
                <w:color w:val="000000"/>
                <w:sz w:val="20"/>
              </w:rPr>
            </w:pPr>
            <w:r>
              <w:rPr>
                <w:color w:val="000000"/>
                <w:sz w:val="20"/>
              </w:rPr>
              <w:t>Okvirni znesek (v EUR)</w:t>
            </w:r>
          </w:p>
        </w:tc>
      </w:tr>
      <w:tr w:rsidR="00EC4D24" w14:paraId="26A09B2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BD8FED"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477340" w14:textId="77777777" w:rsidR="00A77B3E" w:rsidRDefault="00EE0419">
            <w:pPr>
              <w:spacing w:before="100"/>
              <w:rPr>
                <w:color w:val="000000"/>
                <w:sz w:val="20"/>
              </w:rPr>
            </w:pPr>
            <w:r>
              <w:rPr>
                <w:color w:val="000000"/>
                <w:sz w:val="20"/>
              </w:rPr>
              <w:t>001.Informacijske in komunikacijske dejavnosti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1D5DB3" w14:textId="77777777" w:rsidR="00A77B3E" w:rsidRPr="009C451D" w:rsidRDefault="00EE0419">
            <w:pPr>
              <w:spacing w:before="100"/>
              <w:jc w:val="right"/>
              <w:rPr>
                <w:color w:val="000000"/>
                <w:sz w:val="20"/>
                <w:highlight w:val="yellow"/>
              </w:rPr>
            </w:pPr>
            <w:r w:rsidRPr="00954B50">
              <w:rPr>
                <w:color w:val="000000"/>
                <w:sz w:val="20"/>
              </w:rPr>
              <w:t>125.000,00</w:t>
            </w:r>
          </w:p>
        </w:tc>
      </w:tr>
      <w:tr w:rsidR="00EC4D24" w14:paraId="1866B0A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6E16EA"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71FBBA" w14:textId="77777777" w:rsidR="00A77B3E" w:rsidRPr="00857B1D" w:rsidRDefault="00EE0419">
            <w:pPr>
              <w:spacing w:before="100"/>
              <w:rPr>
                <w:color w:val="000000"/>
                <w:sz w:val="20"/>
                <w:lang w:val="it-IT"/>
              </w:rPr>
            </w:pPr>
            <w:r w:rsidRPr="00857B1D">
              <w:rPr>
                <w:color w:val="000000"/>
                <w:sz w:val="20"/>
                <w:lang w:val="it-IT"/>
              </w:rPr>
              <w:t>002.Priprava, izvajanje, spremljanje in kontrola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D2FDFD" w14:textId="100499F0" w:rsidR="00A77B3E" w:rsidRPr="00857B1D" w:rsidRDefault="00F24066">
            <w:pPr>
              <w:spacing w:before="100"/>
              <w:jc w:val="right"/>
              <w:rPr>
                <w:color w:val="000000"/>
                <w:sz w:val="20"/>
              </w:rPr>
            </w:pPr>
            <w:r w:rsidRPr="00857B1D">
              <w:rPr>
                <w:color w:val="000000"/>
                <w:sz w:val="20"/>
              </w:rPr>
              <w:t>2.164.504,58</w:t>
            </w:r>
          </w:p>
        </w:tc>
      </w:tr>
      <w:tr w:rsidR="00EC4D24" w14:paraId="2FA0A6D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938CC6"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8C51CF" w14:textId="77777777" w:rsidR="00A77B3E" w:rsidRDefault="00EE0419">
            <w:pPr>
              <w:spacing w:before="100"/>
              <w:rPr>
                <w:color w:val="000000"/>
                <w:sz w:val="20"/>
              </w:rPr>
            </w:pPr>
            <w:r>
              <w:rPr>
                <w:color w:val="000000"/>
                <w:sz w:val="20"/>
              </w:rPr>
              <w:t>003.Ocenjevanje in študije, zbiranje podatkov</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2B4FCA" w14:textId="77777777" w:rsidR="00A77B3E" w:rsidRPr="009C451D" w:rsidRDefault="00EE0419">
            <w:pPr>
              <w:spacing w:before="100"/>
              <w:jc w:val="right"/>
              <w:rPr>
                <w:color w:val="000000"/>
                <w:sz w:val="20"/>
                <w:highlight w:val="yellow"/>
              </w:rPr>
            </w:pPr>
            <w:r w:rsidRPr="00954B50">
              <w:rPr>
                <w:color w:val="000000"/>
                <w:sz w:val="20"/>
              </w:rPr>
              <w:t>250.000,00</w:t>
            </w:r>
          </w:p>
        </w:tc>
      </w:tr>
      <w:tr w:rsidR="00EC4D24" w14:paraId="337EC00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2D5143" w14:textId="77777777" w:rsidR="00A77B3E" w:rsidRDefault="00EE0419">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9348F1" w14:textId="77777777" w:rsidR="00A77B3E" w:rsidRDefault="00EE0419">
            <w:pPr>
              <w:spacing w:before="100"/>
              <w:rPr>
                <w:color w:val="000000"/>
                <w:sz w:val="20"/>
              </w:rPr>
            </w:pPr>
            <w:r>
              <w:rPr>
                <w:color w:val="000000"/>
                <w:sz w:val="20"/>
              </w:rPr>
              <w:t>004.Krepitev zmogljivosti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61F19B" w14:textId="77777777" w:rsidR="00A77B3E" w:rsidRDefault="00EE0419">
            <w:pPr>
              <w:spacing w:before="100"/>
              <w:jc w:val="right"/>
              <w:rPr>
                <w:color w:val="000000"/>
                <w:sz w:val="20"/>
              </w:rPr>
            </w:pPr>
            <w:r>
              <w:rPr>
                <w:color w:val="000000"/>
                <w:sz w:val="20"/>
              </w:rPr>
              <w:t>0,00</w:t>
            </w:r>
          </w:p>
        </w:tc>
      </w:tr>
    </w:tbl>
    <w:p w14:paraId="20996233" w14:textId="77777777" w:rsidR="00A77B3E" w:rsidRDefault="00A77B3E">
      <w:pPr>
        <w:spacing w:before="100"/>
        <w:rPr>
          <w:color w:val="000000"/>
          <w:sz w:val="20"/>
        </w:rPr>
        <w:sectPr w:rsidR="00A77B3E">
          <w:pgSz w:w="11906" w:h="16838"/>
          <w:pgMar w:top="720" w:right="936" w:bottom="864" w:left="720" w:header="0" w:footer="72" w:gutter="0"/>
          <w:cols w:space="720"/>
          <w:noEndnote/>
          <w:docGrid w:linePitch="360"/>
        </w:sectPr>
      </w:pPr>
    </w:p>
    <w:p w14:paraId="375904F6" w14:textId="77777777" w:rsidR="00A77B3E" w:rsidRDefault="00EE0419">
      <w:pPr>
        <w:pStyle w:val="Naslov1"/>
        <w:spacing w:before="100" w:after="0"/>
        <w:rPr>
          <w:rFonts w:ascii="Times New Roman" w:hAnsi="Times New Roman" w:cs="Times New Roman"/>
          <w:b w:val="0"/>
          <w:color w:val="000000"/>
          <w:sz w:val="24"/>
        </w:rPr>
      </w:pPr>
      <w:bookmarkStart w:id="35" w:name="_Toc256000099"/>
      <w:r>
        <w:rPr>
          <w:rFonts w:ascii="Times New Roman" w:hAnsi="Times New Roman" w:cs="Times New Roman"/>
          <w:b w:val="0"/>
          <w:color w:val="000000"/>
          <w:sz w:val="24"/>
        </w:rPr>
        <w:lastRenderedPageBreak/>
        <w:t>3. Načrt financiranja</w:t>
      </w:r>
      <w:bookmarkEnd w:id="35"/>
    </w:p>
    <w:p w14:paraId="6D202150" w14:textId="77777777" w:rsidR="00A77B3E" w:rsidRDefault="00EE0419">
      <w:pPr>
        <w:spacing w:before="100"/>
        <w:rPr>
          <w:color w:val="000000"/>
          <w:sz w:val="12"/>
        </w:rPr>
      </w:pPr>
      <w:r>
        <w:rPr>
          <w:color w:val="000000"/>
        </w:rPr>
        <w:t>Sklic: člen 22(3)(g) uredbe o skupnih določbah</w:t>
      </w:r>
    </w:p>
    <w:p w14:paraId="04AAF300" w14:textId="77777777" w:rsidR="00A77B3E" w:rsidRPr="00857B1D" w:rsidRDefault="00EE0419">
      <w:pPr>
        <w:pStyle w:val="Naslov2"/>
        <w:spacing w:before="100" w:after="0"/>
        <w:rPr>
          <w:rFonts w:ascii="Times New Roman" w:hAnsi="Times New Roman" w:cs="Times New Roman"/>
          <w:b w:val="0"/>
          <w:i w:val="0"/>
          <w:color w:val="000000"/>
          <w:sz w:val="24"/>
          <w:lang w:val="it-IT"/>
        </w:rPr>
      </w:pPr>
      <w:bookmarkStart w:id="36" w:name="_Toc256000100"/>
      <w:r w:rsidRPr="00857B1D">
        <w:rPr>
          <w:rFonts w:ascii="Times New Roman" w:hAnsi="Times New Roman" w:cs="Times New Roman"/>
          <w:b w:val="0"/>
          <w:i w:val="0"/>
          <w:color w:val="000000"/>
          <w:sz w:val="24"/>
          <w:lang w:val="it-IT"/>
        </w:rPr>
        <w:t>3.1. Finančna sredstva po letih</w:t>
      </w:r>
      <w:bookmarkEnd w:id="36"/>
    </w:p>
    <w:p w14:paraId="2D390112" w14:textId="77777777" w:rsidR="00A77B3E" w:rsidRPr="00857B1D" w:rsidRDefault="00EE0419">
      <w:pPr>
        <w:pStyle w:val="Naslov4"/>
        <w:spacing w:before="100" w:after="0"/>
        <w:rPr>
          <w:b w:val="0"/>
          <w:color w:val="000000"/>
          <w:sz w:val="24"/>
          <w:lang w:val="it-IT"/>
        </w:rPr>
      </w:pPr>
      <w:bookmarkStart w:id="37" w:name="_Toc256000101"/>
      <w:r w:rsidRPr="00857B1D">
        <w:rPr>
          <w:b w:val="0"/>
          <w:color w:val="000000"/>
          <w:sz w:val="24"/>
          <w:lang w:val="it-IT"/>
        </w:rPr>
        <w:t>Tabela 5: Finančna sredstva po letih</w:t>
      </w:r>
      <w:bookmarkEnd w:id="37"/>
    </w:p>
    <w:p w14:paraId="7EEAE09C" w14:textId="77777777" w:rsidR="00A77B3E" w:rsidRPr="00857B1D" w:rsidRDefault="00A77B3E">
      <w:pPr>
        <w:spacing w:before="100"/>
        <w:rPr>
          <w:color w:val="000000"/>
          <w:sz w:val="12"/>
          <w:lang w:val="it-IT"/>
        </w:rPr>
      </w:pPr>
    </w:p>
    <w:p w14:paraId="13B7AF0B" w14:textId="77777777" w:rsidR="00A77B3E" w:rsidRPr="00857B1D" w:rsidRDefault="00A77B3E">
      <w:pPr>
        <w:spacing w:before="100"/>
        <w:rPr>
          <w:color w:val="00000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1407"/>
        <w:gridCol w:w="1406"/>
        <w:gridCol w:w="1406"/>
        <w:gridCol w:w="1406"/>
        <w:gridCol w:w="1406"/>
        <w:gridCol w:w="1406"/>
        <w:gridCol w:w="1406"/>
        <w:gridCol w:w="1806"/>
      </w:tblGrid>
      <w:tr w:rsidR="00EC4D24" w14:paraId="247B7D9E"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C301E8" w14:textId="77777777" w:rsidR="00A77B3E" w:rsidRDefault="00EE0419">
            <w:pPr>
              <w:spacing w:before="100"/>
              <w:jc w:val="center"/>
              <w:rPr>
                <w:color w:val="000000"/>
                <w:sz w:val="16"/>
              </w:rPr>
            </w:pPr>
            <w:r>
              <w:rPr>
                <w:color w:val="000000"/>
                <w:sz w:val="16"/>
              </w:rPr>
              <w:t>Vrsta dodelitve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2CCAA4" w14:textId="77777777" w:rsidR="00A77B3E" w:rsidRDefault="00EE0419">
            <w:pPr>
              <w:spacing w:before="100"/>
              <w:jc w:val="center"/>
              <w:rPr>
                <w:color w:val="000000"/>
                <w:sz w:val="16"/>
              </w:rPr>
            </w:pPr>
            <w:r>
              <w:rPr>
                <w:color w:val="000000"/>
                <w:sz w:val="16"/>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66D99C" w14:textId="77777777" w:rsidR="00A77B3E" w:rsidRDefault="00EE0419">
            <w:pPr>
              <w:spacing w:before="100"/>
              <w:jc w:val="center"/>
              <w:rPr>
                <w:color w:val="000000"/>
                <w:sz w:val="16"/>
              </w:rPr>
            </w:pPr>
            <w:r>
              <w:rPr>
                <w:color w:val="000000"/>
                <w:sz w:val="16"/>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B6FBF5" w14:textId="77777777" w:rsidR="00A77B3E" w:rsidRDefault="00EE0419">
            <w:pPr>
              <w:spacing w:before="100"/>
              <w:jc w:val="center"/>
              <w:rPr>
                <w:color w:val="000000"/>
                <w:sz w:val="16"/>
              </w:rPr>
            </w:pPr>
            <w:r>
              <w:rPr>
                <w:color w:val="000000"/>
                <w:sz w:val="16"/>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ECA804" w14:textId="77777777" w:rsidR="00A77B3E" w:rsidRDefault="00EE0419">
            <w:pPr>
              <w:spacing w:before="100"/>
              <w:jc w:val="center"/>
              <w:rPr>
                <w:color w:val="000000"/>
                <w:sz w:val="16"/>
              </w:rPr>
            </w:pPr>
            <w:r>
              <w:rPr>
                <w:color w:val="000000"/>
                <w:sz w:val="16"/>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F67C43" w14:textId="77777777" w:rsidR="00A77B3E" w:rsidRDefault="00EE0419">
            <w:pPr>
              <w:spacing w:before="100"/>
              <w:jc w:val="center"/>
              <w:rPr>
                <w:color w:val="000000"/>
                <w:sz w:val="16"/>
              </w:rPr>
            </w:pPr>
            <w:r>
              <w:rPr>
                <w:color w:val="000000"/>
                <w:sz w:val="16"/>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0A1C3D" w14:textId="77777777" w:rsidR="00A77B3E" w:rsidRDefault="00EE0419">
            <w:pPr>
              <w:spacing w:before="100"/>
              <w:jc w:val="center"/>
              <w:rPr>
                <w:color w:val="000000"/>
                <w:sz w:val="16"/>
              </w:rPr>
            </w:pPr>
            <w:r>
              <w:rPr>
                <w:color w:val="000000"/>
                <w:sz w:val="16"/>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EA1A6A" w14:textId="77777777" w:rsidR="00A77B3E" w:rsidRDefault="00EE0419">
            <w:pPr>
              <w:spacing w:before="100"/>
              <w:jc w:val="center"/>
              <w:rPr>
                <w:color w:val="000000"/>
                <w:sz w:val="16"/>
              </w:rPr>
            </w:pPr>
            <w:r>
              <w:rPr>
                <w:color w:val="000000"/>
                <w:sz w:val="16"/>
              </w:rPr>
              <w:t>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042E91" w14:textId="77777777" w:rsidR="00A77B3E" w:rsidRDefault="00EE0419">
            <w:pPr>
              <w:spacing w:before="100"/>
              <w:jc w:val="center"/>
              <w:rPr>
                <w:color w:val="000000"/>
                <w:sz w:val="16"/>
              </w:rPr>
            </w:pPr>
            <w:r>
              <w:rPr>
                <w:color w:val="000000"/>
                <w:sz w:val="16"/>
              </w:rPr>
              <w:t>Skupaj</w:t>
            </w:r>
          </w:p>
        </w:tc>
      </w:tr>
      <w:tr w:rsidR="00EC4D24" w14:paraId="030BD1C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8EE380" w14:textId="77777777" w:rsidR="00A77B3E" w:rsidRDefault="00EE0419">
            <w:pPr>
              <w:spacing w:before="100"/>
              <w:rPr>
                <w:color w:val="000000"/>
                <w:sz w:val="16"/>
              </w:rPr>
            </w:pPr>
            <w:r>
              <w:rPr>
                <w:color w:val="000000"/>
                <w:sz w:val="16"/>
              </w:rPr>
              <w:t>Skupaj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BA7BD1"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2CE45B"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415266"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02D6A4"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F12545"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2FC426"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84B7DB"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8DFC11" w14:textId="77777777" w:rsidR="00A77B3E" w:rsidRDefault="00A77B3E">
            <w:pPr>
              <w:spacing w:before="100"/>
              <w:jc w:val="right"/>
              <w:rPr>
                <w:color w:val="000000"/>
                <w:sz w:val="16"/>
              </w:rPr>
            </w:pPr>
          </w:p>
        </w:tc>
      </w:tr>
    </w:tbl>
    <w:p w14:paraId="777C4CBB" w14:textId="77777777" w:rsidR="00A77B3E" w:rsidRDefault="00EE0419">
      <w:pPr>
        <w:spacing w:before="100"/>
        <w:rPr>
          <w:color w:val="000000"/>
        </w:rPr>
      </w:pPr>
      <w:r>
        <w:rPr>
          <w:color w:val="000000"/>
          <w:sz w:val="16"/>
        </w:rPr>
        <w:br w:type="page"/>
      </w:r>
    </w:p>
    <w:p w14:paraId="7698A907" w14:textId="77777777" w:rsidR="00A77B3E" w:rsidRDefault="00EE0419">
      <w:pPr>
        <w:pStyle w:val="Naslov2"/>
        <w:spacing w:before="100" w:after="0"/>
        <w:rPr>
          <w:rFonts w:ascii="Times New Roman" w:hAnsi="Times New Roman" w:cs="Times New Roman"/>
          <w:b w:val="0"/>
          <w:i w:val="0"/>
          <w:color w:val="000000"/>
          <w:sz w:val="24"/>
        </w:rPr>
      </w:pPr>
      <w:bookmarkStart w:id="38" w:name="_Toc256000102"/>
      <w:r>
        <w:rPr>
          <w:rFonts w:ascii="Times New Roman" w:hAnsi="Times New Roman" w:cs="Times New Roman"/>
          <w:b w:val="0"/>
          <w:i w:val="0"/>
          <w:color w:val="000000"/>
          <w:sz w:val="24"/>
        </w:rPr>
        <w:lastRenderedPageBreak/>
        <w:t>3.2. Skupna dodelitev finančnih sredstev</w:t>
      </w:r>
      <w:bookmarkEnd w:id="38"/>
    </w:p>
    <w:p w14:paraId="5999757E" w14:textId="77777777" w:rsidR="00A77B3E" w:rsidRPr="00857B1D" w:rsidRDefault="00EE0419">
      <w:pPr>
        <w:pStyle w:val="Naslov4"/>
        <w:spacing w:before="100" w:after="0"/>
        <w:rPr>
          <w:b w:val="0"/>
          <w:color w:val="000000"/>
          <w:sz w:val="24"/>
          <w:lang w:val="it-IT"/>
        </w:rPr>
      </w:pPr>
      <w:bookmarkStart w:id="39" w:name="_Toc256000103"/>
      <w:r w:rsidRPr="00857B1D">
        <w:rPr>
          <w:b w:val="0"/>
          <w:color w:val="000000"/>
          <w:sz w:val="24"/>
          <w:lang w:val="it-IT"/>
        </w:rPr>
        <w:t>Tabela 6: Skupna dodelitev finančnih sredstev po skladih in nacionalni prispevek</w:t>
      </w:r>
      <w:bookmarkEnd w:id="39"/>
    </w:p>
    <w:p w14:paraId="6F3D37AA" w14:textId="77777777" w:rsidR="00A77B3E" w:rsidRPr="00857B1D" w:rsidRDefault="00A77B3E">
      <w:pPr>
        <w:spacing w:before="100"/>
        <w:rPr>
          <w:color w:val="000000"/>
          <w:sz w:val="12"/>
          <w:lang w:val="it-IT"/>
        </w:rPr>
      </w:pPr>
    </w:p>
    <w:p w14:paraId="1A8D6D3F" w14:textId="77777777" w:rsidR="00A77B3E" w:rsidRPr="00857B1D" w:rsidRDefault="00A77B3E">
      <w:pPr>
        <w:spacing w:before="100"/>
        <w:rPr>
          <w:color w:val="00000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1518"/>
        <w:gridCol w:w="1517"/>
        <w:gridCol w:w="1517"/>
        <w:gridCol w:w="1517"/>
        <w:gridCol w:w="1517"/>
        <w:gridCol w:w="1517"/>
        <w:gridCol w:w="1517"/>
        <w:gridCol w:w="1517"/>
      </w:tblGrid>
      <w:tr w:rsidR="00EC4D24" w:rsidRPr="00857B1D" w14:paraId="3A481BB2" w14:textId="77777777">
        <w:trPr>
          <w:tblHeader/>
        </w:trPr>
        <w:tc>
          <w:tcPr>
            <w:tcW w:w="10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A4C05C" w14:textId="77777777" w:rsidR="00A77B3E" w:rsidRDefault="00EE0419">
            <w:pPr>
              <w:spacing w:before="100"/>
              <w:jc w:val="center"/>
              <w:rPr>
                <w:color w:val="000000"/>
                <w:sz w:val="16"/>
              </w:rPr>
            </w:pPr>
            <w:r>
              <w:rPr>
                <w:color w:val="000000"/>
                <w:sz w:val="16"/>
              </w:rPr>
              <w:t>Specifični cilji (SC)</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746549" w14:textId="77777777" w:rsidR="00A77B3E" w:rsidRDefault="00EE0419">
            <w:pPr>
              <w:spacing w:before="100"/>
              <w:jc w:val="center"/>
              <w:rPr>
                <w:color w:val="000000"/>
                <w:sz w:val="16"/>
              </w:rPr>
            </w:pPr>
            <w:r>
              <w:rPr>
                <w:color w:val="000000"/>
                <w:sz w:val="16"/>
              </w:rPr>
              <w:t>Vrsta ukrepa</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5E6F84" w14:textId="77777777" w:rsidR="00A77B3E" w:rsidRDefault="00EE0419">
            <w:pPr>
              <w:spacing w:before="100"/>
              <w:jc w:val="center"/>
              <w:rPr>
                <w:color w:val="000000"/>
                <w:sz w:val="16"/>
              </w:rPr>
            </w:pPr>
            <w:r>
              <w:rPr>
                <w:color w:val="000000"/>
                <w:sz w:val="16"/>
              </w:rPr>
              <w:t>Osnova za izračun podpore Unije (skupne ali javne)</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E91E87" w14:textId="77777777" w:rsidR="00A77B3E" w:rsidRDefault="00EE0419">
            <w:pPr>
              <w:spacing w:before="100"/>
              <w:jc w:val="center"/>
              <w:rPr>
                <w:color w:val="000000"/>
                <w:sz w:val="16"/>
              </w:rPr>
            </w:pPr>
            <w:r>
              <w:rPr>
                <w:color w:val="000000"/>
                <w:sz w:val="16"/>
              </w:rPr>
              <w:t>Prispevek Unije (a)</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44F963" w14:textId="77777777" w:rsidR="00A77B3E" w:rsidRPr="00857B1D" w:rsidRDefault="00EE0419">
            <w:pPr>
              <w:spacing w:before="100"/>
              <w:jc w:val="center"/>
              <w:rPr>
                <w:color w:val="000000"/>
                <w:sz w:val="16"/>
                <w:lang w:val="it-IT"/>
              </w:rPr>
            </w:pPr>
            <w:r w:rsidRPr="00857B1D">
              <w:rPr>
                <w:color w:val="000000"/>
                <w:sz w:val="16"/>
                <w:lang w:val="it-IT"/>
              </w:rPr>
              <w:t>Nacionalni prispevek (b) = (c) + (d)</w:t>
            </w:r>
          </w:p>
        </w:tc>
        <w:tc>
          <w:tcPr>
            <w:tcW w:w="500" w:type="pct"/>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20045B" w14:textId="77777777" w:rsidR="00A77B3E" w:rsidRDefault="00EE0419">
            <w:pPr>
              <w:spacing w:before="100"/>
              <w:jc w:val="center"/>
              <w:rPr>
                <w:color w:val="000000"/>
                <w:sz w:val="16"/>
              </w:rPr>
            </w:pPr>
            <w:r>
              <w:rPr>
                <w:color w:val="000000"/>
                <w:sz w:val="16"/>
              </w:rPr>
              <w:t>Okvirna razčlenitev nacionalnega prispevka</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541C81" w14:textId="77777777" w:rsidR="00A77B3E" w:rsidRDefault="00EE0419">
            <w:pPr>
              <w:spacing w:before="100"/>
              <w:jc w:val="center"/>
              <w:rPr>
                <w:color w:val="000000"/>
                <w:sz w:val="16"/>
              </w:rPr>
            </w:pPr>
            <w:r>
              <w:rPr>
                <w:color w:val="000000"/>
                <w:sz w:val="16"/>
              </w:rPr>
              <w:t>Skupaj (e) = (a) + (b)</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D66E09" w14:textId="77777777" w:rsidR="00A77B3E" w:rsidRPr="00857B1D" w:rsidRDefault="00EE0419">
            <w:pPr>
              <w:spacing w:before="100"/>
              <w:jc w:val="center"/>
              <w:rPr>
                <w:color w:val="000000"/>
                <w:sz w:val="16"/>
                <w:lang w:val="it-IT"/>
              </w:rPr>
            </w:pPr>
            <w:r w:rsidRPr="00857B1D">
              <w:rPr>
                <w:color w:val="000000"/>
                <w:sz w:val="16"/>
                <w:lang w:val="it-IT"/>
              </w:rPr>
              <w:t>Stopnja sofinanciranja (f) = (a) / (e)</w:t>
            </w:r>
          </w:p>
        </w:tc>
      </w:tr>
      <w:tr w:rsidR="00EC4D24" w14:paraId="657047F5" w14:textId="77777777">
        <w:trPr>
          <w:tblHeader/>
        </w:trPr>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5B5FFD" w14:textId="77777777" w:rsidR="00A77B3E" w:rsidRPr="00857B1D" w:rsidRDefault="00A77B3E">
            <w:pPr>
              <w:spacing w:before="100"/>
              <w:jc w:val="center"/>
              <w:rPr>
                <w:color w:val="000000"/>
                <w:sz w:val="16"/>
                <w:lang w:val="it-IT"/>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7E756D" w14:textId="77777777" w:rsidR="00A77B3E" w:rsidRPr="00857B1D" w:rsidRDefault="00A77B3E">
            <w:pPr>
              <w:spacing w:before="100"/>
              <w:jc w:val="center"/>
              <w:rPr>
                <w:color w:val="000000"/>
                <w:sz w:val="16"/>
                <w:lang w:val="it-IT"/>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6BD501" w14:textId="77777777" w:rsidR="00A77B3E" w:rsidRPr="00857B1D" w:rsidRDefault="00A77B3E">
            <w:pPr>
              <w:spacing w:before="100"/>
              <w:jc w:val="center"/>
              <w:rPr>
                <w:color w:val="000000"/>
                <w:sz w:val="16"/>
                <w:lang w:val="it-IT"/>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D74B52" w14:textId="77777777" w:rsidR="00A77B3E" w:rsidRPr="00857B1D" w:rsidRDefault="00A77B3E">
            <w:pPr>
              <w:spacing w:before="100"/>
              <w:jc w:val="center"/>
              <w:rPr>
                <w:color w:val="000000"/>
                <w:sz w:val="16"/>
                <w:lang w:val="it-IT"/>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717F54" w14:textId="77777777" w:rsidR="00A77B3E" w:rsidRPr="00857B1D" w:rsidRDefault="00A77B3E">
            <w:pPr>
              <w:spacing w:before="100"/>
              <w:jc w:val="center"/>
              <w:rPr>
                <w:color w:val="000000"/>
                <w:sz w:val="16"/>
                <w:lang w:val="it-IT"/>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2E7AC8" w14:textId="77777777" w:rsidR="00A77B3E" w:rsidRDefault="00EE0419">
            <w:pPr>
              <w:spacing w:before="100"/>
              <w:jc w:val="center"/>
              <w:rPr>
                <w:color w:val="000000"/>
                <w:sz w:val="16"/>
              </w:rPr>
            </w:pPr>
            <w:r>
              <w:rPr>
                <w:color w:val="000000"/>
                <w:sz w:val="16"/>
              </w:rPr>
              <w:t>Javno (c)</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290627" w14:textId="77777777" w:rsidR="00A77B3E" w:rsidRDefault="00EE0419">
            <w:pPr>
              <w:spacing w:before="100"/>
              <w:jc w:val="center"/>
              <w:rPr>
                <w:color w:val="000000"/>
                <w:sz w:val="16"/>
              </w:rPr>
            </w:pPr>
            <w:r>
              <w:rPr>
                <w:color w:val="000000"/>
                <w:sz w:val="16"/>
              </w:rPr>
              <w:t>Zasebno (d)</w:t>
            </w: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DDC230" w14:textId="77777777" w:rsidR="00A77B3E"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6F71E0" w14:textId="77777777" w:rsidR="00A77B3E" w:rsidRDefault="00A77B3E">
            <w:pPr>
              <w:spacing w:before="100"/>
              <w:jc w:val="center"/>
              <w:rPr>
                <w:color w:val="000000"/>
                <w:sz w:val="16"/>
              </w:rPr>
            </w:pPr>
          </w:p>
        </w:tc>
      </w:tr>
      <w:tr w:rsidR="00EC4D24" w14:paraId="4E5FC64F"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857AF1" w14:textId="77777777" w:rsidR="00A77B3E" w:rsidRDefault="00EE0419">
            <w:pPr>
              <w:spacing w:before="100"/>
              <w:rPr>
                <w:color w:val="000000"/>
                <w:sz w:val="16"/>
              </w:rPr>
            </w:pPr>
            <w:r>
              <w:rPr>
                <w:color w:val="000000"/>
                <w:sz w:val="16"/>
              </w:rPr>
              <w:t>Skupni evropski azilni sistem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CA2978" w14:textId="77777777" w:rsidR="00A77B3E" w:rsidRDefault="00EE0419">
            <w:pPr>
              <w:spacing w:before="100"/>
              <w:rPr>
                <w:color w:val="000000"/>
                <w:sz w:val="16"/>
              </w:rPr>
            </w:pPr>
            <w:r>
              <w:rPr>
                <w:color w:val="000000"/>
                <w:sz w:val="16"/>
              </w:rPr>
              <w:t>Redni ukrepi</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A5CA19" w14:textId="77777777" w:rsidR="00A77B3E" w:rsidRDefault="00EE0419">
            <w:pPr>
              <w:spacing w:before="100"/>
              <w:rPr>
                <w:color w:val="000000"/>
                <w:sz w:val="16"/>
              </w:rPr>
            </w:pPr>
            <w:r>
              <w:rPr>
                <w:color w:val="000000"/>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46CAF7" w14:textId="77777777" w:rsidR="00A77B3E" w:rsidRDefault="00EE0419">
            <w:pPr>
              <w:spacing w:before="100"/>
              <w:jc w:val="right"/>
              <w:rPr>
                <w:color w:val="000000"/>
                <w:sz w:val="16"/>
              </w:rPr>
            </w:pPr>
            <w:r>
              <w:rPr>
                <w:color w:val="000000"/>
                <w:sz w:val="16"/>
              </w:rPr>
              <w:t>8.459.230,00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E5542C" w14:textId="77777777" w:rsidR="00A77B3E" w:rsidRDefault="00EE0419">
            <w:pPr>
              <w:spacing w:before="100"/>
              <w:jc w:val="right"/>
              <w:rPr>
                <w:color w:val="000000"/>
                <w:sz w:val="16"/>
              </w:rPr>
            </w:pPr>
            <w:r>
              <w:rPr>
                <w:color w:val="000000"/>
                <w:sz w:val="16"/>
              </w:rPr>
              <w:t>2.819.743,34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DB1226" w14:textId="77777777" w:rsidR="00A77B3E" w:rsidRDefault="00EE0419">
            <w:pPr>
              <w:spacing w:before="100"/>
              <w:jc w:val="right"/>
              <w:rPr>
                <w:color w:val="000000"/>
                <w:sz w:val="16"/>
              </w:rPr>
            </w:pPr>
            <w:r>
              <w:rPr>
                <w:color w:val="000000"/>
                <w:sz w:val="16"/>
              </w:rPr>
              <w:t>2.819.743,34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540070"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A1B136" w14:textId="77777777" w:rsidR="00A77B3E" w:rsidRDefault="00EE0419">
            <w:pPr>
              <w:spacing w:before="100"/>
              <w:jc w:val="right"/>
              <w:rPr>
                <w:color w:val="000000"/>
                <w:sz w:val="16"/>
              </w:rPr>
            </w:pPr>
            <w:r>
              <w:rPr>
                <w:color w:val="000000"/>
                <w:sz w:val="16"/>
              </w:rPr>
              <w:t>11.278.973,34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184D71" w14:textId="77777777" w:rsidR="00A77B3E" w:rsidRDefault="00EE0419">
            <w:pPr>
              <w:spacing w:before="100"/>
              <w:jc w:val="right"/>
              <w:rPr>
                <w:color w:val="000000"/>
                <w:sz w:val="16"/>
              </w:rPr>
            </w:pPr>
            <w:r>
              <w:rPr>
                <w:color w:val="000000"/>
                <w:sz w:val="16"/>
              </w:rPr>
              <w:t>74,9999999557%</w:t>
            </w:r>
          </w:p>
        </w:tc>
      </w:tr>
      <w:tr w:rsidR="00EC4D24" w14:paraId="1BF74688"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47B1DF" w14:textId="77777777" w:rsidR="00A77B3E" w:rsidRDefault="00EE0419">
            <w:pPr>
              <w:spacing w:before="100"/>
              <w:rPr>
                <w:color w:val="000000"/>
                <w:sz w:val="16"/>
              </w:rPr>
            </w:pPr>
            <w:r>
              <w:rPr>
                <w:color w:val="000000"/>
                <w:sz w:val="16"/>
              </w:rPr>
              <w:t>Skupni evropski azilni sistem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7F8471" w14:textId="77777777" w:rsidR="00A77B3E" w:rsidRDefault="00EE0419">
            <w:pPr>
              <w:spacing w:before="100"/>
              <w:rPr>
                <w:color w:val="000000"/>
                <w:sz w:val="16"/>
              </w:rPr>
            </w:pPr>
            <w:r>
              <w:rPr>
                <w:color w:val="000000"/>
                <w:sz w:val="16"/>
              </w:rPr>
              <w:t>Ukrepi iz Priloge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08A104" w14:textId="77777777" w:rsidR="00A77B3E" w:rsidRDefault="00EE0419">
            <w:pPr>
              <w:spacing w:before="100"/>
              <w:rPr>
                <w:color w:val="000000"/>
                <w:sz w:val="16"/>
              </w:rPr>
            </w:pPr>
            <w:r>
              <w:rPr>
                <w:color w:val="000000"/>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15F89C" w14:textId="77777777" w:rsidR="00A77B3E" w:rsidRDefault="00EE0419">
            <w:pPr>
              <w:spacing w:before="100"/>
              <w:jc w:val="right"/>
              <w:rPr>
                <w:color w:val="000000"/>
                <w:sz w:val="16"/>
              </w:rPr>
            </w:pPr>
            <w:r>
              <w:rPr>
                <w:color w:val="000000"/>
                <w:sz w:val="16"/>
              </w:rPr>
              <w:t>7.770.000,00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EF50B7" w14:textId="77777777" w:rsidR="00A77B3E" w:rsidRDefault="00EE0419">
            <w:pPr>
              <w:spacing w:before="100"/>
              <w:jc w:val="right"/>
              <w:rPr>
                <w:color w:val="000000"/>
                <w:sz w:val="16"/>
              </w:rPr>
            </w:pPr>
            <w:r>
              <w:rPr>
                <w:color w:val="000000"/>
                <w:sz w:val="16"/>
              </w:rPr>
              <w:t>863.333,34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F8405D" w14:textId="77777777" w:rsidR="00A77B3E" w:rsidRDefault="00EE0419">
            <w:pPr>
              <w:spacing w:before="100"/>
              <w:jc w:val="right"/>
              <w:rPr>
                <w:color w:val="000000"/>
                <w:sz w:val="16"/>
              </w:rPr>
            </w:pPr>
            <w:r>
              <w:rPr>
                <w:color w:val="000000"/>
                <w:sz w:val="16"/>
              </w:rPr>
              <w:t>863.333,34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CA1F5A"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21AB4B" w14:textId="77777777" w:rsidR="00A77B3E" w:rsidRDefault="00EE0419">
            <w:pPr>
              <w:spacing w:before="100"/>
              <w:jc w:val="right"/>
              <w:rPr>
                <w:color w:val="000000"/>
                <w:sz w:val="16"/>
              </w:rPr>
            </w:pPr>
            <w:r>
              <w:rPr>
                <w:color w:val="000000"/>
                <w:sz w:val="16"/>
              </w:rPr>
              <w:t>8.633.333,34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B52FCB" w14:textId="77777777" w:rsidR="00A77B3E" w:rsidRDefault="00EE0419">
            <w:pPr>
              <w:spacing w:before="100"/>
              <w:jc w:val="right"/>
              <w:rPr>
                <w:color w:val="000000"/>
                <w:sz w:val="16"/>
              </w:rPr>
            </w:pPr>
            <w:r>
              <w:rPr>
                <w:color w:val="000000"/>
                <w:sz w:val="16"/>
              </w:rPr>
              <w:t>89,9999999305%</w:t>
            </w:r>
          </w:p>
        </w:tc>
      </w:tr>
      <w:tr w:rsidR="00EC4D24" w14:paraId="09E637E2"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598354" w14:textId="77777777" w:rsidR="00A77B3E" w:rsidRDefault="00EE0419">
            <w:pPr>
              <w:spacing w:before="100"/>
              <w:rPr>
                <w:color w:val="000000"/>
                <w:sz w:val="16"/>
              </w:rPr>
            </w:pPr>
            <w:r>
              <w:rPr>
                <w:color w:val="000000"/>
                <w:sz w:val="16"/>
              </w:rPr>
              <w:t>Skupni evropski azilni sistem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102900" w14:textId="77777777" w:rsidR="00A77B3E" w:rsidRDefault="00EE0419">
            <w:pPr>
              <w:spacing w:before="100"/>
              <w:rPr>
                <w:color w:val="000000"/>
                <w:sz w:val="16"/>
              </w:rPr>
            </w:pPr>
            <w:r>
              <w:rPr>
                <w:color w:val="000000"/>
                <w:sz w:val="16"/>
              </w:rPr>
              <w:t>Operativna podpora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01A5AB" w14:textId="77777777" w:rsidR="00A77B3E" w:rsidRDefault="00EE0419">
            <w:pPr>
              <w:spacing w:before="100"/>
              <w:rPr>
                <w:color w:val="000000"/>
                <w:sz w:val="16"/>
              </w:rPr>
            </w:pPr>
            <w:r>
              <w:rPr>
                <w:color w:val="000000"/>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3D3B3C" w14:textId="77777777" w:rsidR="00A77B3E" w:rsidRDefault="00EE0419">
            <w:pPr>
              <w:spacing w:before="100"/>
              <w:jc w:val="right"/>
              <w:rPr>
                <w:color w:val="000000"/>
                <w:sz w:val="16"/>
              </w:rPr>
            </w:pPr>
            <w:r>
              <w:rPr>
                <w:color w:val="000000"/>
                <w:sz w:val="16"/>
              </w:rPr>
              <w:t>1.530.000,00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16236C" w14:textId="77777777" w:rsidR="00A77B3E" w:rsidRDefault="00EE0419">
            <w:pPr>
              <w:spacing w:before="100"/>
              <w:jc w:val="right"/>
              <w:rPr>
                <w:color w:val="000000"/>
                <w:sz w:val="16"/>
              </w:rPr>
            </w:pPr>
            <w:r>
              <w:rPr>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59A9AC" w14:textId="77777777" w:rsidR="00A77B3E" w:rsidRDefault="00EE0419">
            <w:pPr>
              <w:spacing w:before="100"/>
              <w:jc w:val="right"/>
              <w:rPr>
                <w:color w:val="000000"/>
                <w:sz w:val="16"/>
              </w:rPr>
            </w:pPr>
            <w:r>
              <w:rPr>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CEF13F"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09B57C" w14:textId="77777777" w:rsidR="00A77B3E" w:rsidRDefault="00EE0419">
            <w:pPr>
              <w:spacing w:before="100"/>
              <w:jc w:val="right"/>
              <w:rPr>
                <w:color w:val="000000"/>
                <w:sz w:val="16"/>
              </w:rPr>
            </w:pPr>
            <w:r>
              <w:rPr>
                <w:color w:val="000000"/>
                <w:sz w:val="16"/>
              </w:rPr>
              <w:t>1.530.000,00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842759" w14:textId="77777777" w:rsidR="00A77B3E" w:rsidRDefault="00EE0419">
            <w:pPr>
              <w:spacing w:before="100"/>
              <w:jc w:val="right"/>
              <w:rPr>
                <w:color w:val="000000"/>
                <w:sz w:val="16"/>
              </w:rPr>
            </w:pPr>
            <w:r>
              <w:rPr>
                <w:color w:val="000000"/>
                <w:sz w:val="16"/>
              </w:rPr>
              <w:t>100,0000000000%</w:t>
            </w:r>
          </w:p>
        </w:tc>
      </w:tr>
      <w:tr w:rsidR="00EC4D24" w14:paraId="0B50B1FF"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FA9591" w14:textId="77777777" w:rsidR="00A77B3E" w:rsidRDefault="00EE0419">
            <w:pPr>
              <w:spacing w:before="100"/>
              <w:rPr>
                <w:color w:val="000000"/>
                <w:sz w:val="16"/>
              </w:rPr>
            </w:pPr>
            <w:r>
              <w:rPr>
                <w:color w:val="000000"/>
                <w:sz w:val="16"/>
              </w:rPr>
              <w:t>Skupaj Skupni evropski azilni sistem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48CBEC" w14:textId="77777777"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C3D3F5" w14:textId="77777777"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A732D2" w14:textId="77777777" w:rsidR="00A77B3E" w:rsidRDefault="00EE0419">
            <w:pPr>
              <w:spacing w:before="100"/>
              <w:jc w:val="right"/>
              <w:rPr>
                <w:color w:val="000000"/>
                <w:sz w:val="16"/>
              </w:rPr>
            </w:pPr>
            <w:r>
              <w:rPr>
                <w:color w:val="000000"/>
                <w:sz w:val="16"/>
              </w:rPr>
              <w:t>17.759.230,00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5593CF" w14:textId="77777777" w:rsidR="00A77B3E" w:rsidRDefault="00EE0419">
            <w:pPr>
              <w:spacing w:before="100"/>
              <w:jc w:val="right"/>
              <w:rPr>
                <w:color w:val="000000"/>
                <w:sz w:val="16"/>
              </w:rPr>
            </w:pPr>
            <w:r>
              <w:rPr>
                <w:color w:val="000000"/>
                <w:sz w:val="16"/>
              </w:rPr>
              <w:t>3.683.076,68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1426CB" w14:textId="77777777" w:rsidR="00A77B3E" w:rsidRDefault="00EE0419">
            <w:pPr>
              <w:spacing w:before="100"/>
              <w:jc w:val="right"/>
              <w:rPr>
                <w:color w:val="000000"/>
                <w:sz w:val="16"/>
              </w:rPr>
            </w:pPr>
            <w:r>
              <w:rPr>
                <w:color w:val="000000"/>
                <w:sz w:val="16"/>
              </w:rPr>
              <w:t>3.683.076,68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21153C"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387052" w14:textId="77777777" w:rsidR="00A77B3E" w:rsidRDefault="00EE0419">
            <w:pPr>
              <w:spacing w:before="100"/>
              <w:jc w:val="right"/>
              <w:rPr>
                <w:color w:val="000000"/>
                <w:sz w:val="16"/>
              </w:rPr>
            </w:pPr>
            <w:r>
              <w:rPr>
                <w:color w:val="000000"/>
                <w:sz w:val="16"/>
              </w:rPr>
              <w:t>21.442.306,68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39C53D" w14:textId="77777777" w:rsidR="00A77B3E" w:rsidRDefault="00EE0419">
            <w:pPr>
              <w:spacing w:before="100"/>
              <w:jc w:val="right"/>
              <w:rPr>
                <w:color w:val="000000"/>
                <w:sz w:val="16"/>
              </w:rPr>
            </w:pPr>
            <w:r>
              <w:rPr>
                <w:color w:val="000000"/>
                <w:sz w:val="16"/>
              </w:rPr>
              <w:t>82,8233187084%</w:t>
            </w:r>
          </w:p>
        </w:tc>
      </w:tr>
      <w:tr w:rsidR="00EC4D24" w14:paraId="63164FB4"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C92847" w14:textId="77777777" w:rsidR="00A77B3E" w:rsidRDefault="00EE0419">
            <w:pPr>
              <w:spacing w:before="100"/>
              <w:rPr>
                <w:color w:val="000000"/>
                <w:sz w:val="16"/>
              </w:rPr>
            </w:pPr>
            <w:r>
              <w:rPr>
                <w:color w:val="000000"/>
                <w:sz w:val="16"/>
              </w:rPr>
              <w:t>Zakonite migracije in vključevanje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1AFED1" w14:textId="77777777" w:rsidR="00A77B3E" w:rsidRDefault="00EE0419">
            <w:pPr>
              <w:spacing w:before="100"/>
              <w:rPr>
                <w:color w:val="000000"/>
                <w:sz w:val="16"/>
              </w:rPr>
            </w:pPr>
            <w:r>
              <w:rPr>
                <w:color w:val="000000"/>
                <w:sz w:val="16"/>
              </w:rPr>
              <w:t>Redni ukrepi</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AE554A" w14:textId="77777777" w:rsidR="00A77B3E" w:rsidRDefault="00EE0419">
            <w:pPr>
              <w:spacing w:before="100"/>
              <w:rPr>
                <w:color w:val="000000"/>
                <w:sz w:val="16"/>
              </w:rPr>
            </w:pPr>
            <w:r>
              <w:rPr>
                <w:color w:val="000000"/>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0AEF05" w14:textId="4E4941AF" w:rsidR="00A77B3E" w:rsidRPr="00857B1D" w:rsidRDefault="006D2C24">
            <w:pPr>
              <w:spacing w:before="100"/>
              <w:jc w:val="right"/>
              <w:rPr>
                <w:color w:val="000000"/>
                <w:sz w:val="16"/>
              </w:rPr>
            </w:pPr>
            <w:r w:rsidRPr="00857B1D">
              <w:rPr>
                <w:color w:val="000000"/>
                <w:sz w:val="16"/>
              </w:rPr>
              <w:t>14.232.500,00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806550" w14:textId="5F34FA7E" w:rsidR="00A77B3E" w:rsidRPr="00857B1D" w:rsidRDefault="000C5507">
            <w:pPr>
              <w:spacing w:before="100"/>
              <w:jc w:val="right"/>
              <w:rPr>
                <w:color w:val="000000"/>
                <w:sz w:val="16"/>
              </w:rPr>
            </w:pPr>
            <w:r w:rsidRPr="00857B1D">
              <w:rPr>
                <w:color w:val="000000"/>
                <w:sz w:val="16"/>
              </w:rPr>
              <w:t>4.744.166,67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BB8761" w14:textId="0CCA5F20" w:rsidR="00A77B3E" w:rsidRDefault="002C5226">
            <w:pPr>
              <w:spacing w:before="100"/>
              <w:jc w:val="right"/>
              <w:rPr>
                <w:color w:val="000000"/>
                <w:sz w:val="16"/>
              </w:rPr>
            </w:pPr>
            <w:r w:rsidRPr="00857B1D">
              <w:rPr>
                <w:color w:val="000000"/>
                <w:sz w:val="16"/>
              </w:rPr>
              <w:t>4.744.166,67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455B80"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D3E703" w14:textId="28916503" w:rsidR="00A77B3E" w:rsidRDefault="002C5226">
            <w:pPr>
              <w:spacing w:before="100"/>
              <w:jc w:val="right"/>
              <w:rPr>
                <w:color w:val="000000"/>
                <w:sz w:val="16"/>
              </w:rPr>
            </w:pPr>
            <w:r w:rsidRPr="00857B1D">
              <w:rPr>
                <w:color w:val="000000"/>
                <w:sz w:val="16"/>
              </w:rPr>
              <w:t>18.976.666,67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5229B1" w14:textId="77777777" w:rsidR="00A77B3E" w:rsidRDefault="00EE0419">
            <w:pPr>
              <w:spacing w:before="100"/>
              <w:jc w:val="right"/>
              <w:rPr>
                <w:color w:val="000000"/>
                <w:sz w:val="16"/>
              </w:rPr>
            </w:pPr>
            <w:r>
              <w:rPr>
                <w:color w:val="000000"/>
                <w:sz w:val="16"/>
              </w:rPr>
              <w:t>75,0000000000%</w:t>
            </w:r>
          </w:p>
        </w:tc>
      </w:tr>
      <w:tr w:rsidR="00EC4D24" w14:paraId="0BA778E1"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FC9583" w14:textId="77777777" w:rsidR="00A77B3E" w:rsidRDefault="00EE0419">
            <w:pPr>
              <w:spacing w:before="100"/>
              <w:rPr>
                <w:color w:val="000000"/>
                <w:sz w:val="16"/>
              </w:rPr>
            </w:pPr>
            <w:r>
              <w:rPr>
                <w:color w:val="000000"/>
                <w:sz w:val="16"/>
              </w:rPr>
              <w:t>Zakonite migracije in vključevanje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00BCBA" w14:textId="77777777" w:rsidR="00A77B3E" w:rsidRDefault="00EE0419">
            <w:pPr>
              <w:spacing w:before="100"/>
              <w:rPr>
                <w:color w:val="000000"/>
                <w:sz w:val="16"/>
              </w:rPr>
            </w:pPr>
            <w:r>
              <w:rPr>
                <w:color w:val="000000"/>
                <w:sz w:val="16"/>
              </w:rPr>
              <w:t>Ukrepi iz Priloge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54E1E5" w14:textId="77777777" w:rsidR="00A77B3E" w:rsidRDefault="00EE0419">
            <w:pPr>
              <w:spacing w:before="100"/>
              <w:rPr>
                <w:color w:val="000000"/>
                <w:sz w:val="16"/>
              </w:rPr>
            </w:pPr>
            <w:r>
              <w:rPr>
                <w:color w:val="000000"/>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6ADC1E" w14:textId="7D9A2115" w:rsidR="006D2C24" w:rsidRPr="00857B1D" w:rsidRDefault="006D2C24" w:rsidP="006D2C24">
            <w:pPr>
              <w:spacing w:before="100"/>
              <w:jc w:val="right"/>
              <w:rPr>
                <w:color w:val="000000"/>
                <w:sz w:val="16"/>
              </w:rPr>
            </w:pPr>
            <w:r w:rsidRPr="00857B1D">
              <w:rPr>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8B4123" w14:textId="69A205FE" w:rsidR="00A77B3E" w:rsidRPr="00857B1D" w:rsidRDefault="000C5507">
            <w:pPr>
              <w:spacing w:before="100"/>
              <w:jc w:val="right"/>
              <w:rPr>
                <w:color w:val="000000"/>
                <w:sz w:val="16"/>
              </w:rPr>
            </w:pPr>
            <w:r w:rsidRPr="00857B1D">
              <w:rPr>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4EDE8A" w14:textId="1B58C373" w:rsidR="00A77B3E" w:rsidRDefault="002C5226">
            <w:pPr>
              <w:spacing w:before="100"/>
              <w:jc w:val="right"/>
              <w:rPr>
                <w:color w:val="000000"/>
                <w:sz w:val="16"/>
              </w:rPr>
            </w:pPr>
            <w:r w:rsidRPr="00857B1D">
              <w:rPr>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BC33AC"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16F14D" w14:textId="3766E4E2" w:rsidR="00A77B3E" w:rsidRDefault="002C5226">
            <w:pPr>
              <w:spacing w:before="100"/>
              <w:jc w:val="right"/>
              <w:rPr>
                <w:color w:val="000000"/>
                <w:sz w:val="16"/>
              </w:rPr>
            </w:pPr>
            <w:r w:rsidRPr="00857B1D">
              <w:rPr>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33EA12" w14:textId="77777777" w:rsidR="00A77B3E" w:rsidRDefault="00EE0419">
            <w:pPr>
              <w:spacing w:before="100"/>
              <w:jc w:val="right"/>
              <w:rPr>
                <w:color w:val="000000"/>
                <w:sz w:val="16"/>
              </w:rPr>
            </w:pPr>
            <w:r>
              <w:rPr>
                <w:color w:val="000000"/>
                <w:sz w:val="16"/>
              </w:rPr>
              <w:t>89,9999997062%</w:t>
            </w:r>
          </w:p>
        </w:tc>
      </w:tr>
      <w:tr w:rsidR="00EC4D24" w14:paraId="25229B44"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D4F607" w14:textId="77777777" w:rsidR="00A77B3E" w:rsidRDefault="00EE0419">
            <w:pPr>
              <w:spacing w:before="100"/>
              <w:rPr>
                <w:color w:val="000000"/>
                <w:sz w:val="16"/>
              </w:rPr>
            </w:pPr>
            <w:r>
              <w:rPr>
                <w:color w:val="000000"/>
                <w:sz w:val="16"/>
              </w:rPr>
              <w:t>Zakonite migracije in vključevanje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EF3D6A" w14:textId="77777777" w:rsidR="00A77B3E" w:rsidRDefault="00EE0419">
            <w:pPr>
              <w:spacing w:before="100"/>
              <w:rPr>
                <w:color w:val="000000"/>
                <w:sz w:val="16"/>
              </w:rPr>
            </w:pPr>
            <w:r>
              <w:rPr>
                <w:color w:val="000000"/>
                <w:sz w:val="16"/>
              </w:rPr>
              <w:t>Operativna podpora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13E14D" w14:textId="77777777" w:rsidR="00A77B3E" w:rsidRDefault="00EE0419">
            <w:pPr>
              <w:spacing w:before="100"/>
              <w:rPr>
                <w:color w:val="000000"/>
                <w:sz w:val="16"/>
              </w:rPr>
            </w:pPr>
            <w:r>
              <w:rPr>
                <w:color w:val="000000"/>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B71FFD" w14:textId="77777777" w:rsidR="00A77B3E" w:rsidRDefault="00EE0419">
            <w:pPr>
              <w:spacing w:before="100"/>
              <w:jc w:val="right"/>
              <w:rPr>
                <w:color w:val="000000"/>
                <w:sz w:val="16"/>
              </w:rPr>
            </w:pPr>
            <w:r>
              <w:rPr>
                <w:color w:val="000000"/>
                <w:sz w:val="16"/>
              </w:rPr>
              <w:t>700.000,00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52FEA8" w14:textId="77777777" w:rsidR="00A77B3E" w:rsidRDefault="00EE0419">
            <w:pPr>
              <w:spacing w:before="100"/>
              <w:jc w:val="right"/>
              <w:rPr>
                <w:color w:val="000000"/>
                <w:sz w:val="16"/>
              </w:rPr>
            </w:pPr>
            <w:r>
              <w:rPr>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005364" w14:textId="77777777" w:rsidR="00A77B3E" w:rsidRDefault="00EE0419">
            <w:pPr>
              <w:spacing w:before="100"/>
              <w:jc w:val="right"/>
              <w:rPr>
                <w:color w:val="000000"/>
                <w:sz w:val="16"/>
              </w:rPr>
            </w:pPr>
            <w:r>
              <w:rPr>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8BED96"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264732" w14:textId="77777777" w:rsidR="00A77B3E" w:rsidRDefault="00EE0419">
            <w:pPr>
              <w:spacing w:before="100"/>
              <w:jc w:val="right"/>
              <w:rPr>
                <w:color w:val="000000"/>
                <w:sz w:val="16"/>
              </w:rPr>
            </w:pPr>
            <w:r>
              <w:rPr>
                <w:color w:val="000000"/>
                <w:sz w:val="16"/>
              </w:rPr>
              <w:t>700.000,00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860962" w14:textId="77777777" w:rsidR="00A77B3E" w:rsidRDefault="00EE0419">
            <w:pPr>
              <w:spacing w:before="100"/>
              <w:jc w:val="right"/>
              <w:rPr>
                <w:color w:val="000000"/>
                <w:sz w:val="16"/>
              </w:rPr>
            </w:pPr>
            <w:r>
              <w:rPr>
                <w:color w:val="000000"/>
                <w:sz w:val="16"/>
              </w:rPr>
              <w:t>100,0000000000%</w:t>
            </w:r>
          </w:p>
        </w:tc>
      </w:tr>
      <w:tr w:rsidR="00EC4D24" w14:paraId="6820AA28"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AB4F0E" w14:textId="77777777" w:rsidR="00A77B3E" w:rsidRDefault="00EE0419">
            <w:pPr>
              <w:spacing w:before="100"/>
              <w:rPr>
                <w:color w:val="000000"/>
                <w:sz w:val="16"/>
              </w:rPr>
            </w:pPr>
            <w:r>
              <w:rPr>
                <w:color w:val="000000"/>
                <w:sz w:val="16"/>
              </w:rPr>
              <w:t>Skupaj Zakonite migracije in vključevanje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048D46" w14:textId="77777777"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AC9151" w14:textId="77777777"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4FB6ED" w14:textId="77777777" w:rsidR="00A77B3E" w:rsidRDefault="00EE0419">
            <w:pPr>
              <w:spacing w:before="100"/>
              <w:jc w:val="right"/>
              <w:rPr>
                <w:color w:val="000000"/>
                <w:sz w:val="16"/>
              </w:rPr>
            </w:pPr>
            <w:r>
              <w:rPr>
                <w:color w:val="000000"/>
                <w:sz w:val="16"/>
              </w:rPr>
              <w:t>14.932.500,00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298E85" w14:textId="5CE90BCB" w:rsidR="00A77B3E" w:rsidRDefault="000C5507">
            <w:pPr>
              <w:spacing w:before="100"/>
              <w:jc w:val="right"/>
              <w:rPr>
                <w:color w:val="000000"/>
                <w:sz w:val="16"/>
              </w:rPr>
            </w:pPr>
            <w:r w:rsidRPr="00857B1D">
              <w:rPr>
                <w:color w:val="000000"/>
                <w:sz w:val="16"/>
              </w:rPr>
              <w:t>4.744.166,67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4D57CA" w14:textId="3E0C8731" w:rsidR="00A77B3E" w:rsidRDefault="002C5226">
            <w:pPr>
              <w:spacing w:before="100"/>
              <w:jc w:val="right"/>
              <w:rPr>
                <w:color w:val="000000"/>
                <w:sz w:val="16"/>
              </w:rPr>
            </w:pPr>
            <w:r w:rsidRPr="00857B1D">
              <w:rPr>
                <w:color w:val="000000"/>
                <w:sz w:val="16"/>
              </w:rPr>
              <w:t>4.744.166,67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2DA132"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8DD994" w14:textId="4FC70F09" w:rsidR="00A77B3E" w:rsidRDefault="002C5226">
            <w:pPr>
              <w:spacing w:before="100"/>
              <w:jc w:val="right"/>
              <w:rPr>
                <w:color w:val="000000"/>
                <w:sz w:val="16"/>
              </w:rPr>
            </w:pPr>
            <w:r w:rsidRPr="00857B1D">
              <w:rPr>
                <w:color w:val="000000"/>
                <w:sz w:val="16"/>
              </w:rPr>
              <w:t>19.676.666,67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E0BF89" w14:textId="77777777" w:rsidR="00A77B3E" w:rsidRDefault="00EE0419">
            <w:pPr>
              <w:spacing w:before="100"/>
              <w:jc w:val="right"/>
              <w:rPr>
                <w:color w:val="000000"/>
                <w:sz w:val="16"/>
              </w:rPr>
            </w:pPr>
            <w:r>
              <w:rPr>
                <w:color w:val="000000"/>
                <w:sz w:val="16"/>
              </w:rPr>
              <w:t>77,7725373234%</w:t>
            </w:r>
          </w:p>
        </w:tc>
      </w:tr>
      <w:tr w:rsidR="00EC4D24" w14:paraId="5A9B07CE"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2CB3FF" w14:textId="77777777" w:rsidR="00A77B3E" w:rsidRDefault="00EE0419">
            <w:pPr>
              <w:spacing w:before="100"/>
              <w:rPr>
                <w:color w:val="000000"/>
                <w:sz w:val="16"/>
              </w:rPr>
            </w:pPr>
            <w:r>
              <w:rPr>
                <w:color w:val="000000"/>
                <w:sz w:val="16"/>
              </w:rPr>
              <w:t>Vrnitev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0213F3" w14:textId="77777777" w:rsidR="00A77B3E" w:rsidRDefault="00EE0419">
            <w:pPr>
              <w:spacing w:before="100"/>
              <w:rPr>
                <w:color w:val="000000"/>
                <w:sz w:val="16"/>
              </w:rPr>
            </w:pPr>
            <w:r>
              <w:rPr>
                <w:color w:val="000000"/>
                <w:sz w:val="16"/>
              </w:rPr>
              <w:t>Redni ukrepi</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C45B12" w14:textId="77777777" w:rsidR="00A77B3E" w:rsidRDefault="00EE0419">
            <w:pPr>
              <w:spacing w:before="100"/>
              <w:rPr>
                <w:color w:val="000000"/>
                <w:sz w:val="16"/>
              </w:rPr>
            </w:pPr>
            <w:r>
              <w:rPr>
                <w:color w:val="000000"/>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E69CE1" w14:textId="77777777" w:rsidR="00A77B3E" w:rsidRDefault="00EE0419">
            <w:pPr>
              <w:spacing w:before="100"/>
              <w:jc w:val="right"/>
              <w:rPr>
                <w:color w:val="000000"/>
                <w:sz w:val="16"/>
              </w:rPr>
            </w:pPr>
            <w:r>
              <w:rPr>
                <w:color w:val="000000"/>
                <w:sz w:val="16"/>
              </w:rPr>
              <w:t>8.756.296,42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1D2753" w14:textId="77777777" w:rsidR="00A77B3E" w:rsidRDefault="00EE0419">
            <w:pPr>
              <w:spacing w:before="100"/>
              <w:jc w:val="right"/>
              <w:rPr>
                <w:color w:val="000000"/>
                <w:sz w:val="16"/>
              </w:rPr>
            </w:pPr>
            <w:r>
              <w:rPr>
                <w:color w:val="000000"/>
                <w:sz w:val="16"/>
              </w:rPr>
              <w:t>2.918.765,48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7A6ED9" w14:textId="77777777" w:rsidR="00A77B3E" w:rsidRDefault="00EE0419">
            <w:pPr>
              <w:spacing w:before="100"/>
              <w:jc w:val="right"/>
              <w:rPr>
                <w:color w:val="000000"/>
                <w:sz w:val="16"/>
              </w:rPr>
            </w:pPr>
            <w:r>
              <w:rPr>
                <w:color w:val="000000"/>
                <w:sz w:val="16"/>
              </w:rPr>
              <w:t>2.918.765,48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FB508D"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4E0345" w14:textId="77777777" w:rsidR="00A77B3E" w:rsidRDefault="00EE0419">
            <w:pPr>
              <w:spacing w:before="100"/>
              <w:jc w:val="right"/>
              <w:rPr>
                <w:color w:val="000000"/>
                <w:sz w:val="16"/>
              </w:rPr>
            </w:pPr>
            <w:r>
              <w:rPr>
                <w:color w:val="000000"/>
                <w:sz w:val="16"/>
              </w:rPr>
              <w:t>11.675.061,90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E043EE" w14:textId="77777777" w:rsidR="00A77B3E" w:rsidRDefault="00EE0419">
            <w:pPr>
              <w:spacing w:before="100"/>
              <w:jc w:val="right"/>
              <w:rPr>
                <w:color w:val="000000"/>
                <w:sz w:val="16"/>
              </w:rPr>
            </w:pPr>
            <w:r>
              <w:rPr>
                <w:color w:val="000000"/>
                <w:sz w:val="16"/>
              </w:rPr>
              <w:t>74,9999999572%</w:t>
            </w:r>
          </w:p>
        </w:tc>
      </w:tr>
      <w:tr w:rsidR="00EC4D24" w14:paraId="5FC2E2CD"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875DE7" w14:textId="77777777" w:rsidR="00A77B3E" w:rsidRDefault="00EE0419">
            <w:pPr>
              <w:spacing w:before="100"/>
              <w:rPr>
                <w:color w:val="000000"/>
                <w:sz w:val="16"/>
              </w:rPr>
            </w:pPr>
            <w:r>
              <w:rPr>
                <w:color w:val="000000"/>
                <w:sz w:val="16"/>
              </w:rPr>
              <w:t>Vrnitev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2A2841" w14:textId="77777777" w:rsidR="00A77B3E" w:rsidRDefault="00EE0419">
            <w:pPr>
              <w:spacing w:before="100"/>
              <w:rPr>
                <w:color w:val="000000"/>
                <w:sz w:val="16"/>
              </w:rPr>
            </w:pPr>
            <w:r>
              <w:rPr>
                <w:color w:val="000000"/>
                <w:sz w:val="16"/>
              </w:rPr>
              <w:t>Ukrepi iz Priloge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572E71" w14:textId="77777777" w:rsidR="00A77B3E" w:rsidRDefault="00EE0419">
            <w:pPr>
              <w:spacing w:before="100"/>
              <w:rPr>
                <w:color w:val="000000"/>
                <w:sz w:val="16"/>
              </w:rPr>
            </w:pPr>
            <w:r>
              <w:rPr>
                <w:color w:val="000000"/>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9D5CF3" w14:textId="77777777" w:rsidR="00A77B3E" w:rsidRDefault="00EE0419">
            <w:pPr>
              <w:spacing w:before="100"/>
              <w:jc w:val="right"/>
              <w:rPr>
                <w:color w:val="000000"/>
                <w:sz w:val="16"/>
              </w:rPr>
            </w:pPr>
            <w:r>
              <w:rPr>
                <w:color w:val="000000"/>
                <w:sz w:val="16"/>
              </w:rPr>
              <w:t>577.050,00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039D16" w14:textId="77777777" w:rsidR="00A77B3E" w:rsidRDefault="00EE0419">
            <w:pPr>
              <w:spacing w:before="100"/>
              <w:jc w:val="right"/>
              <w:rPr>
                <w:color w:val="000000"/>
                <w:sz w:val="16"/>
              </w:rPr>
            </w:pPr>
            <w:r>
              <w:rPr>
                <w:color w:val="000000"/>
                <w:sz w:val="16"/>
              </w:rPr>
              <w:t>64.116,67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AE216C" w14:textId="77777777" w:rsidR="00A77B3E" w:rsidRDefault="00EE0419">
            <w:pPr>
              <w:spacing w:before="100"/>
              <w:jc w:val="right"/>
              <w:rPr>
                <w:color w:val="000000"/>
                <w:sz w:val="16"/>
              </w:rPr>
            </w:pPr>
            <w:r>
              <w:rPr>
                <w:color w:val="000000"/>
                <w:sz w:val="16"/>
              </w:rPr>
              <w:t>64.116,67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44EA34"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D988AE" w14:textId="77777777" w:rsidR="00A77B3E" w:rsidRDefault="00EE0419">
            <w:pPr>
              <w:spacing w:before="100"/>
              <w:jc w:val="right"/>
              <w:rPr>
                <w:color w:val="000000"/>
                <w:sz w:val="16"/>
              </w:rPr>
            </w:pPr>
            <w:r>
              <w:rPr>
                <w:color w:val="000000"/>
                <w:sz w:val="16"/>
              </w:rPr>
              <w:t>641.166,67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5D84F8" w14:textId="77777777" w:rsidR="00A77B3E" w:rsidRDefault="00EE0419">
            <w:pPr>
              <w:spacing w:before="100"/>
              <w:jc w:val="right"/>
              <w:rPr>
                <w:color w:val="000000"/>
                <w:sz w:val="16"/>
              </w:rPr>
            </w:pPr>
            <w:r>
              <w:rPr>
                <w:color w:val="000000"/>
                <w:sz w:val="16"/>
              </w:rPr>
              <w:t>89,9999995321%</w:t>
            </w:r>
          </w:p>
        </w:tc>
      </w:tr>
      <w:tr w:rsidR="00EC4D24" w14:paraId="5DB1101D"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83C1F7" w14:textId="77777777" w:rsidR="00A77B3E" w:rsidRDefault="00EE0419">
            <w:pPr>
              <w:spacing w:before="100"/>
              <w:rPr>
                <w:color w:val="000000"/>
                <w:sz w:val="16"/>
              </w:rPr>
            </w:pPr>
            <w:r>
              <w:rPr>
                <w:color w:val="000000"/>
                <w:sz w:val="16"/>
              </w:rPr>
              <w:t>Skupaj Vrnitev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B5055C" w14:textId="77777777"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9B7216" w14:textId="77777777"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74A3C3" w14:textId="77777777" w:rsidR="00A77B3E" w:rsidRDefault="00EE0419">
            <w:pPr>
              <w:spacing w:before="100"/>
              <w:jc w:val="right"/>
              <w:rPr>
                <w:color w:val="000000"/>
                <w:sz w:val="16"/>
              </w:rPr>
            </w:pPr>
            <w:r>
              <w:rPr>
                <w:color w:val="000000"/>
                <w:sz w:val="16"/>
              </w:rPr>
              <w:t>9.333.346,42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BB4DBA" w14:textId="77777777" w:rsidR="00A77B3E" w:rsidRDefault="00EE0419">
            <w:pPr>
              <w:spacing w:before="100"/>
              <w:jc w:val="right"/>
              <w:rPr>
                <w:color w:val="000000"/>
                <w:sz w:val="16"/>
              </w:rPr>
            </w:pPr>
            <w:r>
              <w:rPr>
                <w:color w:val="000000"/>
                <w:sz w:val="16"/>
              </w:rPr>
              <w:t>2.982.882,15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A1A2E7" w14:textId="77777777" w:rsidR="00A77B3E" w:rsidRDefault="00EE0419">
            <w:pPr>
              <w:spacing w:before="100"/>
              <w:jc w:val="right"/>
              <w:rPr>
                <w:color w:val="000000"/>
                <w:sz w:val="16"/>
              </w:rPr>
            </w:pPr>
            <w:r>
              <w:rPr>
                <w:color w:val="000000"/>
                <w:sz w:val="16"/>
              </w:rPr>
              <w:t>2.982.882,15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F33296"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E886F2" w14:textId="77777777" w:rsidR="00A77B3E" w:rsidRDefault="00EE0419">
            <w:pPr>
              <w:spacing w:before="100"/>
              <w:jc w:val="right"/>
              <w:rPr>
                <w:color w:val="000000"/>
                <w:sz w:val="16"/>
              </w:rPr>
            </w:pPr>
            <w:r>
              <w:rPr>
                <w:color w:val="000000"/>
                <w:sz w:val="16"/>
              </w:rPr>
              <w:t>12.316.228,57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8DE5AF" w14:textId="77777777" w:rsidR="00A77B3E" w:rsidRDefault="00EE0419">
            <w:pPr>
              <w:spacing w:before="100"/>
              <w:jc w:val="right"/>
              <w:rPr>
                <w:color w:val="000000"/>
                <w:sz w:val="16"/>
              </w:rPr>
            </w:pPr>
            <w:r>
              <w:rPr>
                <w:color w:val="000000"/>
                <w:sz w:val="16"/>
              </w:rPr>
              <w:t>75,7808802179%</w:t>
            </w:r>
          </w:p>
        </w:tc>
      </w:tr>
      <w:tr w:rsidR="00EC4D24" w14:paraId="5C47F6F3"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C40272" w14:textId="77777777" w:rsidR="00A77B3E" w:rsidRPr="00B77948" w:rsidRDefault="00EE0419">
            <w:pPr>
              <w:spacing w:before="100"/>
              <w:rPr>
                <w:color w:val="000000"/>
                <w:sz w:val="16"/>
              </w:rPr>
            </w:pPr>
            <w:r w:rsidRPr="00B77948">
              <w:rPr>
                <w:color w:val="000000"/>
                <w:sz w:val="16"/>
              </w:rPr>
              <w:t>Solidarnost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9ECE6B" w14:textId="77777777" w:rsidR="00A77B3E" w:rsidRPr="00B77948" w:rsidRDefault="00EE0419">
            <w:pPr>
              <w:spacing w:before="100"/>
              <w:rPr>
                <w:color w:val="000000"/>
                <w:sz w:val="16"/>
              </w:rPr>
            </w:pPr>
            <w:r w:rsidRPr="00B77948">
              <w:rPr>
                <w:color w:val="000000"/>
                <w:sz w:val="16"/>
              </w:rPr>
              <w:t>Redni ukrepi</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61B438" w14:textId="77777777" w:rsidR="00A77B3E" w:rsidRPr="00B77948" w:rsidRDefault="00EE0419">
            <w:pPr>
              <w:spacing w:before="100"/>
              <w:rPr>
                <w:color w:val="000000"/>
                <w:sz w:val="16"/>
              </w:rPr>
            </w:pPr>
            <w:r w:rsidRPr="00B77948">
              <w:rPr>
                <w:color w:val="000000"/>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4B778D"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362055"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833AFD"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7ADB25"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35EF1C"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22E8C1" w14:textId="77777777" w:rsidR="00A77B3E" w:rsidRDefault="00A77B3E">
            <w:pPr>
              <w:spacing w:before="100"/>
              <w:jc w:val="right"/>
              <w:rPr>
                <w:color w:val="000000"/>
                <w:sz w:val="16"/>
              </w:rPr>
            </w:pPr>
          </w:p>
        </w:tc>
      </w:tr>
      <w:tr w:rsidR="00EC4D24" w14:paraId="48D0A32F"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D9A304" w14:textId="77777777" w:rsidR="00A77B3E" w:rsidRPr="00B77948" w:rsidRDefault="00EE0419">
            <w:pPr>
              <w:spacing w:before="100"/>
              <w:rPr>
                <w:color w:val="000000"/>
                <w:sz w:val="16"/>
              </w:rPr>
            </w:pPr>
            <w:r w:rsidRPr="00B77948">
              <w:rPr>
                <w:color w:val="000000"/>
                <w:sz w:val="16"/>
              </w:rPr>
              <w:t>Solidarnost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4FA904" w14:textId="77777777" w:rsidR="00A77B3E" w:rsidRPr="00B77948" w:rsidRDefault="00EE0419">
            <w:pPr>
              <w:spacing w:before="100"/>
              <w:rPr>
                <w:color w:val="000000"/>
                <w:sz w:val="16"/>
              </w:rPr>
            </w:pPr>
            <w:r w:rsidRPr="00B77948">
              <w:rPr>
                <w:color w:val="000000"/>
                <w:sz w:val="16"/>
              </w:rPr>
              <w:t>Ukrepi iz Priloge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13F31D" w14:textId="77777777" w:rsidR="00A77B3E" w:rsidRPr="00B77948" w:rsidRDefault="00EE0419">
            <w:pPr>
              <w:spacing w:before="100"/>
              <w:rPr>
                <w:color w:val="000000"/>
                <w:sz w:val="16"/>
              </w:rPr>
            </w:pPr>
            <w:r w:rsidRPr="00B77948">
              <w:rPr>
                <w:color w:val="000000"/>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6298B2"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88B37D"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5A9F8C"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A78F3C"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2EAE4F"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E211C6" w14:textId="77777777" w:rsidR="00A77B3E" w:rsidRDefault="00A77B3E">
            <w:pPr>
              <w:spacing w:before="100"/>
              <w:jc w:val="right"/>
              <w:rPr>
                <w:color w:val="000000"/>
                <w:sz w:val="16"/>
              </w:rPr>
            </w:pPr>
          </w:p>
        </w:tc>
      </w:tr>
      <w:tr w:rsidR="00EC4D24" w14:paraId="722D4B5B"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111C24" w14:textId="77777777" w:rsidR="00A77B3E" w:rsidRDefault="00EE0419">
            <w:pPr>
              <w:spacing w:before="100"/>
              <w:rPr>
                <w:color w:val="000000"/>
                <w:sz w:val="16"/>
              </w:rPr>
            </w:pPr>
            <w:r>
              <w:rPr>
                <w:color w:val="000000"/>
                <w:sz w:val="16"/>
              </w:rPr>
              <w:t>Solidarnost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71514B" w14:textId="77777777" w:rsidR="00A77B3E" w:rsidRDefault="00EE0419">
            <w:pPr>
              <w:spacing w:before="100"/>
              <w:rPr>
                <w:color w:val="000000"/>
                <w:sz w:val="16"/>
              </w:rPr>
            </w:pPr>
            <w:r>
              <w:rPr>
                <w:color w:val="000000"/>
                <w:sz w:val="16"/>
              </w:rPr>
              <w:t>Preselitev in humanitarni sprejem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487746" w14:textId="6F240AA2" w:rsidR="00A77B3E" w:rsidRDefault="00B77948">
            <w:pPr>
              <w:spacing w:before="100"/>
              <w:rPr>
                <w:color w:val="000000"/>
                <w:sz w:val="16"/>
              </w:rPr>
            </w:pPr>
            <w:r w:rsidRPr="00B77948">
              <w:rPr>
                <w:color w:val="000000"/>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1487C7" w14:textId="77777777" w:rsidR="00A77B3E" w:rsidRDefault="00EE0419">
            <w:pPr>
              <w:spacing w:before="100"/>
              <w:jc w:val="right"/>
              <w:rPr>
                <w:color w:val="000000"/>
                <w:sz w:val="16"/>
              </w:rPr>
            </w:pPr>
            <w:r>
              <w:rPr>
                <w:color w:val="000000"/>
                <w:sz w:val="16"/>
              </w:rPr>
              <w:t>250.000,00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A9C4D8"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F16D5C"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FD2290"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23B460" w14:textId="77777777" w:rsidR="00A77B3E" w:rsidRDefault="00EE0419">
            <w:pPr>
              <w:spacing w:before="100"/>
              <w:jc w:val="right"/>
              <w:rPr>
                <w:color w:val="000000"/>
                <w:sz w:val="16"/>
              </w:rPr>
            </w:pPr>
            <w:r>
              <w:rPr>
                <w:color w:val="000000"/>
                <w:sz w:val="16"/>
              </w:rPr>
              <w:t>250.000,00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CB73FC" w14:textId="77777777" w:rsidR="00A77B3E" w:rsidRDefault="00EE0419">
            <w:pPr>
              <w:spacing w:before="100"/>
              <w:jc w:val="right"/>
              <w:rPr>
                <w:color w:val="000000"/>
                <w:sz w:val="16"/>
              </w:rPr>
            </w:pPr>
            <w:r>
              <w:rPr>
                <w:color w:val="000000"/>
                <w:sz w:val="16"/>
              </w:rPr>
              <w:t>100,0000000000%</w:t>
            </w:r>
          </w:p>
        </w:tc>
      </w:tr>
      <w:tr w:rsidR="00B77948" w14:paraId="61B8A8F8"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E79653" w14:textId="609FFA45" w:rsidR="00B77948" w:rsidRPr="00857B1D" w:rsidRDefault="00B77948">
            <w:pPr>
              <w:spacing w:before="100"/>
              <w:rPr>
                <w:color w:val="000000"/>
                <w:sz w:val="16"/>
              </w:rPr>
            </w:pPr>
            <w:r w:rsidRPr="00857B1D">
              <w:rPr>
                <w:color w:val="000000"/>
                <w:sz w:val="16"/>
              </w:rPr>
              <w:t>Solidarnost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7ECA3E" w14:textId="669311C8" w:rsidR="00B77948" w:rsidRPr="00857B1D" w:rsidRDefault="00B77948">
            <w:pPr>
              <w:spacing w:before="100"/>
              <w:rPr>
                <w:color w:val="000000"/>
                <w:sz w:val="16"/>
              </w:rPr>
            </w:pPr>
            <w:r w:rsidRPr="00857B1D">
              <w:rPr>
                <w:color w:val="000000"/>
                <w:sz w:val="16"/>
              </w:rPr>
              <w:t>Mednarodna zaščita (Premestitev 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216911" w14:textId="21347F08" w:rsidR="00B77948" w:rsidRDefault="00B77948">
            <w:pPr>
              <w:spacing w:before="100"/>
              <w:rPr>
                <w:color w:val="000000"/>
                <w:sz w:val="16"/>
              </w:rPr>
            </w:pPr>
            <w:r w:rsidRPr="00B77948">
              <w:rPr>
                <w:color w:val="000000"/>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C88207" w14:textId="0510ADB6" w:rsidR="00B77948" w:rsidRPr="00857B1D" w:rsidRDefault="00B77948">
            <w:pPr>
              <w:spacing w:before="100"/>
              <w:jc w:val="right"/>
              <w:rPr>
                <w:color w:val="000000"/>
                <w:sz w:val="16"/>
              </w:rPr>
            </w:pPr>
            <w:r w:rsidRPr="00857B1D">
              <w:rPr>
                <w:color w:val="000000"/>
                <w:sz w:val="16"/>
              </w:rPr>
              <w:t>50</w:t>
            </w:r>
            <w:r w:rsidR="00DD0230" w:rsidRPr="00857B1D">
              <w:rPr>
                <w:color w:val="000000"/>
                <w:sz w:val="16"/>
              </w:rPr>
              <w:t>.000,00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30F9A5" w14:textId="77777777" w:rsidR="00B77948" w:rsidRPr="00857B1D" w:rsidRDefault="00B77948">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E60422" w14:textId="77777777" w:rsidR="00B77948" w:rsidRPr="00857B1D" w:rsidRDefault="00B77948">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397A58" w14:textId="77777777" w:rsidR="00B77948" w:rsidRPr="00857B1D" w:rsidRDefault="00B77948">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1774AF" w14:textId="24AA1899" w:rsidR="00B77948" w:rsidRPr="00857B1D" w:rsidRDefault="00DD0230">
            <w:pPr>
              <w:spacing w:before="100"/>
              <w:jc w:val="right"/>
              <w:rPr>
                <w:color w:val="000000"/>
                <w:sz w:val="16"/>
              </w:rPr>
            </w:pPr>
            <w:r w:rsidRPr="00857B1D">
              <w:rPr>
                <w:color w:val="000000"/>
                <w:sz w:val="16"/>
              </w:rPr>
              <w:t>50.000,00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E43B03" w14:textId="0E9CA740" w:rsidR="00B77948" w:rsidRPr="00857B1D" w:rsidRDefault="00DD0230">
            <w:pPr>
              <w:spacing w:before="100"/>
              <w:jc w:val="right"/>
              <w:rPr>
                <w:color w:val="000000"/>
                <w:sz w:val="16"/>
              </w:rPr>
            </w:pPr>
            <w:r w:rsidRPr="00857B1D">
              <w:rPr>
                <w:color w:val="000000"/>
                <w:sz w:val="16"/>
              </w:rPr>
              <w:t>100,0000000000%</w:t>
            </w:r>
          </w:p>
        </w:tc>
      </w:tr>
      <w:tr w:rsidR="00EC4D24" w14:paraId="05C07F71"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B0E6D5" w14:textId="77777777" w:rsidR="00A77B3E" w:rsidRDefault="00EE0419">
            <w:pPr>
              <w:spacing w:before="100"/>
              <w:rPr>
                <w:color w:val="000000"/>
                <w:sz w:val="16"/>
              </w:rPr>
            </w:pPr>
            <w:r>
              <w:rPr>
                <w:color w:val="000000"/>
                <w:sz w:val="16"/>
              </w:rPr>
              <w:t>Skupaj Solidarnost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944E1F" w14:textId="77777777"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85E5D0" w14:textId="77777777"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CE1B6D" w14:textId="7889CF2B" w:rsidR="00A77B3E" w:rsidRDefault="001E3F5F" w:rsidP="001E3F5F">
            <w:pPr>
              <w:spacing w:before="100"/>
              <w:jc w:val="right"/>
              <w:rPr>
                <w:color w:val="000000"/>
                <w:sz w:val="16"/>
              </w:rPr>
            </w:pPr>
            <w:r w:rsidRPr="00857B1D">
              <w:rPr>
                <w:color w:val="000000"/>
                <w:sz w:val="16"/>
              </w:rPr>
              <w:t>30</w:t>
            </w:r>
            <w:r w:rsidR="00EE0419" w:rsidRPr="00857B1D">
              <w:rPr>
                <w:color w:val="000000"/>
                <w:sz w:val="16"/>
              </w:rPr>
              <w:t>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FF0DA6"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BB6643"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4EBA5B"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5020BC" w14:textId="74901DBD" w:rsidR="00A77B3E" w:rsidRDefault="001E3F5F" w:rsidP="001E3F5F">
            <w:pPr>
              <w:spacing w:before="100"/>
              <w:jc w:val="right"/>
              <w:rPr>
                <w:color w:val="000000"/>
                <w:sz w:val="16"/>
              </w:rPr>
            </w:pPr>
            <w:r w:rsidRPr="00857B1D">
              <w:rPr>
                <w:color w:val="000000"/>
                <w:sz w:val="16"/>
              </w:rPr>
              <w:t>30</w:t>
            </w:r>
            <w:r w:rsidR="00EE0419" w:rsidRPr="00857B1D">
              <w:rPr>
                <w:color w:val="000000"/>
                <w:sz w:val="16"/>
              </w:rPr>
              <w:t>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048072" w14:textId="77777777" w:rsidR="00A77B3E" w:rsidRDefault="00EE0419">
            <w:pPr>
              <w:spacing w:before="100"/>
              <w:jc w:val="right"/>
              <w:rPr>
                <w:color w:val="000000"/>
                <w:sz w:val="16"/>
              </w:rPr>
            </w:pPr>
            <w:r>
              <w:rPr>
                <w:color w:val="000000"/>
                <w:sz w:val="16"/>
              </w:rPr>
              <w:t>100,0000000000%</w:t>
            </w:r>
          </w:p>
        </w:tc>
      </w:tr>
      <w:tr w:rsidR="00EC4D24" w14:paraId="08586791"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E5C65A" w14:textId="77777777" w:rsidR="00A77B3E" w:rsidRDefault="00EE0419">
            <w:pPr>
              <w:spacing w:before="100"/>
              <w:rPr>
                <w:color w:val="000000"/>
                <w:sz w:val="16"/>
              </w:rPr>
            </w:pPr>
            <w:r>
              <w:rPr>
                <w:color w:val="000000"/>
                <w:sz w:val="16"/>
              </w:rPr>
              <w:t>Tehnična pomoč – pavšalna stopnja(člen 36(5) uredbe o skupnih določbah)</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F73C4B" w14:textId="77777777"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D0DBAB" w14:textId="77777777"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880177" w14:textId="05C1EF3B" w:rsidR="00A77B3E" w:rsidRDefault="00DD0230">
            <w:pPr>
              <w:spacing w:before="100"/>
              <w:jc w:val="right"/>
              <w:rPr>
                <w:color w:val="000000"/>
                <w:sz w:val="16"/>
              </w:rPr>
            </w:pPr>
            <w:r w:rsidRPr="00857B1D">
              <w:rPr>
                <w:color w:val="000000"/>
                <w:sz w:val="16"/>
              </w:rPr>
              <w:t>2.539.504,58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AD23F9"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49D71C"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CE03DF"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774C6A" w14:textId="10C84301" w:rsidR="00A77B3E" w:rsidRDefault="00DD0230">
            <w:pPr>
              <w:spacing w:before="100"/>
              <w:jc w:val="right"/>
              <w:rPr>
                <w:color w:val="000000"/>
                <w:sz w:val="16"/>
              </w:rPr>
            </w:pPr>
            <w:r w:rsidRPr="00857B1D">
              <w:rPr>
                <w:color w:val="000000"/>
                <w:sz w:val="16"/>
              </w:rPr>
              <w:t>2.539.504,58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BB6682" w14:textId="77777777" w:rsidR="00A77B3E" w:rsidRDefault="00EE0419">
            <w:pPr>
              <w:spacing w:before="100"/>
              <w:jc w:val="right"/>
              <w:rPr>
                <w:color w:val="000000"/>
                <w:sz w:val="16"/>
              </w:rPr>
            </w:pPr>
            <w:r>
              <w:rPr>
                <w:color w:val="000000"/>
                <w:sz w:val="16"/>
              </w:rPr>
              <w:t>100,0000000000%</w:t>
            </w:r>
          </w:p>
        </w:tc>
      </w:tr>
      <w:tr w:rsidR="00EC4D24" w14:paraId="580DEC54"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89CD17" w14:textId="77777777" w:rsidR="00A77B3E" w:rsidRDefault="00EE0419">
            <w:pPr>
              <w:spacing w:before="100"/>
              <w:rPr>
                <w:color w:val="000000"/>
                <w:sz w:val="16"/>
              </w:rPr>
            </w:pPr>
            <w:r>
              <w:rPr>
                <w:color w:val="000000"/>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8DB3A9" w14:textId="77777777"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323F19" w14:textId="77777777"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AB80B8" w14:textId="59B4718E" w:rsidR="00A77B3E" w:rsidRDefault="00DD0230">
            <w:pPr>
              <w:spacing w:before="100"/>
              <w:jc w:val="right"/>
              <w:rPr>
                <w:color w:val="000000"/>
                <w:sz w:val="16"/>
              </w:rPr>
            </w:pPr>
            <w:r w:rsidRPr="00857B1D">
              <w:rPr>
                <w:color w:val="000000"/>
                <w:sz w:val="16"/>
              </w:rPr>
              <w:t>44.864.581,00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75D622" w14:textId="513E3937" w:rsidR="00A77B3E" w:rsidRDefault="002C5226">
            <w:pPr>
              <w:spacing w:before="100"/>
              <w:jc w:val="right"/>
              <w:rPr>
                <w:color w:val="000000"/>
                <w:sz w:val="16"/>
              </w:rPr>
            </w:pPr>
            <w:r w:rsidRPr="00857B1D">
              <w:rPr>
                <w:color w:val="000000"/>
                <w:sz w:val="16"/>
              </w:rPr>
              <w:t>11.410.125,50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A48E2D" w14:textId="6429EB6E" w:rsidR="00A77B3E" w:rsidRDefault="002C5226">
            <w:pPr>
              <w:spacing w:before="100"/>
              <w:jc w:val="right"/>
              <w:rPr>
                <w:color w:val="000000"/>
                <w:sz w:val="16"/>
              </w:rPr>
            </w:pPr>
            <w:r w:rsidRPr="00857B1D">
              <w:rPr>
                <w:color w:val="000000"/>
                <w:sz w:val="16"/>
              </w:rPr>
              <w:t>11.410.125,50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EF1430" w14:textId="77777777"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E645FB" w14:textId="2D9E976C" w:rsidR="00A77B3E" w:rsidRDefault="00DD0230">
            <w:pPr>
              <w:spacing w:before="100"/>
              <w:jc w:val="right"/>
              <w:rPr>
                <w:color w:val="000000"/>
                <w:sz w:val="16"/>
              </w:rPr>
            </w:pPr>
            <w:r w:rsidRPr="00857B1D">
              <w:rPr>
                <w:color w:val="000000"/>
                <w:sz w:val="16"/>
              </w:rPr>
              <w:t>56.274.706,50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17B87F" w14:textId="77777777" w:rsidR="00A77B3E" w:rsidRDefault="00EE0419">
            <w:pPr>
              <w:spacing w:before="100"/>
              <w:jc w:val="right"/>
              <w:rPr>
                <w:color w:val="000000"/>
                <w:sz w:val="16"/>
              </w:rPr>
            </w:pPr>
            <w:r>
              <w:rPr>
                <w:color w:val="000000"/>
                <w:sz w:val="16"/>
              </w:rPr>
              <w:t>80,3863491605%</w:t>
            </w:r>
          </w:p>
        </w:tc>
      </w:tr>
    </w:tbl>
    <w:p w14:paraId="293026A9" w14:textId="77777777" w:rsidR="00A77B3E" w:rsidRDefault="00EE0419">
      <w:pPr>
        <w:pStyle w:val="Naslov4"/>
        <w:spacing w:before="100" w:after="0"/>
        <w:rPr>
          <w:b w:val="0"/>
          <w:color w:val="000000"/>
          <w:sz w:val="24"/>
        </w:rPr>
      </w:pPr>
      <w:r>
        <w:rPr>
          <w:b w:val="0"/>
          <w:color w:val="000000"/>
          <w:sz w:val="16"/>
        </w:rPr>
        <w:br w:type="page"/>
      </w:r>
      <w:bookmarkStart w:id="40" w:name="_Toc256000104"/>
      <w:r>
        <w:rPr>
          <w:b w:val="0"/>
          <w:color w:val="000000"/>
          <w:sz w:val="24"/>
        </w:rPr>
        <w:lastRenderedPageBreak/>
        <w:t>Tabela 6A: Načrt zaveze</w:t>
      </w:r>
      <w:bookmarkEnd w:id="40"/>
    </w:p>
    <w:p w14:paraId="3747FA8F" w14:textId="77777777" w:rsidR="00A77B3E" w:rsidRDefault="00A77B3E">
      <w:pPr>
        <w:spacing w:before="100"/>
        <w:rPr>
          <w:color w:val="000000"/>
          <w:sz w:val="12"/>
        </w:rPr>
      </w:pPr>
    </w:p>
    <w:p w14:paraId="5F641FA2"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9"/>
        <w:gridCol w:w="586"/>
        <w:gridCol w:w="440"/>
        <w:gridCol w:w="969"/>
        <w:gridCol w:w="587"/>
        <w:gridCol w:w="587"/>
        <w:gridCol w:w="587"/>
        <w:gridCol w:w="587"/>
      </w:tblGrid>
      <w:tr w:rsidR="00EC4D24" w14:paraId="2205FC5D"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1E61F8" w14:textId="77777777" w:rsidR="00A77B3E" w:rsidRDefault="00A77B3E">
            <w:pPr>
              <w:spacing w:before="100"/>
              <w:rPr>
                <w:color w:val="000000"/>
                <w:sz w:val="16"/>
              </w:rPr>
            </w:pP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A131F2" w14:textId="77777777" w:rsidR="00A77B3E" w:rsidRDefault="00EE0419">
            <w:pPr>
              <w:spacing w:before="100"/>
              <w:jc w:val="center"/>
              <w:rPr>
                <w:color w:val="000000"/>
                <w:sz w:val="16"/>
              </w:rPr>
            </w:pPr>
            <w:r>
              <w:rPr>
                <w:color w:val="000000"/>
                <w:sz w:val="16"/>
              </w:rPr>
              <w:t>Število oseb na leto</w:t>
            </w:r>
          </w:p>
        </w:tc>
      </w:tr>
      <w:tr w:rsidR="00EC4D24" w14:paraId="09EE0C3C" w14:textId="77777777" w:rsidTr="00857B1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AF418B" w14:textId="77777777" w:rsidR="00A77B3E" w:rsidRDefault="00EE0419">
            <w:pPr>
              <w:spacing w:before="100"/>
              <w:jc w:val="center"/>
              <w:rPr>
                <w:color w:val="000000"/>
                <w:sz w:val="16"/>
              </w:rPr>
            </w:pPr>
            <w:r>
              <w:rPr>
                <w:color w:val="000000"/>
                <w:sz w:val="16"/>
              </w:rPr>
              <w:t>Kategorija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724F76" w14:textId="77777777" w:rsidR="00A77B3E" w:rsidRDefault="00EE0419">
            <w:pPr>
              <w:spacing w:before="100"/>
              <w:jc w:val="center"/>
              <w:rPr>
                <w:color w:val="000000"/>
                <w:sz w:val="16"/>
              </w:rPr>
            </w:pPr>
            <w:r>
              <w:rPr>
                <w:color w:val="000000"/>
                <w:sz w:val="16"/>
              </w:rPr>
              <w:t>2021</w:t>
            </w:r>
          </w:p>
        </w:tc>
        <w:tc>
          <w:tcPr>
            <w:tcW w:w="77"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5F0CCE" w14:textId="77777777" w:rsidR="00A77B3E" w:rsidRDefault="00EE0419">
            <w:pPr>
              <w:spacing w:before="100"/>
              <w:jc w:val="center"/>
              <w:rPr>
                <w:color w:val="000000"/>
                <w:sz w:val="16"/>
              </w:rPr>
            </w:pPr>
            <w:r>
              <w:rPr>
                <w:color w:val="000000"/>
                <w:sz w:val="16"/>
              </w:rPr>
              <w:t>2022</w:t>
            </w:r>
          </w:p>
        </w:tc>
        <w:tc>
          <w:tcPr>
            <w:tcW w:w="329"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7AF162" w14:textId="77777777" w:rsidR="00A77B3E" w:rsidRDefault="00EE0419">
            <w:pPr>
              <w:spacing w:before="100"/>
              <w:jc w:val="center"/>
              <w:rPr>
                <w:color w:val="000000"/>
                <w:sz w:val="16"/>
              </w:rPr>
            </w:pPr>
            <w:r>
              <w:rPr>
                <w:color w:val="000000"/>
                <w:sz w:val="16"/>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8B1F6F" w14:textId="77777777" w:rsidR="00A77B3E" w:rsidRDefault="00EE0419">
            <w:pPr>
              <w:spacing w:before="100"/>
              <w:jc w:val="center"/>
              <w:rPr>
                <w:color w:val="000000"/>
                <w:sz w:val="16"/>
              </w:rPr>
            </w:pPr>
            <w:r>
              <w:rPr>
                <w:color w:val="000000"/>
                <w:sz w:val="16"/>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41AF35" w14:textId="77777777" w:rsidR="00A77B3E" w:rsidRDefault="00EE0419">
            <w:pPr>
              <w:spacing w:before="100"/>
              <w:jc w:val="center"/>
              <w:rPr>
                <w:color w:val="000000"/>
                <w:sz w:val="16"/>
              </w:rPr>
            </w:pPr>
            <w:r>
              <w:rPr>
                <w:color w:val="000000"/>
                <w:sz w:val="16"/>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EB3B7A" w14:textId="77777777" w:rsidR="00A77B3E" w:rsidRDefault="00EE0419">
            <w:pPr>
              <w:spacing w:before="100"/>
              <w:jc w:val="center"/>
              <w:rPr>
                <w:color w:val="000000"/>
                <w:sz w:val="16"/>
              </w:rPr>
            </w:pPr>
            <w:r>
              <w:rPr>
                <w:color w:val="000000"/>
                <w:sz w:val="16"/>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558C24" w14:textId="77777777" w:rsidR="00A77B3E" w:rsidRDefault="00EE0419">
            <w:pPr>
              <w:spacing w:before="100"/>
              <w:jc w:val="center"/>
              <w:rPr>
                <w:color w:val="000000"/>
                <w:sz w:val="16"/>
              </w:rPr>
            </w:pPr>
            <w:r>
              <w:rPr>
                <w:color w:val="000000"/>
                <w:sz w:val="16"/>
              </w:rPr>
              <w:t>2027</w:t>
            </w:r>
          </w:p>
        </w:tc>
      </w:tr>
      <w:tr w:rsidR="00F542E5" w14:paraId="66063DC2" w14:textId="77777777" w:rsidTr="00857B1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B84E6E" w14:textId="4251B7B9" w:rsidR="00F542E5" w:rsidRDefault="00F542E5">
            <w:pPr>
              <w:spacing w:before="100"/>
              <w:rPr>
                <w:color w:val="000000"/>
                <w:sz w:val="16"/>
              </w:rPr>
            </w:pPr>
            <w:r w:rsidRPr="00857B1D">
              <w:rPr>
                <w:color w:val="000000"/>
                <w:sz w:val="16"/>
              </w:rPr>
              <w:t>Premestitev</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A5A955" w14:textId="112C1474" w:rsidR="00F542E5" w:rsidRPr="00857B1D" w:rsidRDefault="00F542E5">
            <w:pPr>
              <w:spacing w:before="100"/>
              <w:jc w:val="right"/>
              <w:rPr>
                <w:color w:val="000000"/>
                <w:sz w:val="16"/>
              </w:rPr>
            </w:pPr>
            <w:r w:rsidRPr="00857B1D">
              <w:rPr>
                <w:color w:val="000000"/>
                <w:sz w:val="16"/>
              </w:rPr>
              <w:t>5</w:t>
            </w:r>
          </w:p>
        </w:tc>
        <w:tc>
          <w:tcPr>
            <w:tcW w:w="77"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5DCD6A" w14:textId="77777777" w:rsidR="00F542E5" w:rsidRDefault="00F542E5">
            <w:pPr>
              <w:spacing w:before="100"/>
              <w:jc w:val="right"/>
              <w:rPr>
                <w:color w:val="000000"/>
                <w:sz w:val="16"/>
              </w:rPr>
            </w:pPr>
          </w:p>
        </w:tc>
        <w:tc>
          <w:tcPr>
            <w:tcW w:w="329"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9E2371" w14:textId="77777777" w:rsidR="00F542E5" w:rsidRDefault="00F542E5">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C267E9" w14:textId="77777777" w:rsidR="00F542E5" w:rsidRDefault="00F542E5">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1948E3" w14:textId="77777777" w:rsidR="00F542E5" w:rsidRDefault="00F542E5">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0DEDE0" w14:textId="77777777" w:rsidR="00F542E5" w:rsidRDefault="00F542E5">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6B9A2B" w14:textId="77777777" w:rsidR="00F542E5" w:rsidRDefault="00F542E5">
            <w:pPr>
              <w:spacing w:before="100"/>
              <w:jc w:val="right"/>
              <w:rPr>
                <w:color w:val="000000"/>
                <w:sz w:val="16"/>
              </w:rPr>
            </w:pPr>
          </w:p>
        </w:tc>
      </w:tr>
      <w:tr w:rsidR="00EC4D24" w14:paraId="0CB3DE23" w14:textId="77777777" w:rsidTr="00857B1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581465" w14:textId="77777777" w:rsidR="00A77B3E" w:rsidRDefault="00EE0419">
            <w:pPr>
              <w:spacing w:before="100"/>
              <w:rPr>
                <w:color w:val="000000"/>
                <w:sz w:val="16"/>
              </w:rPr>
            </w:pPr>
            <w:r>
              <w:rPr>
                <w:color w:val="000000"/>
                <w:sz w:val="16"/>
              </w:rPr>
              <w:t>Preselitev</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131BD1" w14:textId="77777777" w:rsidR="00A77B3E" w:rsidRDefault="00A77B3E">
            <w:pPr>
              <w:spacing w:before="100"/>
              <w:jc w:val="right"/>
              <w:rPr>
                <w:color w:val="000000"/>
                <w:sz w:val="16"/>
              </w:rPr>
            </w:pPr>
          </w:p>
        </w:tc>
        <w:tc>
          <w:tcPr>
            <w:tcW w:w="77"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1EF273" w14:textId="77777777" w:rsidR="00A77B3E" w:rsidRDefault="00A77B3E">
            <w:pPr>
              <w:spacing w:before="100"/>
              <w:jc w:val="right"/>
              <w:rPr>
                <w:color w:val="000000"/>
                <w:sz w:val="16"/>
              </w:rPr>
            </w:pPr>
          </w:p>
        </w:tc>
        <w:tc>
          <w:tcPr>
            <w:tcW w:w="329"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47F13B" w14:textId="77777777" w:rsidR="00A77B3E" w:rsidRDefault="00EE0419">
            <w:pPr>
              <w:spacing w:before="100"/>
              <w:jc w:val="right"/>
              <w:rPr>
                <w:color w:val="000000"/>
                <w:sz w:val="16"/>
              </w:rPr>
            </w:pPr>
            <w:r>
              <w:rPr>
                <w:color w:val="000000"/>
                <w:sz w:val="16"/>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FE3AE6"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267AEC"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4682D4"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15E9B7" w14:textId="77777777" w:rsidR="00A77B3E" w:rsidRDefault="00A77B3E">
            <w:pPr>
              <w:spacing w:before="100"/>
              <w:jc w:val="right"/>
              <w:rPr>
                <w:color w:val="000000"/>
                <w:sz w:val="16"/>
              </w:rPr>
            </w:pPr>
          </w:p>
        </w:tc>
      </w:tr>
      <w:tr w:rsidR="00EC4D24" w14:paraId="2E155B1B" w14:textId="77777777" w:rsidTr="00857B1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5D9138" w14:textId="77777777" w:rsidR="00A77B3E" w:rsidRDefault="00EE0419">
            <w:pPr>
              <w:spacing w:before="100"/>
              <w:rPr>
                <w:color w:val="000000"/>
                <w:sz w:val="16"/>
              </w:rPr>
            </w:pPr>
            <w:r>
              <w:rPr>
                <w:color w:val="000000"/>
                <w:sz w:val="16"/>
              </w:rPr>
              <w:t>Humanitarni sprejem v skladu s členom 19(2) uredbe o Skladu za azil, migracije in vključevanje (AMIF)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990D7F" w14:textId="77777777" w:rsidR="00A77B3E" w:rsidRDefault="00A77B3E">
            <w:pPr>
              <w:spacing w:before="100"/>
              <w:jc w:val="right"/>
              <w:rPr>
                <w:color w:val="000000"/>
                <w:sz w:val="16"/>
              </w:rPr>
            </w:pPr>
          </w:p>
        </w:tc>
        <w:tc>
          <w:tcPr>
            <w:tcW w:w="77"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A7C097" w14:textId="77777777" w:rsidR="00A77B3E" w:rsidRDefault="00A77B3E">
            <w:pPr>
              <w:spacing w:before="100"/>
              <w:jc w:val="right"/>
              <w:rPr>
                <w:color w:val="000000"/>
                <w:sz w:val="16"/>
              </w:rPr>
            </w:pPr>
          </w:p>
        </w:tc>
        <w:tc>
          <w:tcPr>
            <w:tcW w:w="329"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9439A6"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745226"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80422B"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770E3D"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6A10DB" w14:textId="77777777" w:rsidR="00A77B3E" w:rsidRDefault="00A77B3E">
            <w:pPr>
              <w:spacing w:before="100"/>
              <w:jc w:val="right"/>
              <w:rPr>
                <w:color w:val="000000"/>
                <w:sz w:val="16"/>
              </w:rPr>
            </w:pPr>
          </w:p>
        </w:tc>
      </w:tr>
      <w:tr w:rsidR="00EC4D24" w14:paraId="240134DC" w14:textId="77777777" w:rsidTr="00857B1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54E178" w14:textId="77777777" w:rsidR="00A77B3E" w:rsidRDefault="00EE0419">
            <w:pPr>
              <w:spacing w:before="100"/>
              <w:rPr>
                <w:color w:val="000000"/>
                <w:sz w:val="16"/>
              </w:rPr>
            </w:pPr>
            <w:r>
              <w:rPr>
                <w:color w:val="000000"/>
                <w:sz w:val="16"/>
              </w:rPr>
              <w:t>Humanitarni sprejem ranljivih oseb v skladu s členom 19(3) uredbe o Skladu za azil, migracije in vključevanje (AMIF)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5A7715" w14:textId="77777777" w:rsidR="00A77B3E" w:rsidRDefault="00A77B3E">
            <w:pPr>
              <w:spacing w:before="100"/>
              <w:jc w:val="right"/>
              <w:rPr>
                <w:color w:val="000000"/>
                <w:sz w:val="16"/>
              </w:rPr>
            </w:pPr>
          </w:p>
        </w:tc>
        <w:tc>
          <w:tcPr>
            <w:tcW w:w="77"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974D32" w14:textId="77777777" w:rsidR="00A77B3E" w:rsidRDefault="00A77B3E">
            <w:pPr>
              <w:spacing w:before="100"/>
              <w:jc w:val="right"/>
              <w:rPr>
                <w:color w:val="000000"/>
                <w:sz w:val="16"/>
              </w:rPr>
            </w:pPr>
          </w:p>
        </w:tc>
        <w:tc>
          <w:tcPr>
            <w:tcW w:w="329"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797EEF"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0775C2"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3D72B6"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6684C9"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00F69A" w14:textId="77777777" w:rsidR="00A77B3E" w:rsidRDefault="00A77B3E">
            <w:pPr>
              <w:spacing w:before="100"/>
              <w:jc w:val="right"/>
              <w:rPr>
                <w:color w:val="000000"/>
                <w:sz w:val="16"/>
              </w:rPr>
            </w:pPr>
          </w:p>
        </w:tc>
      </w:tr>
    </w:tbl>
    <w:p w14:paraId="5D559743" w14:textId="77777777" w:rsidR="00A77B3E" w:rsidRDefault="00EE0419">
      <w:pPr>
        <w:spacing w:before="100"/>
        <w:rPr>
          <w:color w:val="000000"/>
        </w:rPr>
      </w:pPr>
      <w:r>
        <w:rPr>
          <w:color w:val="000000"/>
          <w:sz w:val="16"/>
        </w:rPr>
        <w:br w:type="page"/>
      </w:r>
    </w:p>
    <w:p w14:paraId="3798E026" w14:textId="77777777" w:rsidR="00A77B3E" w:rsidRDefault="00EE0419">
      <w:pPr>
        <w:pStyle w:val="Naslov2"/>
        <w:spacing w:before="100" w:after="0"/>
        <w:rPr>
          <w:rFonts w:ascii="Times New Roman" w:hAnsi="Times New Roman" w:cs="Times New Roman"/>
          <w:b w:val="0"/>
          <w:i w:val="0"/>
          <w:color w:val="000000"/>
          <w:sz w:val="24"/>
        </w:rPr>
      </w:pPr>
      <w:bookmarkStart w:id="41" w:name="_Toc256000105"/>
      <w:r>
        <w:rPr>
          <w:rFonts w:ascii="Times New Roman" w:hAnsi="Times New Roman" w:cs="Times New Roman"/>
          <w:b w:val="0"/>
          <w:i w:val="0"/>
          <w:color w:val="000000"/>
          <w:sz w:val="24"/>
        </w:rPr>
        <w:lastRenderedPageBreak/>
        <w:t>3.3. Prerazporeditve</w:t>
      </w:r>
      <w:bookmarkEnd w:id="41"/>
    </w:p>
    <w:p w14:paraId="7EDBE07A" w14:textId="77777777" w:rsidR="00A77B3E" w:rsidRDefault="00EE0419">
      <w:pPr>
        <w:pStyle w:val="Naslov3"/>
        <w:spacing w:before="100" w:after="0"/>
        <w:rPr>
          <w:rFonts w:ascii="Times New Roman" w:hAnsi="Times New Roman" w:cs="Times New Roman"/>
          <w:b w:val="0"/>
          <w:color w:val="000000"/>
          <w:sz w:val="0"/>
        </w:rPr>
      </w:pPr>
      <w:bookmarkStart w:id="42" w:name="_Toc256000106"/>
      <w:r>
        <w:rPr>
          <w:rFonts w:ascii="Times New Roman" w:hAnsi="Times New Roman" w:cs="Times New Roman"/>
          <w:b w:val="0"/>
          <w:color w:val="000000"/>
          <w:sz w:val="24"/>
        </w:rPr>
        <w:t>Tabela 7: Prerazporeditve med skladi z deljenim upravljanjem</w:t>
      </w:r>
      <w:r>
        <w:rPr>
          <w:rFonts w:ascii="Times New Roman" w:hAnsi="Times New Roman" w:cs="Times New Roman"/>
          <w:b w:val="0"/>
          <w:color w:val="000000"/>
          <w:sz w:val="24"/>
          <w:vertAlign w:val="superscript"/>
        </w:rPr>
        <w:t>1</w:t>
      </w:r>
      <w:bookmarkEnd w:id="42"/>
    </w:p>
    <w:p w14:paraId="543F9DE2"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6"/>
        <w:gridCol w:w="1092"/>
        <w:gridCol w:w="1381"/>
        <w:gridCol w:w="1310"/>
        <w:gridCol w:w="1215"/>
        <w:gridCol w:w="3137"/>
        <w:gridCol w:w="1261"/>
        <w:gridCol w:w="1430"/>
      </w:tblGrid>
      <w:tr w:rsidR="00EC4D24" w14:paraId="7F782350" w14:textId="77777777">
        <w:trPr>
          <w:trHeight w:val="160"/>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98C0CB" w14:textId="77777777" w:rsidR="00A77B3E" w:rsidRDefault="00EE0419">
            <w:pPr>
              <w:spacing w:before="100"/>
              <w:jc w:val="center"/>
              <w:rPr>
                <w:color w:val="000000"/>
              </w:rPr>
            </w:pPr>
            <w:r>
              <w:rPr>
                <w:color w:val="000000"/>
              </w:rPr>
              <w:t>Prerazporeditveni sklad</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28EF7C" w14:textId="77777777" w:rsidR="00A77B3E" w:rsidRDefault="00EE0419">
            <w:pPr>
              <w:spacing w:before="100"/>
              <w:jc w:val="center"/>
              <w:rPr>
                <w:color w:val="000000"/>
              </w:rPr>
            </w:pPr>
            <w:r>
              <w:rPr>
                <w:color w:val="000000"/>
              </w:rPr>
              <w:t>Sklad prejemnik</w:t>
            </w:r>
          </w:p>
        </w:tc>
      </w:tr>
      <w:tr w:rsidR="00EC4D24" w14:paraId="136897C4" w14:textId="77777777">
        <w:trPr>
          <w:trHeight w:val="160"/>
          <w:tblHeader/>
        </w:trPr>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EFA7E7" w14:textId="77777777" w:rsidR="00A77B3E" w:rsidRDefault="00A77B3E">
            <w:pPr>
              <w:spacing w:before="100"/>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091BDE" w14:textId="77777777" w:rsidR="00A77B3E" w:rsidRDefault="00EE0419">
            <w:pPr>
              <w:spacing w:before="100"/>
              <w:jc w:val="center"/>
              <w:rPr>
                <w:color w:val="000000"/>
              </w:rPr>
            </w:pPr>
            <w:r>
              <w:rPr>
                <w:color w:val="000000"/>
              </w:rPr>
              <w:t>SNV</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7ECA0B" w14:textId="77777777" w:rsidR="00A77B3E" w:rsidRDefault="00EE0419">
            <w:pPr>
              <w:spacing w:before="100"/>
              <w:jc w:val="center"/>
              <w:rPr>
                <w:color w:val="000000"/>
              </w:rPr>
            </w:pPr>
            <w:r>
              <w:rPr>
                <w:color w:val="000000"/>
              </w:rPr>
              <w:t>IUMV</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1A0341" w14:textId="77777777" w:rsidR="00A77B3E" w:rsidRDefault="00EE0419">
            <w:pPr>
              <w:spacing w:before="100"/>
              <w:jc w:val="center"/>
              <w:rPr>
                <w:color w:val="000000"/>
              </w:rPr>
            </w:pPr>
            <w:r>
              <w:rPr>
                <w:color w:val="000000"/>
              </w:rPr>
              <w:t>ESRR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FBA6CF" w14:textId="77777777" w:rsidR="00A77B3E" w:rsidRDefault="00EE0419">
            <w:pPr>
              <w:spacing w:before="100"/>
              <w:jc w:val="center"/>
              <w:rPr>
                <w:color w:val="000000"/>
              </w:rPr>
            </w:pPr>
            <w:r>
              <w:rPr>
                <w:color w:val="000000"/>
              </w:rPr>
              <w:t>ESS+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3B3701" w14:textId="77777777" w:rsidR="00A77B3E" w:rsidRDefault="00EE0419">
            <w:pPr>
              <w:spacing w:before="100"/>
              <w:jc w:val="center"/>
              <w:rPr>
                <w:color w:val="000000"/>
              </w:rPr>
            </w:pPr>
            <w:r>
              <w:rPr>
                <w:color w:val="000000"/>
              </w:rPr>
              <w:t>Kohezijski sklad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B9F91B" w14:textId="77777777" w:rsidR="00A77B3E" w:rsidRDefault="00EE0419">
            <w:pPr>
              <w:spacing w:before="100"/>
              <w:jc w:val="center"/>
              <w:rPr>
                <w:color w:val="000000"/>
              </w:rPr>
            </w:pPr>
            <w:r>
              <w:rPr>
                <w:color w:val="000000"/>
              </w:rPr>
              <w:t>ESPR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964F30" w14:textId="77777777" w:rsidR="00A77B3E" w:rsidRDefault="00EE0419">
            <w:pPr>
              <w:spacing w:before="100"/>
              <w:jc w:val="center"/>
              <w:rPr>
                <w:color w:val="000000"/>
              </w:rPr>
            </w:pPr>
            <w:r>
              <w:rPr>
                <w:color w:val="000000"/>
              </w:rPr>
              <w:t>Skupaj</w:t>
            </w:r>
          </w:p>
        </w:tc>
      </w:tr>
      <w:tr w:rsidR="00EC4D24" w14:paraId="0B3F98B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92FDF1" w14:textId="77777777" w:rsidR="00A77B3E" w:rsidRDefault="00EE0419">
            <w:pPr>
              <w:spacing w:before="100"/>
              <w:jc w:val="center"/>
              <w:rPr>
                <w:color w:val="000000"/>
              </w:rPr>
            </w:pPr>
            <w:r>
              <w:rPr>
                <w:color w:val="000000"/>
              </w:rPr>
              <w:t>AMIF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24C1D1" w14:textId="77777777" w:rsidR="00A77B3E"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2C62C5" w14:textId="77777777" w:rsidR="00A77B3E"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D5CBFF" w14:textId="77777777" w:rsidR="00A77B3E"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FFEAD3" w14:textId="77777777" w:rsidR="00A77B3E"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E07DC9" w14:textId="77777777" w:rsidR="00A77B3E"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467FC2" w14:textId="77777777" w:rsidR="00A77B3E"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9FF324" w14:textId="77777777" w:rsidR="00A77B3E" w:rsidRDefault="00A77B3E">
            <w:pPr>
              <w:spacing w:before="100"/>
              <w:jc w:val="right"/>
              <w:rPr>
                <w:color w:val="000000"/>
              </w:rPr>
            </w:pPr>
          </w:p>
        </w:tc>
      </w:tr>
    </w:tbl>
    <w:p w14:paraId="21D2D996" w14:textId="77777777" w:rsidR="00A77B3E" w:rsidRDefault="00EE0419">
      <w:pPr>
        <w:spacing w:before="100"/>
        <w:rPr>
          <w:color w:val="000000"/>
        </w:rPr>
      </w:pPr>
      <w:r>
        <w:rPr>
          <w:color w:val="000000"/>
          <w:vertAlign w:val="superscript"/>
        </w:rPr>
        <w:t>1</w:t>
      </w:r>
      <w:r>
        <w:rPr>
          <w:color w:val="000000"/>
        </w:rPr>
        <w:t>Kumulativni zneski za vse prerazporeditve v programskem obdobju</w:t>
      </w:r>
    </w:p>
    <w:p w14:paraId="30F203F1" w14:textId="77777777" w:rsidR="00A77B3E" w:rsidRPr="00857B1D" w:rsidRDefault="00EE0419">
      <w:pPr>
        <w:pStyle w:val="Naslov3"/>
        <w:spacing w:before="100" w:after="0"/>
        <w:rPr>
          <w:rFonts w:ascii="Times New Roman" w:hAnsi="Times New Roman" w:cs="Times New Roman"/>
          <w:b w:val="0"/>
          <w:color w:val="000000"/>
          <w:sz w:val="0"/>
          <w:lang w:val="it-IT"/>
        </w:rPr>
      </w:pPr>
      <w:r w:rsidRPr="00857B1D">
        <w:rPr>
          <w:rFonts w:ascii="Times New Roman" w:hAnsi="Times New Roman" w:cs="Times New Roman"/>
          <w:b w:val="0"/>
          <w:color w:val="000000"/>
          <w:sz w:val="24"/>
          <w:lang w:val="it-IT"/>
        </w:rPr>
        <w:br w:type="page"/>
      </w:r>
      <w:bookmarkStart w:id="43" w:name="_Toc256000107"/>
      <w:r w:rsidRPr="00857B1D">
        <w:rPr>
          <w:rFonts w:ascii="Times New Roman" w:hAnsi="Times New Roman" w:cs="Times New Roman"/>
          <w:b w:val="0"/>
          <w:color w:val="000000"/>
          <w:sz w:val="24"/>
          <w:lang w:val="it-IT"/>
        </w:rPr>
        <w:lastRenderedPageBreak/>
        <w:t>Tabela 8: Prerazporeditve v instrumente v okviru neposrednega ali posrednega upravljanja</w:t>
      </w:r>
      <w:r w:rsidRPr="00857B1D">
        <w:rPr>
          <w:rFonts w:ascii="Times New Roman" w:hAnsi="Times New Roman" w:cs="Times New Roman"/>
          <w:b w:val="0"/>
          <w:color w:val="000000"/>
          <w:sz w:val="24"/>
          <w:vertAlign w:val="superscript"/>
          <w:lang w:val="it-IT"/>
        </w:rPr>
        <w:t>1</w:t>
      </w:r>
      <w:bookmarkEnd w:id="43"/>
    </w:p>
    <w:p w14:paraId="4F8E1415" w14:textId="77777777" w:rsidR="00A77B3E" w:rsidRPr="00857B1D" w:rsidRDefault="00A77B3E">
      <w:pPr>
        <w:spacing w:before="100"/>
        <w:rPr>
          <w:color w:val="000000"/>
          <w:sz w:val="1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3"/>
        <w:gridCol w:w="10199"/>
      </w:tblGrid>
      <w:tr w:rsidR="00EC4D24" w14:paraId="664572F6"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A55A2D" w14:textId="77777777" w:rsidR="00A77B3E" w:rsidRDefault="00EE0419">
            <w:pPr>
              <w:spacing w:before="100"/>
              <w:jc w:val="center"/>
              <w:rPr>
                <w:color w:val="000000"/>
              </w:rPr>
            </w:pPr>
            <w:r>
              <w:rPr>
                <w:color w:val="000000"/>
              </w:rPr>
              <w:t>Instrument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811D15" w14:textId="77777777" w:rsidR="00A77B3E" w:rsidRDefault="00EE0419">
            <w:pPr>
              <w:spacing w:before="100"/>
              <w:jc w:val="center"/>
              <w:rPr>
                <w:color w:val="000000"/>
              </w:rPr>
            </w:pPr>
            <w:r>
              <w:rPr>
                <w:color w:val="000000"/>
              </w:rPr>
              <w:t>Znesek prerazporeditve</w:t>
            </w:r>
          </w:p>
        </w:tc>
      </w:tr>
    </w:tbl>
    <w:p w14:paraId="11583A63" w14:textId="77777777" w:rsidR="00A77B3E" w:rsidRDefault="00EE0419">
      <w:pPr>
        <w:spacing w:before="100"/>
        <w:rPr>
          <w:color w:val="000000"/>
        </w:rPr>
        <w:sectPr w:rsidR="00A77B3E">
          <w:headerReference w:type="even" r:id="rId73"/>
          <w:headerReference w:type="default" r:id="rId74"/>
          <w:footerReference w:type="even" r:id="rId75"/>
          <w:footerReference w:type="default" r:id="rId76"/>
          <w:headerReference w:type="first" r:id="rId77"/>
          <w:footerReference w:type="first" r:id="rId78"/>
          <w:pgSz w:w="16838" w:h="11906" w:orient="landscape"/>
          <w:pgMar w:top="720" w:right="720" w:bottom="864" w:left="936" w:header="288" w:footer="72" w:gutter="0"/>
          <w:cols w:space="720"/>
          <w:noEndnote/>
          <w:docGrid w:linePitch="360"/>
        </w:sectPr>
      </w:pPr>
      <w:r>
        <w:rPr>
          <w:color w:val="000000"/>
          <w:vertAlign w:val="superscript"/>
        </w:rPr>
        <w:t>1</w:t>
      </w:r>
      <w:r>
        <w:rPr>
          <w:color w:val="000000"/>
        </w:rPr>
        <w:t>Kumulativni zneski za vse prerazporeditve v programskem obdobju</w:t>
      </w:r>
    </w:p>
    <w:p w14:paraId="00C4947A" w14:textId="77777777" w:rsidR="00A77B3E" w:rsidRDefault="00EE0419">
      <w:pPr>
        <w:pStyle w:val="Naslov1"/>
        <w:spacing w:before="100" w:after="0"/>
        <w:rPr>
          <w:rFonts w:ascii="Times New Roman" w:hAnsi="Times New Roman" w:cs="Times New Roman"/>
          <w:b w:val="0"/>
          <w:color w:val="000000"/>
          <w:sz w:val="24"/>
        </w:rPr>
      </w:pPr>
      <w:bookmarkStart w:id="44" w:name="_Toc256000108"/>
      <w:r>
        <w:rPr>
          <w:rFonts w:ascii="Times New Roman" w:hAnsi="Times New Roman" w:cs="Times New Roman"/>
          <w:b w:val="0"/>
          <w:color w:val="000000"/>
          <w:sz w:val="24"/>
        </w:rPr>
        <w:lastRenderedPageBreak/>
        <w:t>4. Omogočitveni pogoji</w:t>
      </w:r>
      <w:bookmarkEnd w:id="44"/>
    </w:p>
    <w:p w14:paraId="1080BBC1" w14:textId="77777777" w:rsidR="00A77B3E" w:rsidRDefault="00EE0419">
      <w:pPr>
        <w:spacing w:before="100"/>
        <w:rPr>
          <w:color w:val="000000"/>
        </w:rPr>
      </w:pPr>
      <w:r>
        <w:rPr>
          <w:color w:val="000000"/>
        </w:rPr>
        <w:t>Sklic: člen 22(3)(i) uredbe o skupnih določbah</w:t>
      </w:r>
    </w:p>
    <w:p w14:paraId="35AF8DC4" w14:textId="77777777" w:rsidR="00A77B3E" w:rsidRDefault="00EE0419">
      <w:pPr>
        <w:pStyle w:val="Naslov2"/>
        <w:spacing w:before="100" w:after="0"/>
        <w:rPr>
          <w:rFonts w:ascii="Times New Roman" w:hAnsi="Times New Roman" w:cs="Times New Roman"/>
          <w:b w:val="0"/>
          <w:i w:val="0"/>
          <w:color w:val="000000"/>
          <w:sz w:val="24"/>
        </w:rPr>
      </w:pPr>
      <w:bookmarkStart w:id="45" w:name="_Toc256000109"/>
      <w:r>
        <w:rPr>
          <w:rFonts w:ascii="Times New Roman" w:hAnsi="Times New Roman" w:cs="Times New Roman"/>
          <w:b w:val="0"/>
          <w:i w:val="0"/>
          <w:color w:val="000000"/>
          <w:sz w:val="24"/>
        </w:rPr>
        <w:t>Tabela 9: Horizontalni omogočitveni pogoji</w:t>
      </w:r>
      <w:bookmarkEnd w:id="45"/>
    </w:p>
    <w:p w14:paraId="2ADE7574" w14:textId="77777777" w:rsidR="00A77B3E" w:rsidRDefault="00A77B3E">
      <w:pPr>
        <w:spacing w:before="100"/>
        <w:rPr>
          <w:color w:val="000000"/>
          <w:sz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600"/>
        <w:gridCol w:w="3600"/>
        <w:gridCol w:w="1600"/>
        <w:gridCol w:w="3600"/>
        <w:gridCol w:w="3600"/>
      </w:tblGrid>
      <w:tr w:rsidR="00EC4D24" w14:paraId="20B48964" w14:textId="77777777">
        <w:trPr>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4CABD2" w14:textId="77777777" w:rsidR="00A77B3E" w:rsidRDefault="00EE0419">
            <w:pPr>
              <w:spacing w:before="100"/>
              <w:jc w:val="center"/>
              <w:rPr>
                <w:color w:val="000000"/>
                <w:sz w:val="20"/>
              </w:rPr>
            </w:pPr>
            <w:r>
              <w:rPr>
                <w:color w:val="000000"/>
                <w:sz w:val="20"/>
              </w:rPr>
              <w:t>Omogočitveni pogoj</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687879" w14:textId="77777777" w:rsidR="00A77B3E" w:rsidRDefault="00EE0419">
            <w:pPr>
              <w:spacing w:before="100"/>
              <w:jc w:val="center"/>
              <w:rPr>
                <w:color w:val="000000"/>
                <w:sz w:val="20"/>
              </w:rPr>
            </w:pPr>
            <w:r>
              <w:rPr>
                <w:color w:val="000000"/>
                <w:sz w:val="20"/>
              </w:rPr>
              <w:t>Izpolnjevanje omogočitvenega pogoja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E283FD" w14:textId="77777777" w:rsidR="00A77B3E" w:rsidRDefault="00EE0419">
            <w:pPr>
              <w:spacing w:before="100"/>
              <w:jc w:val="center"/>
              <w:rPr>
                <w:color w:val="000000"/>
                <w:sz w:val="20"/>
              </w:rPr>
            </w:pPr>
            <w:r>
              <w:rPr>
                <w:color w:val="000000"/>
                <w:sz w:val="20"/>
              </w:rPr>
              <w:t>Merila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EE4611" w14:textId="77777777" w:rsidR="00A77B3E" w:rsidRDefault="00EE0419">
            <w:pPr>
              <w:spacing w:before="100"/>
              <w:jc w:val="center"/>
              <w:rPr>
                <w:color w:val="000000"/>
                <w:sz w:val="20"/>
              </w:rPr>
            </w:pPr>
            <w:r>
              <w:rPr>
                <w:color w:val="000000"/>
                <w:sz w:val="20"/>
              </w:rPr>
              <w:t>Izpolnjevanje meril</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02ED1E" w14:textId="77777777" w:rsidR="00A77B3E" w:rsidRDefault="00EE0419">
            <w:pPr>
              <w:spacing w:before="100"/>
              <w:jc w:val="center"/>
              <w:rPr>
                <w:color w:val="000000"/>
                <w:sz w:val="20"/>
              </w:rPr>
            </w:pPr>
            <w:r>
              <w:rPr>
                <w:color w:val="000000"/>
                <w:sz w:val="20"/>
              </w:rPr>
              <w:t>Sklic na zadevne dokumente</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4F63CE" w14:textId="77777777" w:rsidR="00A77B3E" w:rsidRDefault="00EE0419">
            <w:pPr>
              <w:spacing w:before="100"/>
              <w:jc w:val="center"/>
              <w:rPr>
                <w:color w:val="000000"/>
                <w:sz w:val="20"/>
              </w:rPr>
            </w:pPr>
            <w:r>
              <w:rPr>
                <w:color w:val="000000"/>
                <w:sz w:val="20"/>
              </w:rPr>
              <w:t>Utemeljitev</w:t>
            </w:r>
          </w:p>
        </w:tc>
      </w:tr>
      <w:tr w:rsidR="00EC4D24" w14:paraId="088EC529"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07739B" w14:textId="77777777" w:rsidR="00A77B3E" w:rsidRDefault="00EE0419">
            <w:pPr>
              <w:spacing w:before="100"/>
              <w:rPr>
                <w:color w:val="000000"/>
                <w:sz w:val="20"/>
              </w:rPr>
            </w:pPr>
            <w:r>
              <w:rPr>
                <w:color w:val="000000"/>
                <w:sz w:val="20"/>
              </w:rPr>
              <w:t>1. Učinkoviti mehanizmi spremljanja trga javnih naročil</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EAD694" w14:textId="77777777" w:rsidR="00A77B3E" w:rsidRDefault="00EE0419">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36BA5D" w14:textId="77777777" w:rsidR="00A77B3E" w:rsidRDefault="00EE0419">
            <w:pPr>
              <w:spacing w:before="100"/>
              <w:rPr>
                <w:color w:val="000000"/>
                <w:sz w:val="20"/>
              </w:rPr>
            </w:pPr>
            <w:r>
              <w:rPr>
                <w:color w:val="000000"/>
                <w:sz w:val="20"/>
              </w:rPr>
              <w:t>Vzpostavljeni so mehanizmi za spremljanje, ki zajemajo vse javne pogodbe in njihova javna naročila v okviru skladov v skladu z zakonodajo Unije o javnih naročilih. Ta zahteva vključuje:1. ureditve za zagotovitev zbiranja učinkovitih in zanesljivih podatkov o postopkih javnega naročanja nad mejnimi vrednostmi Unije v skladu z obveznostmi poročanja iz členov 83 in 84 Direktive 2014/24/EU ter členov 99 in 100 Direktive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987061" w14:textId="77777777" w:rsidR="00A77B3E" w:rsidRDefault="00EE0419">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1C16FA" w14:textId="77777777" w:rsidR="00A77B3E" w:rsidRPr="00857B1D" w:rsidRDefault="00EE0419">
            <w:pPr>
              <w:spacing w:before="100"/>
              <w:rPr>
                <w:color w:val="000000"/>
                <w:sz w:val="20"/>
                <w:lang w:val="it-IT"/>
              </w:rPr>
            </w:pPr>
            <w:r w:rsidRPr="00857B1D">
              <w:rPr>
                <w:color w:val="000000"/>
                <w:sz w:val="20"/>
                <w:lang w:val="it-IT"/>
              </w:rPr>
              <w:t xml:space="preserve">- Zakon o javnem naročanju (ZJN-3) </w:t>
            </w:r>
          </w:p>
          <w:p w14:paraId="1EAA3137" w14:textId="77777777" w:rsidR="00A77B3E" w:rsidRPr="00857B1D" w:rsidRDefault="00EE0419">
            <w:pPr>
              <w:spacing w:before="100"/>
              <w:rPr>
                <w:color w:val="000000"/>
                <w:sz w:val="20"/>
                <w:lang w:val="it-IT"/>
              </w:rPr>
            </w:pPr>
            <w:r w:rsidRPr="00857B1D">
              <w:rPr>
                <w:color w:val="000000"/>
                <w:sz w:val="20"/>
                <w:lang w:val="it-IT"/>
              </w:rPr>
              <w:t>(http://www.pisrs.si/Pis.web/pregledPredpisa?id=ZAKO7086)</w:t>
            </w:r>
          </w:p>
          <w:p w14:paraId="022ECDE5" w14:textId="77777777" w:rsidR="00A77B3E" w:rsidRPr="00857B1D" w:rsidRDefault="00A77B3E">
            <w:pPr>
              <w:spacing w:before="100"/>
              <w:rPr>
                <w:color w:val="000000"/>
                <w:sz w:val="20"/>
                <w:lang w:val="it-IT"/>
              </w:rPr>
            </w:pPr>
          </w:p>
          <w:p w14:paraId="589D8589" w14:textId="77777777" w:rsidR="00A77B3E" w:rsidRPr="00857B1D" w:rsidRDefault="00EE0419">
            <w:pPr>
              <w:spacing w:before="100"/>
              <w:rPr>
                <w:color w:val="000000"/>
                <w:sz w:val="20"/>
                <w:lang w:val="it-IT"/>
              </w:rPr>
            </w:pPr>
            <w:r w:rsidRPr="00857B1D">
              <w:rPr>
                <w:color w:val="000000"/>
                <w:sz w:val="20"/>
                <w:lang w:val="it-IT"/>
              </w:rPr>
              <w:t>- Pravilnik o vrstah in načinu zbiranja podatkov za letno statistično poročilo o oddaji javnih naročil</w:t>
            </w:r>
          </w:p>
          <w:p w14:paraId="2E18AD38" w14:textId="77777777" w:rsidR="00A77B3E" w:rsidRPr="00857B1D" w:rsidRDefault="00EE0419">
            <w:pPr>
              <w:spacing w:before="100"/>
              <w:rPr>
                <w:color w:val="000000"/>
                <w:sz w:val="20"/>
                <w:lang w:val="it-IT"/>
              </w:rPr>
            </w:pPr>
            <w:r w:rsidRPr="00857B1D">
              <w:rPr>
                <w:color w:val="000000"/>
                <w:sz w:val="20"/>
                <w:lang w:val="it-IT"/>
              </w:rPr>
              <w:t>(http://www.pisrs.si/Pis.web/pregledPredpisa?id=PRAV12700)</w:t>
            </w:r>
          </w:p>
          <w:p w14:paraId="03B9FCAA" w14:textId="77777777" w:rsidR="00A77B3E" w:rsidRPr="00857B1D" w:rsidRDefault="00A77B3E">
            <w:pPr>
              <w:spacing w:before="100"/>
              <w:rPr>
                <w:color w:val="000000"/>
                <w:sz w:val="20"/>
                <w:lang w:val="it-IT"/>
              </w:rPr>
            </w:pPr>
          </w:p>
          <w:p w14:paraId="111EA588" w14:textId="77777777" w:rsidR="00A77B3E" w:rsidRPr="00857B1D" w:rsidRDefault="00EE0419">
            <w:pPr>
              <w:spacing w:before="100"/>
              <w:rPr>
                <w:color w:val="000000"/>
                <w:sz w:val="20"/>
                <w:lang w:val="it-IT"/>
              </w:rPr>
            </w:pPr>
            <w:r w:rsidRPr="00857B1D">
              <w:rPr>
                <w:color w:val="000000"/>
                <w:sz w:val="20"/>
                <w:lang w:val="it-IT"/>
              </w:rPr>
              <w:t xml:space="preserve">- Statistična poročila za vsako posamezno leto so dostopna na: </w:t>
            </w:r>
          </w:p>
          <w:p w14:paraId="5FC1067B" w14:textId="77777777" w:rsidR="00A77B3E" w:rsidRPr="00857B1D" w:rsidRDefault="00EE0419">
            <w:pPr>
              <w:spacing w:before="100"/>
              <w:rPr>
                <w:color w:val="000000"/>
                <w:sz w:val="20"/>
                <w:lang w:val="it-IT"/>
              </w:rPr>
            </w:pPr>
            <w:r w:rsidRPr="00857B1D">
              <w:rPr>
                <w:color w:val="000000"/>
                <w:sz w:val="20"/>
                <w:lang w:val="it-IT"/>
              </w:rPr>
              <w:t>https://ejn.gov.si/direktorat/porocila-in-analize.html</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227FBE" w14:textId="77777777" w:rsidR="00A77B3E" w:rsidRPr="00857B1D" w:rsidRDefault="00EE0419">
            <w:pPr>
              <w:spacing w:before="100"/>
              <w:rPr>
                <w:color w:val="000000"/>
                <w:sz w:val="20"/>
                <w:lang w:val="it-IT"/>
              </w:rPr>
            </w:pPr>
            <w:r w:rsidRPr="00857B1D">
              <w:rPr>
                <w:color w:val="000000"/>
                <w:sz w:val="20"/>
                <w:lang w:val="it-IT"/>
              </w:rPr>
              <w:t>V skladu s 114. členom ZJN-3 Ministrstvo za javno upravo (MJU) zagotavlja spremljanje uporabe pravil o javnem naročanju. Kadar ugotovi ali prejme podatke, ki kažejo na posamezne kršitve ali sistemske težave obvesti Urad Republike Slovenije za nadzor proračuna, Računsko sodišče Republike Slovenije, Državno revizijsko komisijo, Agencijo Republike Slovenije za varstvo konkurence (AVK) ali Komisijo za preprečevanje korupcije. MJU vsaka tri leta poroča o rezultatih spremljanja Evropski komisiji. Poročilo je informacija javnega značaja.</w:t>
            </w:r>
          </w:p>
          <w:p w14:paraId="458B5472" w14:textId="77777777" w:rsidR="00A77B3E" w:rsidRPr="00857B1D" w:rsidRDefault="00A77B3E">
            <w:pPr>
              <w:spacing w:before="100"/>
              <w:rPr>
                <w:color w:val="000000"/>
                <w:sz w:val="20"/>
                <w:lang w:val="it-IT"/>
              </w:rPr>
            </w:pPr>
          </w:p>
          <w:p w14:paraId="0D336AA4" w14:textId="77777777" w:rsidR="00A77B3E" w:rsidRDefault="00EE0419">
            <w:pPr>
              <w:spacing w:before="100"/>
              <w:rPr>
                <w:color w:val="000000"/>
                <w:sz w:val="20"/>
              </w:rPr>
            </w:pPr>
            <w:r w:rsidRPr="00857B1D">
              <w:rPr>
                <w:color w:val="000000"/>
                <w:sz w:val="20"/>
                <w:lang w:val="it-IT"/>
              </w:rPr>
              <w:t xml:space="preserve">V skladu s 106. - 108. členom ZJN-3 MJU pripravi letno statistično poročilo o javnih naročilih, oddanih v Sloveniji na podlagi obvestil o oddanih javnih naročilih v preteklem letu, objavljenih na portalu javnih naročil oziroma v Uradnem listu EU, in iz sporočenih statističnih podatkov o evidenčnih naročilih. </w:t>
            </w:r>
            <w:r>
              <w:rPr>
                <w:color w:val="000000"/>
                <w:sz w:val="20"/>
              </w:rPr>
              <w:t>ZJN-3 določa tudi vsebino statističnega poročila in razčlenitev podatkov.</w:t>
            </w:r>
          </w:p>
        </w:tc>
      </w:tr>
      <w:tr w:rsidR="00EC4D24" w14:paraId="53EDF769"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2E767B"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843C8D"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13CE54" w14:textId="77777777" w:rsidR="00A77B3E" w:rsidRDefault="00EE0419">
            <w:pPr>
              <w:spacing w:before="100"/>
              <w:rPr>
                <w:color w:val="000000"/>
                <w:sz w:val="20"/>
              </w:rPr>
            </w:pPr>
            <w:r>
              <w:rPr>
                <w:color w:val="000000"/>
                <w:sz w:val="20"/>
              </w:rPr>
              <w:t xml:space="preserve">2. ureditve za zagotovitev, da podatki zajemajo vsaj naslednje elemente: </w:t>
            </w:r>
          </w:p>
          <w:p w14:paraId="2FDF55F1" w14:textId="77777777" w:rsidR="00A77B3E" w:rsidRDefault="00EE0419">
            <w:pPr>
              <w:spacing w:before="100"/>
              <w:rPr>
                <w:color w:val="000000"/>
                <w:sz w:val="20"/>
              </w:rPr>
            </w:pPr>
            <w:r>
              <w:rPr>
                <w:color w:val="000000"/>
                <w:sz w:val="20"/>
              </w:rPr>
              <w:t xml:space="preserve">(a) kakovost in intenzivnost konkurence: imena izbranega ponudnika, število prvotnih ponudnikov in pogodbena vrednost, </w:t>
            </w:r>
          </w:p>
          <w:p w14:paraId="25F0C7D5" w14:textId="77777777" w:rsidR="00A77B3E" w:rsidRDefault="00EE0419">
            <w:pPr>
              <w:spacing w:before="100"/>
              <w:rPr>
                <w:color w:val="000000"/>
                <w:sz w:val="20"/>
              </w:rPr>
            </w:pPr>
            <w:r>
              <w:rPr>
                <w:color w:val="000000"/>
                <w:sz w:val="20"/>
              </w:rPr>
              <w:lastRenderedPageBreak/>
              <w:t>(b) informacije o končni ceni po dokončanju in o udeležbi MSP kot neposrednih ponudnikov, kadar nacionalni sistemi zagotavljajo take informacije;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2F0295" w14:textId="77777777" w:rsidR="00A77B3E" w:rsidRDefault="00EE0419">
            <w:pPr>
              <w:spacing w:before="100"/>
              <w:jc w:val="center"/>
              <w:rPr>
                <w:color w:val="000000"/>
                <w:sz w:val="20"/>
              </w:rPr>
            </w:pPr>
            <w:r>
              <w:rPr>
                <w:color w:val="000000"/>
                <w:sz w:val="20"/>
              </w:rPr>
              <w:lastRenderedPageBreak/>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82DD8E" w14:textId="77777777" w:rsidR="00A77B3E" w:rsidRDefault="00EE0419">
            <w:pPr>
              <w:spacing w:before="100"/>
              <w:rPr>
                <w:color w:val="000000"/>
                <w:sz w:val="20"/>
              </w:rPr>
            </w:pPr>
            <w:r>
              <w:rPr>
                <w:color w:val="000000"/>
                <w:sz w:val="20"/>
              </w:rPr>
              <w:t>Portal javnih naročil</w:t>
            </w:r>
          </w:p>
          <w:p w14:paraId="6E7A58BD" w14:textId="77777777" w:rsidR="00A77B3E" w:rsidRDefault="00EE0419">
            <w:pPr>
              <w:spacing w:before="100"/>
              <w:rPr>
                <w:color w:val="000000"/>
                <w:sz w:val="20"/>
              </w:rPr>
            </w:pPr>
            <w:r>
              <w:rPr>
                <w:color w:val="000000"/>
                <w:sz w:val="20"/>
              </w:rPr>
              <w:t>https://www.enarocanje.si/</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AB47CA" w14:textId="77777777" w:rsidR="00A77B3E" w:rsidRDefault="00EE0419">
            <w:pPr>
              <w:spacing w:before="100"/>
              <w:rPr>
                <w:color w:val="000000"/>
                <w:sz w:val="20"/>
              </w:rPr>
            </w:pPr>
            <w:r>
              <w:rPr>
                <w:color w:val="000000"/>
                <w:sz w:val="20"/>
              </w:rPr>
              <w:t xml:space="preserve">Vsi zahtevani podatki so del obvestil o oddaji javnih naročil, ki jih naročniki objavijo na portalu javnih naročil, ki predstavlja enoten dostop do informacij o javnem naročanju in zagotavlja objavo vseh bistvenih podatkov v zvezi s postopkom oddaje javnega naročila (tj. obvestila o javnih naročilih, razpisna </w:t>
            </w:r>
            <w:r>
              <w:rPr>
                <w:color w:val="000000"/>
                <w:sz w:val="20"/>
              </w:rPr>
              <w:lastRenderedPageBreak/>
              <w:t>dokumentacija, odločitve o oddaji naročila, obvestila o oddaji naročil, ki vsebujejo tudi informacije o sodelovanju MSP itd.).</w:t>
            </w:r>
          </w:p>
        </w:tc>
      </w:tr>
      <w:tr w:rsidR="00EC4D24" w:rsidRPr="00857B1D" w14:paraId="51606998"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39479D"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7D5563"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417A79" w14:textId="77777777" w:rsidR="00A77B3E" w:rsidRDefault="00EE0419">
            <w:pPr>
              <w:spacing w:before="100"/>
              <w:rPr>
                <w:color w:val="000000"/>
                <w:sz w:val="20"/>
              </w:rPr>
            </w:pPr>
            <w:r>
              <w:rPr>
                <w:color w:val="000000"/>
                <w:sz w:val="20"/>
              </w:rPr>
              <w:t>3. ureditve za zagotovitev spremljanja in analize podatkov s strani pristojnih nacionalnih organov v skladu s členom 83(2) Direktive 2014/24/EU in členom 99(2) Direktive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04670C" w14:textId="77777777" w:rsidR="00A77B3E" w:rsidRDefault="00EE0419">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F21133" w14:textId="77777777" w:rsidR="00A77B3E" w:rsidRPr="00857B1D" w:rsidRDefault="00EE0419">
            <w:pPr>
              <w:spacing w:before="100"/>
              <w:rPr>
                <w:color w:val="000000"/>
                <w:sz w:val="20"/>
                <w:lang w:val="it-IT"/>
              </w:rPr>
            </w:pPr>
            <w:r w:rsidRPr="00857B1D">
              <w:rPr>
                <w:color w:val="000000"/>
                <w:sz w:val="20"/>
                <w:lang w:val="it-IT"/>
              </w:rPr>
              <w:t>Zakon o javnem naročanju (ZJN-3)</w:t>
            </w:r>
          </w:p>
          <w:p w14:paraId="698AA332" w14:textId="77777777" w:rsidR="00A77B3E" w:rsidRPr="00857B1D" w:rsidRDefault="00EE0419">
            <w:pPr>
              <w:spacing w:before="100"/>
              <w:rPr>
                <w:color w:val="000000"/>
                <w:sz w:val="20"/>
                <w:lang w:val="it-IT"/>
              </w:rPr>
            </w:pPr>
            <w:r w:rsidRPr="00857B1D">
              <w:rPr>
                <w:color w:val="000000"/>
                <w:sz w:val="20"/>
                <w:lang w:val="it-IT"/>
              </w:rPr>
              <w:t>http://www.pisrs.si/Pis.web/pregledPredpisa?id=ZAKO7086</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A3B4EC" w14:textId="77777777" w:rsidR="00A77B3E" w:rsidRPr="00857B1D" w:rsidRDefault="00EE0419">
            <w:pPr>
              <w:spacing w:before="100"/>
              <w:rPr>
                <w:color w:val="000000"/>
                <w:sz w:val="20"/>
                <w:lang w:val="it-IT"/>
              </w:rPr>
            </w:pPr>
            <w:r w:rsidRPr="00857B1D">
              <w:rPr>
                <w:color w:val="000000"/>
                <w:sz w:val="20"/>
                <w:lang w:val="it-IT"/>
              </w:rPr>
              <w:t>V skladu s prvim odstavkom 114. člena ZJN-3 je spremljanje uporabe pravil javnega naročanja v pristojnosti MJU, ki v primeru, ko ugotovi ali prejme podatke, ki kažejo na posamezne kršitve ali sistemske težave, o njih obvesti pristojne nacionalne organe, ki jih ustrezno obravnavajo. Te informacije se zbirajo in po potrebi identificirajo na različne načine, npr. preko letnega statističnega poročanja; različnih vrst iniciativ različnih deležnikov, predvsem različnih dogodkih, kot so izobraževanja in usposabljanja; preko vzpostavljene enotne kontaktne točke za pomoč naročnikom in gospodarskim subjektom, enotnega kontaktnega centra državne uprave za tehnično pomoč preko telefonskih in pisnih svetovanj, itd.</w:t>
            </w:r>
          </w:p>
        </w:tc>
      </w:tr>
      <w:tr w:rsidR="00EC4D24" w14:paraId="44C3A184"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BFDE55" w14:textId="77777777" w:rsidR="00A77B3E" w:rsidRPr="00857B1D" w:rsidRDefault="00A77B3E">
            <w:pPr>
              <w:spacing w:before="100"/>
              <w:rPr>
                <w:color w:val="000000"/>
                <w:sz w:val="20"/>
                <w:lang w:val="it-IT"/>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C15539" w14:textId="77777777" w:rsidR="00A77B3E" w:rsidRPr="00857B1D" w:rsidRDefault="00A77B3E">
            <w:pPr>
              <w:spacing w:before="100"/>
              <w:rPr>
                <w:color w:val="000000"/>
                <w:sz w:val="20"/>
                <w:lang w:val="it-IT"/>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EF2660" w14:textId="77777777" w:rsidR="00A77B3E" w:rsidRPr="00857B1D" w:rsidRDefault="00EE0419">
            <w:pPr>
              <w:spacing w:before="100"/>
              <w:rPr>
                <w:color w:val="000000"/>
                <w:sz w:val="20"/>
                <w:lang w:val="it-IT"/>
              </w:rPr>
            </w:pPr>
            <w:r w:rsidRPr="00857B1D">
              <w:rPr>
                <w:color w:val="000000"/>
                <w:sz w:val="20"/>
                <w:lang w:val="it-IT"/>
              </w:rPr>
              <w:t>4. ureditve za dajanje izidov analize na razpolago javnosti v skladu s členom 83(3) Direktive 2014/24/EU in členom 99(3) Direktive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A01355" w14:textId="77777777" w:rsidR="00A77B3E" w:rsidRDefault="00EE0419">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12716D" w14:textId="77777777" w:rsidR="00A77B3E" w:rsidRDefault="00EE0419">
            <w:pPr>
              <w:spacing w:before="100"/>
              <w:rPr>
                <w:color w:val="000000"/>
                <w:sz w:val="20"/>
              </w:rPr>
            </w:pPr>
            <w:r>
              <w:rPr>
                <w:color w:val="000000"/>
                <w:sz w:val="20"/>
              </w:rPr>
              <w:t>Slovensko poročilo je skupaj s poročili drugih držav članic na voljo na spletni strani Evropske komisije:</w:t>
            </w:r>
          </w:p>
          <w:p w14:paraId="6B9662B9" w14:textId="77777777" w:rsidR="00A77B3E" w:rsidRDefault="00EE0419">
            <w:pPr>
              <w:spacing w:before="100"/>
              <w:rPr>
                <w:color w:val="000000"/>
                <w:sz w:val="20"/>
              </w:rPr>
            </w:pPr>
            <w:r>
              <w:rPr>
                <w:color w:val="000000"/>
                <w:sz w:val="20"/>
              </w:rPr>
              <w:t>https://ec.europa.eu/growth/singlemarket/public-procurement/countryreports_en</w:t>
            </w:r>
          </w:p>
          <w:p w14:paraId="0356446D" w14:textId="77777777" w:rsidR="00A77B3E" w:rsidRDefault="00A77B3E">
            <w:pPr>
              <w:spacing w:before="100"/>
              <w:rPr>
                <w:color w:val="000000"/>
                <w:sz w:val="20"/>
              </w:rPr>
            </w:pPr>
          </w:p>
          <w:p w14:paraId="1F8BCEC2" w14:textId="77777777" w:rsidR="00A77B3E" w:rsidRDefault="00EE0419">
            <w:pPr>
              <w:spacing w:before="100"/>
              <w:rPr>
                <w:color w:val="000000"/>
                <w:sz w:val="20"/>
              </w:rPr>
            </w:pPr>
            <w:r>
              <w:rPr>
                <w:color w:val="000000"/>
                <w:sz w:val="20"/>
              </w:rPr>
              <w:t>Vsa državna statistična poročila o oddanih javnih naročilih v Republiki Sloveniji, v katerih MJU analizira stanje javnega naročanja za vsako posamezno leto, so dostopna na:</w:t>
            </w:r>
          </w:p>
          <w:p w14:paraId="5187B50D" w14:textId="77777777" w:rsidR="00A77B3E" w:rsidRDefault="00EE0419">
            <w:pPr>
              <w:spacing w:before="100"/>
              <w:rPr>
                <w:color w:val="000000"/>
                <w:sz w:val="20"/>
              </w:rPr>
            </w:pPr>
            <w:r>
              <w:rPr>
                <w:color w:val="000000"/>
                <w:sz w:val="20"/>
              </w:rPr>
              <w:t>https://ejn.gov.si/direktorat/porocila-in-analize.html</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39A5FD" w14:textId="77777777" w:rsidR="00A77B3E" w:rsidRDefault="00EE0419">
            <w:pPr>
              <w:spacing w:before="100"/>
              <w:rPr>
                <w:color w:val="000000"/>
                <w:sz w:val="20"/>
              </w:rPr>
            </w:pPr>
            <w:r>
              <w:rPr>
                <w:color w:val="000000"/>
                <w:sz w:val="20"/>
              </w:rPr>
              <w:t>Rezultati spremljanja uporabe pravil javnega naročanja so del nacionalnega poročanja Evropski komisiji, ki poteka vsaka 3 leta. Poročilo je informacija javnega značaja. Za večjo preglednost rezultatov spremljanja bo MJU na svojih spletnih straneh v delu Poročila in analize (skupaj z nacionalnimi letnimi statističnimi poročili, ki so že objavljena z vsebino, kot predstavljeno v točki 1) objavilo tudi povezavo na omenjeno spletno stran Evropske komisije.</w:t>
            </w:r>
          </w:p>
          <w:p w14:paraId="64A1B4D2" w14:textId="77777777" w:rsidR="00A77B3E" w:rsidRDefault="00A77B3E">
            <w:pPr>
              <w:spacing w:before="100"/>
              <w:rPr>
                <w:color w:val="000000"/>
                <w:sz w:val="20"/>
              </w:rPr>
            </w:pPr>
          </w:p>
          <w:p w14:paraId="2AA2DB4B" w14:textId="77777777" w:rsidR="00A77B3E" w:rsidRDefault="00EE0419">
            <w:pPr>
              <w:spacing w:before="100"/>
              <w:rPr>
                <w:color w:val="000000"/>
                <w:sz w:val="20"/>
              </w:rPr>
            </w:pPr>
            <w:r>
              <w:rPr>
                <w:color w:val="000000"/>
                <w:sz w:val="20"/>
              </w:rPr>
              <w:t xml:space="preserve">Sicer pa so običajno vse odločitve in poročila, ki jih sprejmejo različni državni </w:t>
            </w:r>
            <w:r>
              <w:rPr>
                <w:color w:val="000000"/>
                <w:sz w:val="20"/>
              </w:rPr>
              <w:lastRenderedPageBreak/>
              <w:t>organi (Državna revizijska komisija za revizijo postopkov oddaje javnih naročil, Komisija za preprečevanje korupcije, Računsko sodišče Republike Slovenije), vsak v okviru svoje pristojnosti na področju javnih naročil kot t.i. zagovorniki javnega interesa na podlagi zakona, ki ureja pravno varstvo v postopkih javnega naročanja, objavljeni na njihovih spletnih straneh. Poročila poleg ugotovitev vsebujejo tudi priporočila za izboljšanje sistemske ureditve javnega naročanja.</w:t>
            </w:r>
          </w:p>
        </w:tc>
      </w:tr>
      <w:tr w:rsidR="00EC4D24" w14:paraId="4CA6821A"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18138E"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B2F6D1"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B38DAA" w14:textId="77777777" w:rsidR="00A77B3E" w:rsidRDefault="00EE0419">
            <w:pPr>
              <w:spacing w:before="100"/>
              <w:rPr>
                <w:color w:val="000000"/>
                <w:sz w:val="20"/>
              </w:rPr>
            </w:pPr>
            <w:r>
              <w:rPr>
                <w:color w:val="000000"/>
                <w:sz w:val="20"/>
              </w:rPr>
              <w:t>5. ureditve za zagotovitev, da se vse informacije, ki kažejo na domnevne primere manipulacij pri razpisnih postopkih, sporočijo pristojnim nacionalnim telesom v skladu s členom 83(2) Direktive 2014/24/EU in členom 99(2) Direktive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4E6F26" w14:textId="77777777" w:rsidR="00A77B3E" w:rsidRDefault="00EE0419">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0AEE14" w14:textId="77777777" w:rsidR="00A77B3E" w:rsidRPr="00857B1D" w:rsidRDefault="00EE0419">
            <w:pPr>
              <w:spacing w:before="100"/>
              <w:rPr>
                <w:color w:val="000000"/>
                <w:sz w:val="20"/>
                <w:lang w:val="it-IT"/>
              </w:rPr>
            </w:pPr>
            <w:r w:rsidRPr="00857B1D">
              <w:rPr>
                <w:color w:val="000000"/>
                <w:sz w:val="20"/>
                <w:lang w:val="it-IT"/>
              </w:rPr>
              <w:t>Zakon o javnem naročanju (ZJN-3)</w:t>
            </w:r>
          </w:p>
          <w:p w14:paraId="575C56F9" w14:textId="77777777" w:rsidR="00A77B3E" w:rsidRPr="00857B1D" w:rsidRDefault="00EE0419">
            <w:pPr>
              <w:spacing w:before="100"/>
              <w:rPr>
                <w:color w:val="000000"/>
                <w:sz w:val="20"/>
                <w:lang w:val="it-IT"/>
              </w:rPr>
            </w:pPr>
            <w:r w:rsidRPr="00857B1D">
              <w:rPr>
                <w:color w:val="000000"/>
                <w:sz w:val="20"/>
                <w:lang w:val="it-IT"/>
              </w:rPr>
              <w:t>http://www.pisrs.si/Pis.web/pregledPredpisa?id=ZAKO7086</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8162E8" w14:textId="77777777" w:rsidR="00A77B3E" w:rsidRPr="00857B1D" w:rsidRDefault="00EE0419">
            <w:pPr>
              <w:spacing w:before="100"/>
              <w:rPr>
                <w:color w:val="000000"/>
                <w:sz w:val="20"/>
                <w:lang w:val="it-IT"/>
              </w:rPr>
            </w:pPr>
            <w:r w:rsidRPr="00857B1D">
              <w:rPr>
                <w:color w:val="000000"/>
                <w:sz w:val="20"/>
                <w:lang w:val="it-IT"/>
              </w:rPr>
              <w:t>V skladu z ZJN-3 (114. člen) MJU zagotavlja spremljanje uporabe pravil o javnem naročanju (JN). Ko ugotovi ali prejme podatke, ki kažejo na posamezne kršitve ali sistemske težave, obvesti pristojne organe (Urad RS za nadzor proračuna, Računsko sodišče RS, Državno revizijsko komisijo, Agencijo RS za varstvo konkurence (AVK) ali Komisijo za preprečevanje korupcije), ki vsak ustrezno ukrepajo. Ta obveznost izhaja iz zakona, zato dodatni dogovori niso sklenjeni. Državni organi so dolžni spoštovati vso relevantno pozitivno zakonodajo, vključno s pravili poslovanja in postopkovnimi pravili. ZJN-3 opredeljuje izključitvene razloge, povezane z omejevanjem konkurence (75. člen).</w:t>
            </w:r>
          </w:p>
          <w:p w14:paraId="5ABC0697" w14:textId="77777777" w:rsidR="00A77B3E" w:rsidRPr="00857B1D" w:rsidRDefault="00A77B3E">
            <w:pPr>
              <w:spacing w:before="100"/>
              <w:rPr>
                <w:color w:val="000000"/>
                <w:sz w:val="20"/>
                <w:lang w:val="it-IT"/>
              </w:rPr>
            </w:pPr>
          </w:p>
          <w:p w14:paraId="7A55C46A" w14:textId="77777777" w:rsidR="00A77B3E" w:rsidRPr="00857B1D" w:rsidRDefault="00EE0419">
            <w:pPr>
              <w:spacing w:before="100"/>
              <w:rPr>
                <w:color w:val="000000"/>
                <w:sz w:val="20"/>
                <w:lang w:val="it-IT"/>
              </w:rPr>
            </w:pPr>
            <w:r w:rsidRPr="00857B1D">
              <w:rPr>
                <w:color w:val="000000"/>
                <w:sz w:val="20"/>
                <w:lang w:val="it-IT"/>
              </w:rPr>
              <w:t xml:space="preserve">Preventivno vpliva tudi informatizacija postopka JN. Visoka transparentnost (objava obvestil, sklepov o oddaji, pogodb, razpisnih cen) je eden ključnih ukrepov v boju proti nedovoljenem dogovarjanju. MJU in AVK redno izvajata pregled stanja sistema JN. AVK izvaja zagovorništvo </w:t>
            </w:r>
            <w:r w:rsidRPr="00857B1D">
              <w:rPr>
                <w:color w:val="000000"/>
                <w:sz w:val="20"/>
                <w:lang w:val="it-IT"/>
              </w:rPr>
              <w:lastRenderedPageBreak/>
              <w:t>javnega interesa glede konkurence in svetuje naročnikom. Izvedeno je bilo izobraževanje o prepoznavanju in poročanju o usklajenih ravnanjih v postopkih JN, ki je javno dostopno.</w:t>
            </w:r>
          </w:p>
          <w:p w14:paraId="475D167C" w14:textId="77777777" w:rsidR="00A77B3E" w:rsidRPr="00857B1D" w:rsidRDefault="00A77B3E">
            <w:pPr>
              <w:spacing w:before="100"/>
              <w:rPr>
                <w:color w:val="000000"/>
                <w:sz w:val="20"/>
                <w:lang w:val="it-IT"/>
              </w:rPr>
            </w:pPr>
          </w:p>
          <w:p w14:paraId="5934762D" w14:textId="77777777" w:rsidR="00A77B3E" w:rsidRDefault="00EE0419">
            <w:pPr>
              <w:spacing w:before="100"/>
              <w:rPr>
                <w:color w:val="000000"/>
                <w:sz w:val="20"/>
              </w:rPr>
            </w:pPr>
            <w:r>
              <w:rPr>
                <w:color w:val="000000"/>
                <w:sz w:val="20"/>
              </w:rPr>
              <w:t>Glej tudi merili 1 in 3.</w:t>
            </w:r>
          </w:p>
        </w:tc>
      </w:tr>
      <w:tr w:rsidR="00EC4D24" w:rsidRPr="00857B1D" w14:paraId="5EEB44BB"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D9EC8C" w14:textId="77777777" w:rsidR="00A77B3E" w:rsidRPr="00857B1D" w:rsidRDefault="00EE0419">
            <w:pPr>
              <w:spacing w:before="100"/>
              <w:rPr>
                <w:color w:val="000000"/>
                <w:sz w:val="20"/>
                <w:lang w:val="it-IT"/>
              </w:rPr>
            </w:pPr>
            <w:r w:rsidRPr="00857B1D">
              <w:rPr>
                <w:color w:val="000000"/>
                <w:sz w:val="20"/>
                <w:lang w:val="it-IT"/>
              </w:rPr>
              <w:lastRenderedPageBreak/>
              <w:t>3. Učinkovita uporaba in izvajanje Listine o temeljnih pravicah</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548D2E" w14:textId="77777777" w:rsidR="00A77B3E" w:rsidRDefault="00EE0419">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B8DAC8" w14:textId="77777777" w:rsidR="00A77B3E" w:rsidRDefault="00EE0419">
            <w:pPr>
              <w:spacing w:before="100"/>
              <w:rPr>
                <w:color w:val="000000"/>
                <w:sz w:val="20"/>
              </w:rPr>
            </w:pPr>
            <w:r>
              <w:rPr>
                <w:color w:val="000000"/>
                <w:sz w:val="20"/>
              </w:rPr>
              <w:t xml:space="preserve">Vzpostavljeni so učinkoviti mehanizmi za zagotavljanje skladnosti z Listino Evropske unije o temeljnih pravicah (v nadaljevanju: Listina), ki vključujejo: </w:t>
            </w:r>
          </w:p>
          <w:p w14:paraId="29ADDF8F" w14:textId="77777777" w:rsidR="00A77B3E" w:rsidRDefault="00EE0419">
            <w:pPr>
              <w:spacing w:before="100"/>
              <w:rPr>
                <w:color w:val="000000"/>
                <w:sz w:val="20"/>
              </w:rPr>
            </w:pPr>
            <w:r>
              <w:rPr>
                <w:color w:val="000000"/>
                <w:sz w:val="20"/>
              </w:rPr>
              <w:t>1. ureditve za zagotovitev skladnosti programov, ki jih podpirajo skladi, in njihovega izvajanja z ustreznimi določbami Listine;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662D92" w14:textId="77777777" w:rsidR="00A77B3E" w:rsidRDefault="00EE0419">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EEEB7F" w14:textId="77777777" w:rsidR="00A77B3E" w:rsidRDefault="00EE0419">
            <w:pPr>
              <w:spacing w:before="100"/>
              <w:rPr>
                <w:color w:val="000000"/>
                <w:sz w:val="20"/>
              </w:rPr>
            </w:pPr>
            <w:r>
              <w:rPr>
                <w:color w:val="000000"/>
                <w:sz w:val="20"/>
              </w:rPr>
              <w:t>Smiselna uporaba Postopkovnika za zagotavljanje horizontalnega omogočitvenega pogoja “Učinkovita uporaba in izvajanje Listine o temeljnih pravicah” Službe Vlade RS za razvoj in evropsko kohezijsko politiko (v nadaljevanju: Postopkovnik) do sprejema programskih dokumentov: Opis sistema upravljanja in nadzora za sklade s področja notranje varnosti in migracij 2021-2027, Priročnika organa upravljanja ter Navodil organa upravljanja.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CD161D" w14:textId="77777777" w:rsidR="00A77B3E" w:rsidRPr="00857B1D" w:rsidRDefault="00EE0419">
            <w:pPr>
              <w:spacing w:before="100"/>
              <w:rPr>
                <w:color w:val="000000"/>
                <w:sz w:val="20"/>
                <w:lang w:val="it-IT"/>
              </w:rPr>
            </w:pPr>
            <w:r w:rsidRPr="00857B1D">
              <w:rPr>
                <w:color w:val="000000"/>
                <w:sz w:val="20"/>
                <w:lang w:val="it-IT"/>
              </w:rPr>
              <w:t>Listina EU o temeljnih pravicah je bila upoštevana pri pripravi Programa ter bo tudi pri izvajanju, spremljanju in vrednotenju. V Sloveniji je Varuh človekovih pravic nadzornik oblasti, ki s svojim delovanjem omejuje njeno samovoljo pri poseganju v človekove pravice in temeljne svoboščin in deluje v primeru kakršnekoli kršitve katerekoli pravice posameznika s strani nosilcev oblasti. Je eden izmed ključnih deležnikov, ki bo vključen v vse faze izvajanja Programa.</w:t>
            </w:r>
          </w:p>
          <w:p w14:paraId="1ED65278" w14:textId="77777777" w:rsidR="00A77B3E" w:rsidRPr="00857B1D" w:rsidRDefault="00A77B3E">
            <w:pPr>
              <w:spacing w:before="100"/>
              <w:rPr>
                <w:color w:val="000000"/>
                <w:sz w:val="20"/>
                <w:lang w:val="it-IT"/>
              </w:rPr>
            </w:pPr>
          </w:p>
          <w:p w14:paraId="1F26952C" w14:textId="77777777" w:rsidR="00A77B3E" w:rsidRPr="00857B1D" w:rsidRDefault="00EE0419">
            <w:pPr>
              <w:spacing w:before="100"/>
              <w:rPr>
                <w:color w:val="000000"/>
                <w:sz w:val="20"/>
                <w:lang w:val="it-IT"/>
              </w:rPr>
            </w:pPr>
            <w:r w:rsidRPr="00857B1D">
              <w:rPr>
                <w:color w:val="000000"/>
                <w:sz w:val="20"/>
                <w:lang w:val="it-IT"/>
              </w:rPr>
              <w:t>Postopki preverjanja skladnosti operacij kot tudi naloge organov bodo določeni v Opisu sistema upravljanja in nadzora, Priročniku organa upravljanja ter Navodilih organa upravljanja. Merila za preverjanje skladnosti operacij z Listino bodo vključena v kontrolne liste.</w:t>
            </w:r>
          </w:p>
          <w:p w14:paraId="263568B7" w14:textId="77777777" w:rsidR="00A77B3E" w:rsidRPr="00857B1D" w:rsidRDefault="00A77B3E">
            <w:pPr>
              <w:spacing w:before="100"/>
              <w:rPr>
                <w:color w:val="000000"/>
                <w:sz w:val="20"/>
                <w:lang w:val="it-IT"/>
              </w:rPr>
            </w:pPr>
          </w:p>
          <w:p w14:paraId="69FF0301" w14:textId="77777777" w:rsidR="00A77B3E" w:rsidRPr="00857B1D" w:rsidRDefault="00EE0419">
            <w:pPr>
              <w:spacing w:before="100"/>
              <w:rPr>
                <w:color w:val="000000"/>
                <w:sz w:val="20"/>
                <w:lang w:val="it-IT"/>
              </w:rPr>
            </w:pPr>
            <w:r w:rsidRPr="00857B1D">
              <w:rPr>
                <w:color w:val="000000"/>
                <w:sz w:val="20"/>
                <w:lang w:val="it-IT"/>
              </w:rPr>
              <w:t xml:space="preserve">Priprava dokumentov bo potekala v sodelovanju z Varuhom človekovih pravic RS, do njihove uveljavitve pa se bo smiselno upošteval Postopkovnik. </w:t>
            </w:r>
          </w:p>
          <w:p w14:paraId="772324FC" w14:textId="77777777" w:rsidR="00A77B3E" w:rsidRPr="00857B1D" w:rsidRDefault="00A77B3E">
            <w:pPr>
              <w:spacing w:before="100"/>
              <w:rPr>
                <w:color w:val="000000"/>
                <w:sz w:val="20"/>
                <w:lang w:val="it-IT"/>
              </w:rPr>
            </w:pPr>
          </w:p>
          <w:p w14:paraId="1A4EDFC5" w14:textId="77777777" w:rsidR="00A77B3E" w:rsidRPr="00857B1D" w:rsidRDefault="00EE0419">
            <w:pPr>
              <w:spacing w:before="100"/>
              <w:rPr>
                <w:color w:val="000000"/>
                <w:sz w:val="20"/>
                <w:lang w:val="it-IT"/>
              </w:rPr>
            </w:pPr>
            <w:r w:rsidRPr="00857B1D">
              <w:rPr>
                <w:color w:val="000000"/>
                <w:sz w:val="20"/>
                <w:lang w:val="it-IT"/>
              </w:rPr>
              <w:t xml:space="preserve">OU bo v sodelovanju s pristojnim Varuhom človekovih pravic RS izvedel </w:t>
            </w:r>
            <w:r w:rsidRPr="00857B1D">
              <w:rPr>
                <w:color w:val="000000"/>
                <w:sz w:val="20"/>
                <w:lang w:val="it-IT"/>
              </w:rPr>
              <w:lastRenderedPageBreak/>
              <w:t>usposabljanja za osebe, ki bodo preverjale skladnost operacij z Listino, ter drugih ključnih deležnikov.</w:t>
            </w:r>
          </w:p>
        </w:tc>
      </w:tr>
      <w:tr w:rsidR="00EC4D24" w14:paraId="76BF3C13"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B8B4AC" w14:textId="77777777" w:rsidR="00A77B3E" w:rsidRPr="00857B1D" w:rsidRDefault="00A77B3E">
            <w:pPr>
              <w:spacing w:before="100"/>
              <w:rPr>
                <w:color w:val="000000"/>
                <w:sz w:val="20"/>
                <w:lang w:val="it-IT"/>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F7CBD5" w14:textId="77777777" w:rsidR="00A77B3E" w:rsidRPr="00857B1D" w:rsidRDefault="00A77B3E">
            <w:pPr>
              <w:spacing w:before="100"/>
              <w:rPr>
                <w:color w:val="000000"/>
                <w:sz w:val="20"/>
                <w:lang w:val="it-IT"/>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535756" w14:textId="77777777" w:rsidR="00A77B3E" w:rsidRPr="00857B1D" w:rsidRDefault="00EE0419">
            <w:pPr>
              <w:spacing w:before="100"/>
              <w:rPr>
                <w:color w:val="000000"/>
                <w:sz w:val="20"/>
                <w:lang w:val="it-IT"/>
              </w:rPr>
            </w:pPr>
            <w:r w:rsidRPr="00857B1D">
              <w:rPr>
                <w:color w:val="000000"/>
                <w:sz w:val="20"/>
                <w:lang w:val="it-IT"/>
              </w:rPr>
              <w:t>2. ureditve poročanja odboru za spremljanje o primerih neskladnosti operacij, ki jih podpirajo skladi, z Listino in pritožbah glede Listine, predloženih v skladu z ureditvami na podlagi člena 69(7).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4A6E7B" w14:textId="77777777" w:rsidR="00A77B3E" w:rsidRDefault="00EE0419">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7D3AC6" w14:textId="77777777" w:rsidR="00A77B3E" w:rsidRDefault="00EE0419">
            <w:pPr>
              <w:spacing w:before="100"/>
              <w:rPr>
                <w:color w:val="000000"/>
                <w:sz w:val="20"/>
              </w:rPr>
            </w:pPr>
            <w:r>
              <w:rPr>
                <w:color w:val="000000"/>
                <w:sz w:val="20"/>
              </w:rPr>
              <w:t>Smiselna uporaba Postopkovnika za zagotavljanje horizontalnega omogočitvenega pogoja “Učinkovita uporaba in izvajanje Listine o temeljnih pravicah” Službe Vlade RS za razvoj in evropsko kohezijsko politiko (v nadaljevanju: Postopkovnik) do sprejema programskih dokumentov: Opis sistema upravljanja in nadzora za sklade s področja notranje varnosti in migracij 2021-2027, Priročnika organa upravljanja ter Navodil organa upravljanja.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44B2D2" w14:textId="77777777" w:rsidR="00A77B3E" w:rsidRDefault="00EE0419">
            <w:pPr>
              <w:spacing w:before="100"/>
              <w:rPr>
                <w:color w:val="000000"/>
                <w:sz w:val="20"/>
              </w:rPr>
            </w:pPr>
            <w:r>
              <w:rPr>
                <w:color w:val="000000"/>
                <w:sz w:val="20"/>
              </w:rPr>
              <w:t xml:space="preserve">Varuh človekovih pravic bo enkrat letno OU posredoval informacijo o morebitnih pritožbah, ki jih je prejel v okviru svojih pooblastil od posameznih oseb. </w:t>
            </w:r>
          </w:p>
          <w:p w14:paraId="5A8CE38D" w14:textId="77777777" w:rsidR="00A77B3E" w:rsidRDefault="00A77B3E">
            <w:pPr>
              <w:spacing w:before="100"/>
              <w:rPr>
                <w:color w:val="000000"/>
                <w:sz w:val="20"/>
              </w:rPr>
            </w:pPr>
          </w:p>
          <w:p w14:paraId="6A027A14" w14:textId="77777777" w:rsidR="00A77B3E" w:rsidRDefault="00EE0419">
            <w:pPr>
              <w:spacing w:before="100"/>
              <w:rPr>
                <w:color w:val="000000"/>
                <w:sz w:val="20"/>
              </w:rPr>
            </w:pPr>
            <w:r>
              <w:rPr>
                <w:color w:val="000000"/>
                <w:sz w:val="20"/>
              </w:rPr>
              <w:t>OU bo imenoval odgovorno osebo, ki bo zadolžena za spremljanje in poročanje odboru za spremljanje skladov o morebitnih ugotovljenih neskladjih v postopkih upravljalnih preverjanj, revizij, vloženih spletnih pritožb, pritožbah, ki so bile naslovljene na Varuha človekovih pravic, ipd., ter o izvedenih popravljalnih ukrepih.</w:t>
            </w:r>
          </w:p>
          <w:p w14:paraId="7C1233A5" w14:textId="77777777" w:rsidR="00A77B3E" w:rsidRDefault="00A77B3E">
            <w:pPr>
              <w:spacing w:before="100"/>
              <w:rPr>
                <w:color w:val="000000"/>
                <w:sz w:val="20"/>
              </w:rPr>
            </w:pPr>
          </w:p>
          <w:p w14:paraId="61542DBC" w14:textId="77777777" w:rsidR="00A77B3E" w:rsidRDefault="00EE0419">
            <w:pPr>
              <w:spacing w:before="100"/>
              <w:rPr>
                <w:color w:val="000000"/>
                <w:sz w:val="20"/>
              </w:rPr>
            </w:pPr>
            <w:r>
              <w:rPr>
                <w:color w:val="000000"/>
                <w:sz w:val="20"/>
              </w:rPr>
              <w:t>Imenovana odgovorna oseba bo enkrat letno pripravila poročilo za odbor za spremljanje skladov, ki bo vsebovalo informacijo o številu ugotovljenih neskladij in pritožb, vsebini in izvedenih popravljalnih ukrepih.</w:t>
            </w:r>
          </w:p>
          <w:p w14:paraId="756B7B9B" w14:textId="77777777" w:rsidR="00A77B3E" w:rsidRDefault="00A77B3E">
            <w:pPr>
              <w:spacing w:before="100"/>
              <w:rPr>
                <w:color w:val="000000"/>
                <w:sz w:val="20"/>
              </w:rPr>
            </w:pPr>
          </w:p>
          <w:p w14:paraId="3771E23E" w14:textId="77777777" w:rsidR="00A77B3E" w:rsidRDefault="00EE0419">
            <w:pPr>
              <w:spacing w:before="100"/>
              <w:rPr>
                <w:color w:val="000000"/>
                <w:sz w:val="20"/>
              </w:rPr>
            </w:pPr>
            <w:r>
              <w:rPr>
                <w:color w:val="000000"/>
                <w:sz w:val="20"/>
              </w:rPr>
              <w:t>Na spletni strani OU ter https://evropskasredstva.si/ bo objavljen spletni obrazec za pritožbe na podlagi 7. odstavka 69. člena Uredbe (EU) 2021/1060.</w:t>
            </w:r>
          </w:p>
          <w:p w14:paraId="270144F5" w14:textId="77777777" w:rsidR="00A77B3E" w:rsidRDefault="00A77B3E">
            <w:pPr>
              <w:spacing w:before="100"/>
              <w:rPr>
                <w:color w:val="000000"/>
                <w:sz w:val="20"/>
              </w:rPr>
            </w:pPr>
          </w:p>
        </w:tc>
      </w:tr>
      <w:tr w:rsidR="00EC4D24" w:rsidRPr="00857B1D" w14:paraId="57E742D0"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709346" w14:textId="77777777" w:rsidR="00A77B3E" w:rsidRDefault="00EE0419">
            <w:pPr>
              <w:spacing w:before="100"/>
              <w:rPr>
                <w:color w:val="000000"/>
                <w:sz w:val="20"/>
              </w:rPr>
            </w:pPr>
            <w:r>
              <w:rPr>
                <w:color w:val="000000"/>
                <w:sz w:val="20"/>
              </w:rPr>
              <w:t xml:space="preserve">4. Izvajanje in uporaba Konvencije Združenih </w:t>
            </w:r>
            <w:r>
              <w:rPr>
                <w:color w:val="000000"/>
                <w:sz w:val="20"/>
              </w:rPr>
              <w:lastRenderedPageBreak/>
              <w:t>narodov o pravicah invalidov v skladu s Sklepom Sveta 2010/48/ES</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CEAD55" w14:textId="77777777" w:rsidR="00A77B3E" w:rsidRDefault="00EE0419">
            <w:pPr>
              <w:spacing w:before="100"/>
              <w:jc w:val="center"/>
              <w:rPr>
                <w:color w:val="000000"/>
                <w:sz w:val="20"/>
              </w:rPr>
            </w:pPr>
            <w:r>
              <w:rPr>
                <w:color w:val="000000"/>
                <w:sz w:val="20"/>
              </w:rPr>
              <w:lastRenderedPageBreak/>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DC8BF7" w14:textId="77777777" w:rsidR="00A77B3E" w:rsidRDefault="00EE0419">
            <w:pPr>
              <w:spacing w:before="100"/>
              <w:rPr>
                <w:color w:val="000000"/>
                <w:sz w:val="20"/>
              </w:rPr>
            </w:pPr>
            <w:r>
              <w:rPr>
                <w:color w:val="000000"/>
                <w:sz w:val="20"/>
              </w:rPr>
              <w:t xml:space="preserve">Vzpostavljen je nacionalni okvir za izvajanje Konvencije Združenih narodov o pravicah invalidov, ki vključuje: </w:t>
            </w:r>
          </w:p>
          <w:p w14:paraId="34F266C3" w14:textId="77777777" w:rsidR="00A77B3E" w:rsidRDefault="00EE0419">
            <w:pPr>
              <w:spacing w:before="100"/>
              <w:rPr>
                <w:color w:val="000000"/>
                <w:sz w:val="20"/>
              </w:rPr>
            </w:pPr>
            <w:r>
              <w:rPr>
                <w:color w:val="000000"/>
                <w:sz w:val="20"/>
              </w:rPr>
              <w:lastRenderedPageBreak/>
              <w:t>1. cilje z merljivimi vrednostmi, zbiranje podatkov in mehanizme spremljanja;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5D0D32" w14:textId="77777777" w:rsidR="00A77B3E" w:rsidRDefault="00EE0419">
            <w:pPr>
              <w:spacing w:before="100"/>
              <w:jc w:val="center"/>
              <w:rPr>
                <w:color w:val="000000"/>
                <w:sz w:val="20"/>
              </w:rPr>
            </w:pPr>
            <w:r>
              <w:rPr>
                <w:color w:val="000000"/>
                <w:sz w:val="20"/>
              </w:rPr>
              <w:lastRenderedPageBreak/>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D02682" w14:textId="77777777" w:rsidR="00A77B3E" w:rsidRDefault="00EE0419">
            <w:pPr>
              <w:spacing w:before="100"/>
              <w:rPr>
                <w:color w:val="000000"/>
                <w:sz w:val="20"/>
              </w:rPr>
            </w:pPr>
            <w:r>
              <w:rPr>
                <w:color w:val="000000"/>
                <w:sz w:val="20"/>
              </w:rPr>
              <w:t>Akcijski program za invalide 2022-2030 (API)</w:t>
            </w:r>
          </w:p>
          <w:p w14:paraId="0A621FEC" w14:textId="77777777" w:rsidR="00A77B3E" w:rsidRDefault="00EE0419">
            <w:pPr>
              <w:spacing w:before="100"/>
              <w:rPr>
                <w:color w:val="000000"/>
                <w:sz w:val="20"/>
              </w:rPr>
            </w:pPr>
            <w:r>
              <w:rPr>
                <w:color w:val="000000"/>
                <w:sz w:val="20"/>
              </w:rPr>
              <w:t>https://www.gov.si/zbirke/projekti-inprogrami/akcijski-program-za-invalide/</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6F5A47" w14:textId="77777777" w:rsidR="00A77B3E" w:rsidRPr="00857B1D" w:rsidRDefault="00EE0419">
            <w:pPr>
              <w:spacing w:before="100"/>
              <w:rPr>
                <w:color w:val="000000"/>
                <w:sz w:val="20"/>
                <w:lang w:val="it-IT"/>
              </w:rPr>
            </w:pPr>
            <w:r>
              <w:rPr>
                <w:color w:val="000000"/>
                <w:sz w:val="20"/>
              </w:rPr>
              <w:t xml:space="preserve">Vlada RS je oktobra 2021 sprejela Akcijski program za invalide 2022-2030 (API), katerega namen je spodbujati, varovati in zagotavljati polnopravno in enakovredno </w:t>
            </w:r>
            <w:r>
              <w:rPr>
                <w:color w:val="000000"/>
                <w:sz w:val="20"/>
              </w:rPr>
              <w:lastRenderedPageBreak/>
              <w:t xml:space="preserve">uživanje človekovih pravic invalidov in spodbujanje njihovega dostojanstva. 7. 4. 2022 je bila imenovana Komisija za spremljanje API. Sestavljena je iz skupine predstavnikov vseh resornih ministrstev, strokovnih organizacij, Nacionalnega sveta invalidskih organizacij Slovenije ter drugih invalidskih organizacij in Zveze društev upokojencev. </w:t>
            </w:r>
            <w:r w:rsidRPr="00857B1D">
              <w:rPr>
                <w:color w:val="000000"/>
                <w:sz w:val="20"/>
                <w:lang w:val="it-IT"/>
              </w:rPr>
              <w:t>Naloga Komisije je priprava letnega poročila o izvajanju API za Vlado RS. Poročevalci beležijo vse dejavnosti, ki so bile izvedene v letu v okviru predvidenih 13 ciljev in 120 ukrepov API. Mnenje na letno poročilo Komisije poda Svet za invalide (posvetovalni, neodvisen tripartitni organ, ustanovljen na podlagi 33. člena Konvencije ZN o pravicah invalidov in EU strategije za invalide 2021-30), ki je med drugim zadolžen za spodbujanje in spremljanje izvajanja Zakona o ratifikaciji  Konvencije kot tudi za spremljanje implementacije API.</w:t>
            </w:r>
          </w:p>
        </w:tc>
      </w:tr>
      <w:tr w:rsidR="00EC4D24" w:rsidRPr="00857B1D" w14:paraId="261BB1FA"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FB0A7D" w14:textId="77777777" w:rsidR="00A77B3E" w:rsidRPr="00857B1D" w:rsidRDefault="00A77B3E">
            <w:pPr>
              <w:spacing w:before="100"/>
              <w:rPr>
                <w:color w:val="000000"/>
                <w:sz w:val="20"/>
                <w:lang w:val="it-IT"/>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CE50F4" w14:textId="77777777" w:rsidR="00A77B3E" w:rsidRPr="00857B1D" w:rsidRDefault="00A77B3E">
            <w:pPr>
              <w:spacing w:before="100"/>
              <w:rPr>
                <w:color w:val="000000"/>
                <w:sz w:val="20"/>
                <w:lang w:val="it-IT"/>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045790" w14:textId="77777777" w:rsidR="00A77B3E" w:rsidRPr="00857B1D" w:rsidRDefault="00EE0419">
            <w:pPr>
              <w:spacing w:before="100"/>
              <w:rPr>
                <w:color w:val="000000"/>
                <w:sz w:val="20"/>
                <w:lang w:val="it-IT"/>
              </w:rPr>
            </w:pPr>
            <w:r w:rsidRPr="00857B1D">
              <w:rPr>
                <w:color w:val="000000"/>
                <w:sz w:val="20"/>
                <w:lang w:val="it-IT"/>
              </w:rPr>
              <w:t>2. ureditve za zagotovitev, da se politika, zakonodaja in standardi dostopnosti ustrezno upoštevajo pri pripravi in izvajanju programov;</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A00EA1" w14:textId="77777777" w:rsidR="00A77B3E" w:rsidRDefault="00EE0419">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5DDC66" w14:textId="77777777" w:rsidR="00A77B3E" w:rsidRPr="00857B1D" w:rsidRDefault="00EE0419">
            <w:pPr>
              <w:spacing w:before="100"/>
              <w:rPr>
                <w:color w:val="000000"/>
                <w:sz w:val="20"/>
                <w:lang w:val="it-IT"/>
              </w:rPr>
            </w:pPr>
            <w:r w:rsidRPr="00857B1D">
              <w:rPr>
                <w:color w:val="000000"/>
                <w:sz w:val="20"/>
                <w:lang w:val="it-IT"/>
              </w:rPr>
              <w:t>Akcijski program za invalide 2022-2030 (API)</w:t>
            </w:r>
          </w:p>
          <w:p w14:paraId="4FDD31D0" w14:textId="77777777" w:rsidR="00A77B3E" w:rsidRPr="00857B1D" w:rsidRDefault="00EE0419">
            <w:pPr>
              <w:spacing w:before="100"/>
              <w:rPr>
                <w:color w:val="000000"/>
                <w:sz w:val="20"/>
                <w:lang w:val="it-IT"/>
              </w:rPr>
            </w:pPr>
            <w:r w:rsidRPr="00857B1D">
              <w:rPr>
                <w:color w:val="000000"/>
                <w:sz w:val="20"/>
                <w:lang w:val="it-IT"/>
              </w:rPr>
              <w:t>https://www.gov.si/zbirke/projekti-inprogrami/akcijski-program-za-invalide/</w:t>
            </w:r>
          </w:p>
          <w:p w14:paraId="73CCC835" w14:textId="77777777" w:rsidR="00A77B3E" w:rsidRPr="00857B1D" w:rsidRDefault="00A77B3E">
            <w:pPr>
              <w:spacing w:before="100"/>
              <w:rPr>
                <w:color w:val="000000"/>
                <w:sz w:val="20"/>
                <w:lang w:val="it-IT"/>
              </w:rPr>
            </w:pPr>
          </w:p>
          <w:p w14:paraId="12299CAE" w14:textId="77777777" w:rsidR="00A77B3E" w:rsidRPr="00857B1D" w:rsidRDefault="00EE0419">
            <w:pPr>
              <w:spacing w:before="100"/>
              <w:rPr>
                <w:color w:val="000000"/>
                <w:sz w:val="20"/>
                <w:lang w:val="it-IT"/>
              </w:rPr>
            </w:pPr>
            <w:r w:rsidRPr="00857B1D">
              <w:rPr>
                <w:color w:val="000000"/>
                <w:sz w:val="20"/>
                <w:lang w:val="it-IT"/>
              </w:rPr>
              <w:t>Zakon o izenačevanju možnosti invalidov (ZIMI)</w:t>
            </w:r>
          </w:p>
          <w:p w14:paraId="616C89C3" w14:textId="77777777" w:rsidR="00A77B3E" w:rsidRPr="00857B1D" w:rsidRDefault="00EE0419">
            <w:pPr>
              <w:spacing w:before="100"/>
              <w:rPr>
                <w:color w:val="000000"/>
                <w:sz w:val="20"/>
                <w:lang w:val="it-IT"/>
              </w:rPr>
            </w:pPr>
            <w:r w:rsidRPr="00857B1D">
              <w:rPr>
                <w:color w:val="000000"/>
                <w:sz w:val="20"/>
                <w:lang w:val="it-IT"/>
              </w:rPr>
              <w:t>http://www.pisrs.si/Pis.web/pregledPredpisa?id=ZAKO4342</w:t>
            </w:r>
          </w:p>
          <w:p w14:paraId="1BEDF3C8" w14:textId="77777777" w:rsidR="00A77B3E" w:rsidRPr="00857B1D" w:rsidRDefault="00A77B3E">
            <w:pPr>
              <w:spacing w:before="100"/>
              <w:rPr>
                <w:color w:val="000000"/>
                <w:sz w:val="20"/>
                <w:lang w:val="it-IT"/>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ADEF63" w14:textId="77777777" w:rsidR="00A77B3E" w:rsidRPr="00857B1D" w:rsidRDefault="00EE0419">
            <w:pPr>
              <w:spacing w:before="100"/>
              <w:rPr>
                <w:color w:val="000000"/>
                <w:sz w:val="20"/>
                <w:lang w:val="it-IT"/>
              </w:rPr>
            </w:pPr>
            <w:r w:rsidRPr="00857B1D">
              <w:rPr>
                <w:color w:val="000000"/>
                <w:sz w:val="20"/>
                <w:lang w:val="it-IT"/>
              </w:rPr>
              <w:t>Skladnost s Konvencijo je bila zagotovljena v fazi programiranja, saj so bile v proces priprave Programa vključene organizacije pristojne za spremljanje izvajanja Konvencije, ki bodo sodelovale tudi pri izvajanju, spremljanju in vrednotenju Programa.</w:t>
            </w:r>
          </w:p>
          <w:p w14:paraId="35C5777E" w14:textId="77777777" w:rsidR="00A77B3E" w:rsidRPr="00857B1D" w:rsidRDefault="00A77B3E">
            <w:pPr>
              <w:spacing w:before="100"/>
              <w:rPr>
                <w:color w:val="000000"/>
                <w:sz w:val="20"/>
                <w:lang w:val="it-IT"/>
              </w:rPr>
            </w:pPr>
          </w:p>
          <w:p w14:paraId="7385DE08" w14:textId="77777777" w:rsidR="00A77B3E" w:rsidRPr="00857B1D" w:rsidRDefault="00EE0419">
            <w:pPr>
              <w:spacing w:before="100"/>
              <w:rPr>
                <w:color w:val="000000"/>
                <w:sz w:val="20"/>
                <w:lang w:val="it-IT"/>
              </w:rPr>
            </w:pPr>
            <w:r w:rsidRPr="00857B1D">
              <w:rPr>
                <w:color w:val="000000"/>
                <w:sz w:val="20"/>
                <w:lang w:val="it-IT"/>
              </w:rPr>
              <w:t>Postopki preverjanja skladnosti operacij s Konvencijo kot tudi naloge organov bodo določeni v Opisu sistema upravljanja in nadzora, Priročniku organa upravljanja ter Navodilih organa upravljanja. Merila za preverjanje skladnosti operacij s Konvencijo  bodo vključena v kontrolne liste.</w:t>
            </w:r>
          </w:p>
          <w:p w14:paraId="71A3E120" w14:textId="77777777" w:rsidR="00A77B3E" w:rsidRPr="00857B1D" w:rsidRDefault="00A77B3E">
            <w:pPr>
              <w:spacing w:before="100"/>
              <w:rPr>
                <w:color w:val="000000"/>
                <w:sz w:val="20"/>
                <w:lang w:val="it-IT"/>
              </w:rPr>
            </w:pPr>
          </w:p>
          <w:p w14:paraId="37006B28" w14:textId="77777777" w:rsidR="00A77B3E" w:rsidRPr="00857B1D" w:rsidRDefault="00EE0419">
            <w:pPr>
              <w:spacing w:before="100"/>
              <w:rPr>
                <w:color w:val="000000"/>
                <w:sz w:val="20"/>
                <w:lang w:val="it-IT"/>
              </w:rPr>
            </w:pPr>
            <w:r w:rsidRPr="00857B1D">
              <w:rPr>
                <w:color w:val="000000"/>
                <w:sz w:val="20"/>
                <w:lang w:val="it-IT"/>
              </w:rPr>
              <w:t>V načrtu ukrepov za krepitev upravne zmogljivosti so predvidena usposabljanja in izobraževanja ključnih deležnikov na tem področju, ki bo pripravljeno v sodelovanju s Komisijo za spremljanje API in ostalimi relevantnimi strokovnjaki.</w:t>
            </w:r>
          </w:p>
        </w:tc>
      </w:tr>
      <w:tr w:rsidR="00EC4D24" w14:paraId="31EC976F"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879280" w14:textId="77777777" w:rsidR="00A77B3E" w:rsidRPr="00857B1D" w:rsidRDefault="00A77B3E">
            <w:pPr>
              <w:spacing w:before="100"/>
              <w:rPr>
                <w:color w:val="000000"/>
                <w:sz w:val="20"/>
                <w:lang w:val="it-IT"/>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0BE156" w14:textId="77777777" w:rsidR="00A77B3E" w:rsidRPr="00857B1D" w:rsidRDefault="00A77B3E">
            <w:pPr>
              <w:spacing w:before="100"/>
              <w:rPr>
                <w:color w:val="000000"/>
                <w:sz w:val="20"/>
                <w:lang w:val="it-IT"/>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D079DB" w14:textId="77777777" w:rsidR="00A77B3E" w:rsidRPr="00857B1D" w:rsidRDefault="00EE0419">
            <w:pPr>
              <w:spacing w:before="100"/>
              <w:rPr>
                <w:color w:val="000000"/>
                <w:sz w:val="20"/>
                <w:lang w:val="it-IT"/>
              </w:rPr>
            </w:pPr>
            <w:r w:rsidRPr="00857B1D">
              <w:rPr>
                <w:color w:val="000000"/>
                <w:sz w:val="20"/>
                <w:lang w:val="it-IT"/>
              </w:rPr>
              <w:t>3. ureditve poročanja odboru za spremljanje o primerih neskladnosti operacij, ki jih podpirajo skladi, s Konvencijo Združenih narodov o pravicah invalidov in pritožbah glede navedene konvencije, predloženih v skladu z ureditvami na podlagi člena 69(7).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DFA9B1" w14:textId="77777777" w:rsidR="00A77B3E" w:rsidRDefault="00EE0419">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7DAAB0" w14:textId="77777777" w:rsidR="00A77B3E" w:rsidRDefault="00EE0419">
            <w:pPr>
              <w:spacing w:before="100"/>
              <w:rPr>
                <w:color w:val="000000"/>
                <w:sz w:val="20"/>
              </w:rPr>
            </w:pPr>
            <w:r>
              <w:rPr>
                <w:color w:val="000000"/>
                <w:sz w:val="20"/>
              </w:rPr>
              <w:t>Akcijski program za invalide 2022-2030 (API)</w:t>
            </w:r>
          </w:p>
          <w:p w14:paraId="440A1567" w14:textId="77777777" w:rsidR="00A77B3E" w:rsidRDefault="00EE0419">
            <w:pPr>
              <w:spacing w:before="100"/>
              <w:rPr>
                <w:color w:val="000000"/>
                <w:sz w:val="20"/>
              </w:rPr>
            </w:pPr>
            <w:r>
              <w:rPr>
                <w:color w:val="000000"/>
                <w:sz w:val="20"/>
              </w:rPr>
              <w:t>https://www.gov.si/zbirke/projekti-inprogrami/akcijski-program-za-invalide/</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E3E6BC" w14:textId="77777777" w:rsidR="00A77B3E" w:rsidRDefault="00EE0419">
            <w:pPr>
              <w:spacing w:before="100"/>
              <w:rPr>
                <w:color w:val="000000"/>
                <w:sz w:val="20"/>
              </w:rPr>
            </w:pPr>
            <w:r>
              <w:rPr>
                <w:color w:val="000000"/>
                <w:sz w:val="20"/>
              </w:rPr>
              <w:t>Komisija za spremljanje API bo pripravila letno poročilo, s katerim bo seznanila OU. Mnenje na poročilo bo podal Svet za invalide, ter se izrekel o morebitnih pritožbah in ugotovljenih neskladjih.</w:t>
            </w:r>
          </w:p>
          <w:p w14:paraId="2F179DBA" w14:textId="77777777" w:rsidR="00A77B3E" w:rsidRDefault="00A77B3E">
            <w:pPr>
              <w:spacing w:before="100"/>
              <w:rPr>
                <w:color w:val="000000"/>
                <w:sz w:val="20"/>
              </w:rPr>
            </w:pPr>
          </w:p>
          <w:p w14:paraId="380AC3D5" w14:textId="77777777" w:rsidR="00A77B3E" w:rsidRDefault="00EE0419">
            <w:pPr>
              <w:spacing w:before="100"/>
              <w:rPr>
                <w:color w:val="000000"/>
                <w:sz w:val="20"/>
              </w:rPr>
            </w:pPr>
            <w:r>
              <w:rPr>
                <w:color w:val="000000"/>
                <w:sz w:val="20"/>
              </w:rPr>
              <w:t>OU bo imenoval odgovorno osebo, ki bo zadolžena za spremljanje in poročanje odboru za spremljanje skladov o morebitnih ugotovljenih neskladjih v postopkih upravljalnih preverjanj, revizij, vloženih spletnih pritožb, ugotovitvah Komisije za spremljanje API, ter o izvedenih popravljalnih ukrepih.</w:t>
            </w:r>
          </w:p>
          <w:p w14:paraId="1007A55D" w14:textId="77777777" w:rsidR="00A77B3E" w:rsidRDefault="00A77B3E">
            <w:pPr>
              <w:spacing w:before="100"/>
              <w:rPr>
                <w:color w:val="000000"/>
                <w:sz w:val="20"/>
              </w:rPr>
            </w:pPr>
          </w:p>
          <w:p w14:paraId="105F923E" w14:textId="77777777" w:rsidR="00A77B3E" w:rsidRDefault="00EE0419">
            <w:pPr>
              <w:spacing w:before="100"/>
              <w:rPr>
                <w:color w:val="000000"/>
                <w:sz w:val="20"/>
              </w:rPr>
            </w:pPr>
            <w:r>
              <w:rPr>
                <w:color w:val="000000"/>
                <w:sz w:val="20"/>
              </w:rPr>
              <w:t>Imenovana odgovorna oseba bo enkrat letno pripravila poročilo za odbor za spremljanje skladov, ki bo vsebovalo informacijo o ugotovljenih neskladjih in pritožbah, vsebini in izvedenih popravljalnih ukrepih.</w:t>
            </w:r>
          </w:p>
          <w:p w14:paraId="3D7A0381" w14:textId="77777777" w:rsidR="00A77B3E" w:rsidRDefault="00A77B3E">
            <w:pPr>
              <w:spacing w:before="100"/>
              <w:rPr>
                <w:color w:val="000000"/>
                <w:sz w:val="20"/>
              </w:rPr>
            </w:pPr>
          </w:p>
          <w:p w14:paraId="0CE5416F" w14:textId="77777777" w:rsidR="00A77B3E" w:rsidRDefault="00EE0419">
            <w:pPr>
              <w:spacing w:before="100"/>
              <w:rPr>
                <w:color w:val="000000"/>
                <w:sz w:val="20"/>
              </w:rPr>
            </w:pPr>
            <w:r>
              <w:rPr>
                <w:color w:val="000000"/>
                <w:sz w:val="20"/>
              </w:rPr>
              <w:t>Pritožbe bo zbiral tudi OU, zato bo na spletni strani OU in https://evropskasredstva.si/ objavljen spletni obrazec za pritožbe na podlagi 7. odstavka 69. člena Uredbe (EU) 2021/1060.</w:t>
            </w:r>
          </w:p>
          <w:p w14:paraId="520C036F" w14:textId="77777777" w:rsidR="00A77B3E" w:rsidRDefault="00A77B3E">
            <w:pPr>
              <w:spacing w:before="100"/>
              <w:rPr>
                <w:color w:val="000000"/>
                <w:sz w:val="20"/>
              </w:rPr>
            </w:pPr>
          </w:p>
        </w:tc>
      </w:tr>
    </w:tbl>
    <w:p w14:paraId="5C7A5C8F" w14:textId="77777777" w:rsidR="00A77B3E" w:rsidRDefault="00EE0419">
      <w:pPr>
        <w:pStyle w:val="Naslov1"/>
        <w:spacing w:before="100" w:after="0"/>
        <w:rPr>
          <w:rFonts w:ascii="Times New Roman" w:hAnsi="Times New Roman" w:cs="Times New Roman"/>
          <w:b w:val="0"/>
          <w:color w:val="000000"/>
          <w:sz w:val="24"/>
        </w:rPr>
      </w:pPr>
      <w:r>
        <w:rPr>
          <w:rFonts w:ascii="Times New Roman" w:hAnsi="Times New Roman" w:cs="Times New Roman"/>
          <w:b w:val="0"/>
          <w:color w:val="000000"/>
          <w:sz w:val="20"/>
        </w:rPr>
        <w:lastRenderedPageBreak/>
        <w:br w:type="page"/>
      </w:r>
      <w:bookmarkStart w:id="46" w:name="_Toc256000110"/>
      <w:r>
        <w:rPr>
          <w:rFonts w:ascii="Times New Roman" w:hAnsi="Times New Roman" w:cs="Times New Roman"/>
          <w:b w:val="0"/>
          <w:color w:val="000000"/>
          <w:sz w:val="24"/>
        </w:rPr>
        <w:lastRenderedPageBreak/>
        <w:t>5. Organi, pristojni za program</w:t>
      </w:r>
      <w:bookmarkEnd w:id="46"/>
    </w:p>
    <w:p w14:paraId="5D3DAE9E" w14:textId="77777777" w:rsidR="00A77B3E" w:rsidRDefault="00EE0419">
      <w:pPr>
        <w:spacing w:before="100"/>
        <w:rPr>
          <w:color w:val="000000"/>
        </w:rPr>
      </w:pPr>
      <w:r>
        <w:rPr>
          <w:color w:val="000000"/>
        </w:rPr>
        <w:t>Sklic: člen 22(3)(k) ter člena 71 in 84 uredbe o skupnih določbah</w:t>
      </w:r>
    </w:p>
    <w:p w14:paraId="2260C6FB" w14:textId="77777777" w:rsidR="00A77B3E" w:rsidRDefault="00EE0419">
      <w:pPr>
        <w:pStyle w:val="Naslov2"/>
        <w:spacing w:before="100" w:after="0"/>
        <w:rPr>
          <w:rFonts w:ascii="Times New Roman" w:hAnsi="Times New Roman" w:cs="Times New Roman"/>
          <w:b w:val="0"/>
          <w:i w:val="0"/>
          <w:color w:val="000000"/>
          <w:sz w:val="24"/>
        </w:rPr>
      </w:pPr>
      <w:bookmarkStart w:id="47" w:name="_Toc256000111"/>
      <w:r>
        <w:rPr>
          <w:rFonts w:ascii="Times New Roman" w:hAnsi="Times New Roman" w:cs="Times New Roman"/>
          <w:b w:val="0"/>
          <w:i w:val="0"/>
          <w:color w:val="000000"/>
          <w:sz w:val="24"/>
        </w:rPr>
        <w:t>Tabela 10: Organi, pristojni za program</w:t>
      </w:r>
      <w:bookmarkEnd w:id="47"/>
    </w:p>
    <w:p w14:paraId="75BE4E0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5835"/>
        <w:gridCol w:w="1764"/>
        <w:gridCol w:w="1838"/>
        <w:gridCol w:w="1703"/>
      </w:tblGrid>
      <w:tr w:rsidR="00EC4D24" w14:paraId="0E5F0DA8"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C3F08F" w14:textId="77777777" w:rsidR="00A77B3E" w:rsidRDefault="00EE0419">
            <w:pPr>
              <w:spacing w:before="100"/>
              <w:jc w:val="center"/>
              <w:rPr>
                <w:color w:val="000000"/>
                <w:sz w:val="20"/>
              </w:rPr>
            </w:pPr>
            <w:r>
              <w:rPr>
                <w:color w:val="000000"/>
                <w:sz w:val="20"/>
              </w:rPr>
              <w:t>Organ, pristojen za program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F0503B" w14:textId="77777777" w:rsidR="00A77B3E" w:rsidRDefault="00EE0419">
            <w:pPr>
              <w:spacing w:before="100"/>
              <w:jc w:val="center"/>
              <w:rPr>
                <w:color w:val="000000"/>
                <w:sz w:val="20"/>
              </w:rPr>
            </w:pPr>
            <w:r>
              <w:rPr>
                <w:color w:val="000000"/>
                <w:sz w:val="20"/>
              </w:rPr>
              <w:t>Ime nosilca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429656" w14:textId="77777777" w:rsidR="00A77B3E" w:rsidRDefault="00EE0419">
            <w:pPr>
              <w:spacing w:before="100"/>
              <w:jc w:val="center"/>
              <w:rPr>
                <w:color w:val="000000"/>
                <w:sz w:val="20"/>
              </w:rPr>
            </w:pPr>
            <w:r>
              <w:rPr>
                <w:color w:val="000000"/>
                <w:sz w:val="20"/>
              </w:rPr>
              <w:t>Kontaktna oseba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8E5635" w14:textId="77777777" w:rsidR="00A77B3E" w:rsidRDefault="00EE0419">
            <w:pPr>
              <w:spacing w:before="100"/>
              <w:jc w:val="center"/>
              <w:rPr>
                <w:color w:val="000000"/>
                <w:sz w:val="20"/>
              </w:rPr>
            </w:pPr>
            <w:r>
              <w:rPr>
                <w:color w:val="000000"/>
                <w:sz w:val="20"/>
              </w:rPr>
              <w:t>Položaj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8DF790" w14:textId="77777777" w:rsidR="00A77B3E" w:rsidRDefault="00EE0419">
            <w:pPr>
              <w:spacing w:before="100"/>
              <w:jc w:val="center"/>
              <w:rPr>
                <w:color w:val="000000"/>
                <w:sz w:val="20"/>
              </w:rPr>
            </w:pPr>
            <w:r>
              <w:rPr>
                <w:color w:val="000000"/>
                <w:sz w:val="20"/>
              </w:rPr>
              <w:t>E-naslov</w:t>
            </w:r>
          </w:p>
        </w:tc>
      </w:tr>
      <w:tr w:rsidR="00EC4D24" w14:paraId="6DAFA48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9B9E4D" w14:textId="77777777" w:rsidR="00A77B3E" w:rsidRDefault="00EE0419">
            <w:pPr>
              <w:spacing w:before="100"/>
              <w:rPr>
                <w:color w:val="000000"/>
                <w:sz w:val="20"/>
              </w:rPr>
            </w:pPr>
            <w:r>
              <w:rPr>
                <w:color w:val="000000"/>
                <w:sz w:val="20"/>
              </w:rPr>
              <w:t>Organ upravljanja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14D99F" w14:textId="77777777" w:rsidR="00A77B3E" w:rsidRDefault="00EE0419">
            <w:pPr>
              <w:spacing w:before="100"/>
              <w:rPr>
                <w:color w:val="000000"/>
                <w:sz w:val="20"/>
              </w:rPr>
            </w:pPr>
            <w:r>
              <w:rPr>
                <w:color w:val="000000"/>
                <w:sz w:val="20"/>
              </w:rPr>
              <w:t>Ministrstvo za notranje zadeve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ED8718" w14:textId="77777777" w:rsidR="00A77B3E" w:rsidRDefault="00EE0419">
            <w:pPr>
              <w:spacing w:before="100"/>
              <w:rPr>
                <w:color w:val="000000"/>
                <w:sz w:val="20"/>
              </w:rPr>
            </w:pPr>
            <w:r>
              <w:rPr>
                <w:color w:val="000000"/>
                <w:sz w:val="20"/>
              </w:rPr>
              <w:t>Tina Heferle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6497DD" w14:textId="77777777" w:rsidR="00A77B3E" w:rsidRDefault="00EE0419">
            <w:pPr>
              <w:spacing w:before="100"/>
              <w:rPr>
                <w:color w:val="000000"/>
                <w:sz w:val="20"/>
              </w:rPr>
            </w:pPr>
            <w:r>
              <w:rPr>
                <w:color w:val="000000"/>
                <w:sz w:val="20"/>
              </w:rPr>
              <w:t>državna sekretarka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229B60" w14:textId="77777777" w:rsidR="00A77B3E" w:rsidRDefault="00EE0419">
            <w:pPr>
              <w:spacing w:before="100"/>
              <w:rPr>
                <w:color w:val="000000"/>
                <w:sz w:val="20"/>
              </w:rPr>
            </w:pPr>
            <w:r>
              <w:rPr>
                <w:color w:val="000000"/>
                <w:sz w:val="20"/>
              </w:rPr>
              <w:t>ses.mnz@gov.si</w:t>
            </w:r>
          </w:p>
        </w:tc>
      </w:tr>
      <w:tr w:rsidR="00EC4D24" w14:paraId="0560E11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473280" w14:textId="77777777" w:rsidR="00A77B3E" w:rsidRDefault="00EE0419">
            <w:pPr>
              <w:spacing w:before="100"/>
              <w:rPr>
                <w:color w:val="000000"/>
                <w:sz w:val="20"/>
              </w:rPr>
            </w:pPr>
            <w:r>
              <w:rPr>
                <w:color w:val="000000"/>
                <w:sz w:val="20"/>
              </w:rPr>
              <w:t>Revizijski organ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69042E" w14:textId="77777777" w:rsidR="00A77B3E" w:rsidRPr="00857B1D" w:rsidRDefault="00EE0419">
            <w:pPr>
              <w:spacing w:before="100"/>
              <w:rPr>
                <w:color w:val="000000"/>
                <w:sz w:val="20"/>
                <w:lang w:val="it-IT"/>
              </w:rPr>
            </w:pPr>
            <w:r w:rsidRPr="00857B1D">
              <w:rPr>
                <w:color w:val="000000"/>
                <w:sz w:val="20"/>
                <w:lang w:val="it-IT"/>
              </w:rPr>
              <w:t>Ministrstvo za finance, Urad za nadzor proračuna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D254F0" w14:textId="77777777" w:rsidR="00A77B3E" w:rsidRDefault="00EE0419">
            <w:pPr>
              <w:spacing w:before="100"/>
              <w:rPr>
                <w:color w:val="000000"/>
                <w:sz w:val="20"/>
              </w:rPr>
            </w:pPr>
            <w:r>
              <w:rPr>
                <w:color w:val="000000"/>
                <w:sz w:val="20"/>
              </w:rPr>
              <w:t>Patricija Pergar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1181AF" w14:textId="3148624B" w:rsidR="00A77B3E" w:rsidRPr="00D32068" w:rsidRDefault="00EE0419">
            <w:pPr>
              <w:spacing w:before="100"/>
              <w:rPr>
                <w:color w:val="FF0000"/>
                <w:sz w:val="20"/>
              </w:rPr>
            </w:pPr>
            <w:r w:rsidRPr="00857B1D">
              <w:rPr>
                <w:color w:val="000000"/>
                <w:sz w:val="20"/>
              </w:rPr>
              <w:t>direktorica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A8F236" w14:textId="77777777" w:rsidR="00A77B3E" w:rsidRDefault="00EE0419">
            <w:pPr>
              <w:spacing w:before="100"/>
              <w:rPr>
                <w:color w:val="000000"/>
                <w:sz w:val="20"/>
              </w:rPr>
            </w:pPr>
            <w:r>
              <w:rPr>
                <w:color w:val="000000"/>
                <w:sz w:val="20"/>
              </w:rPr>
              <w:t>mf.unp@gov.si</w:t>
            </w:r>
          </w:p>
        </w:tc>
      </w:tr>
      <w:tr w:rsidR="00EC4D24" w14:paraId="4AD9F87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A77FA0" w14:textId="77777777" w:rsidR="00A77B3E" w:rsidRDefault="00EE0419">
            <w:pPr>
              <w:spacing w:before="100"/>
              <w:rPr>
                <w:color w:val="000000"/>
                <w:sz w:val="20"/>
              </w:rPr>
            </w:pPr>
            <w:r>
              <w:rPr>
                <w:color w:val="000000"/>
                <w:sz w:val="20"/>
              </w:rPr>
              <w:t>Telo, ki prejema plačila Evropske komisije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D80247" w14:textId="77777777" w:rsidR="00A77B3E" w:rsidRDefault="00EE0419">
            <w:pPr>
              <w:spacing w:before="100"/>
              <w:rPr>
                <w:color w:val="000000"/>
                <w:sz w:val="20"/>
              </w:rPr>
            </w:pPr>
            <w:r>
              <w:rPr>
                <w:color w:val="000000"/>
                <w:sz w:val="20"/>
              </w:rPr>
              <w:t>Ministrstvo za finance, Sektor za upravljanje s sredstvi EU/CA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DC4006" w14:textId="77777777" w:rsidR="00A77B3E" w:rsidRDefault="00EE0419">
            <w:pPr>
              <w:spacing w:before="100"/>
              <w:rPr>
                <w:color w:val="000000"/>
                <w:sz w:val="20"/>
              </w:rPr>
            </w:pPr>
            <w:r>
              <w:rPr>
                <w:color w:val="000000"/>
                <w:sz w:val="20"/>
              </w:rPr>
              <w:t xml:space="preserve">mag. Evelyn Filip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91050B" w14:textId="77777777" w:rsidR="00A77B3E" w:rsidRDefault="00EE0419">
            <w:pPr>
              <w:spacing w:before="100"/>
              <w:rPr>
                <w:color w:val="000000"/>
                <w:sz w:val="20"/>
              </w:rPr>
            </w:pPr>
            <w:r>
              <w:rPr>
                <w:color w:val="000000"/>
                <w:sz w:val="20"/>
              </w:rPr>
              <w:t>vodja sektorja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7B28D2" w14:textId="77777777" w:rsidR="00A77B3E" w:rsidRDefault="00EE0419">
            <w:pPr>
              <w:spacing w:before="100"/>
              <w:rPr>
                <w:color w:val="000000"/>
                <w:sz w:val="20"/>
              </w:rPr>
            </w:pPr>
            <w:r>
              <w:rPr>
                <w:color w:val="000000"/>
                <w:sz w:val="20"/>
              </w:rPr>
              <w:t>suseu.mf@gov.si</w:t>
            </w:r>
          </w:p>
        </w:tc>
      </w:tr>
    </w:tbl>
    <w:p w14:paraId="271E2149" w14:textId="77777777" w:rsidR="00A77B3E" w:rsidRDefault="00A77B3E">
      <w:pPr>
        <w:spacing w:before="100"/>
        <w:jc w:val="center"/>
        <w:rPr>
          <w:color w:val="000000"/>
          <w:sz w:val="20"/>
        </w:rPr>
        <w:sectPr w:rsidR="00A77B3E">
          <w:headerReference w:type="even" r:id="rId79"/>
          <w:headerReference w:type="default" r:id="rId80"/>
          <w:footerReference w:type="even" r:id="rId81"/>
          <w:footerReference w:type="default" r:id="rId82"/>
          <w:headerReference w:type="first" r:id="rId83"/>
          <w:footerReference w:type="first" r:id="rId84"/>
          <w:pgSz w:w="16838" w:h="11906" w:orient="landscape"/>
          <w:pgMar w:top="720" w:right="720" w:bottom="864" w:left="936" w:header="288" w:footer="72" w:gutter="0"/>
          <w:cols w:space="720"/>
          <w:noEndnote/>
          <w:docGrid w:linePitch="360"/>
        </w:sectPr>
      </w:pPr>
    </w:p>
    <w:p w14:paraId="49EFB381" w14:textId="77777777" w:rsidR="00A77B3E" w:rsidRDefault="00EE0419">
      <w:pPr>
        <w:pStyle w:val="Naslov1"/>
        <w:spacing w:before="100" w:after="0"/>
        <w:rPr>
          <w:rFonts w:ascii="Times New Roman" w:hAnsi="Times New Roman" w:cs="Times New Roman"/>
          <w:b w:val="0"/>
          <w:color w:val="000000"/>
          <w:sz w:val="24"/>
        </w:rPr>
      </w:pPr>
      <w:bookmarkStart w:id="48" w:name="_Toc256000112"/>
      <w:r>
        <w:rPr>
          <w:rFonts w:ascii="Times New Roman" w:hAnsi="Times New Roman" w:cs="Times New Roman"/>
          <w:b w:val="0"/>
          <w:color w:val="000000"/>
          <w:sz w:val="24"/>
        </w:rPr>
        <w:lastRenderedPageBreak/>
        <w:t>6. Partnerstvo</w:t>
      </w:r>
      <w:bookmarkEnd w:id="48"/>
    </w:p>
    <w:p w14:paraId="0BC6285E" w14:textId="77777777" w:rsidR="00A77B3E" w:rsidRDefault="00EE0419">
      <w:pPr>
        <w:spacing w:before="100"/>
        <w:rPr>
          <w:color w:val="000000"/>
          <w:sz w:val="16"/>
        </w:rPr>
      </w:pPr>
      <w:r>
        <w:rPr>
          <w:color w:val="000000"/>
        </w:rPr>
        <w:t>Sklic: člen 22(3)(h) uredbe o skupnih določbah</w:t>
      </w:r>
    </w:p>
    <w:p w14:paraId="4C076315"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C4D24" w:rsidRPr="00857B1D" w14:paraId="30E94B1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70FAAA" w14:textId="77777777" w:rsidR="00A77B3E" w:rsidRDefault="00A77B3E">
            <w:pPr>
              <w:spacing w:before="100"/>
              <w:rPr>
                <w:color w:val="000000"/>
                <w:sz w:val="0"/>
              </w:rPr>
            </w:pPr>
          </w:p>
          <w:p w14:paraId="534D2406" w14:textId="77777777" w:rsidR="00A77B3E" w:rsidRDefault="00EE0419">
            <w:pPr>
              <w:spacing w:before="100"/>
              <w:rPr>
                <w:color w:val="000000"/>
              </w:rPr>
            </w:pPr>
            <w:r>
              <w:rPr>
                <w:b/>
                <w:bCs/>
                <w:color w:val="000000"/>
              </w:rPr>
              <w:t xml:space="preserve">Vključenost relevantnih deležnikov: </w:t>
            </w:r>
            <w:r>
              <w:rPr>
                <w:color w:val="000000"/>
              </w:rPr>
              <w:t>Pri pripravi Programa so bili skladno z 8. členom CPR ter 4. členom uredbe AMIF udeleženi vsi potrebni organi in ustrezni deležniki na različnih ravneh. Spodaj navedenim organizacijam je bil Program posredovan v podajo komentarjev.</w:t>
            </w:r>
          </w:p>
          <w:p w14:paraId="516BD2F8" w14:textId="77777777" w:rsidR="00A77B3E" w:rsidRDefault="00A77B3E">
            <w:pPr>
              <w:spacing w:before="100"/>
              <w:rPr>
                <w:color w:val="000000"/>
              </w:rPr>
            </w:pPr>
          </w:p>
          <w:p w14:paraId="3089574D" w14:textId="77777777" w:rsidR="00A77B3E" w:rsidRDefault="00EE0419">
            <w:pPr>
              <w:spacing w:before="100"/>
              <w:rPr>
                <w:color w:val="000000"/>
              </w:rPr>
            </w:pPr>
            <w:r>
              <w:rPr>
                <w:color w:val="000000"/>
              </w:rPr>
              <w:t>Ekonomsko–socialni partnerji:</w:t>
            </w:r>
          </w:p>
          <w:p w14:paraId="1FE6EB55" w14:textId="77777777" w:rsidR="00A77B3E" w:rsidRDefault="00EE0419">
            <w:pPr>
              <w:numPr>
                <w:ilvl w:val="0"/>
                <w:numId w:val="15"/>
              </w:numPr>
              <w:spacing w:before="100"/>
              <w:rPr>
                <w:color w:val="000000"/>
              </w:rPr>
            </w:pPr>
            <w:r>
              <w:rPr>
                <w:color w:val="000000"/>
              </w:rPr>
              <w:t>Ekonomsko-socialni svet (ESS) je tristranski organ socialnih partnerjev in Vlade Republike Slovenije, ustanovljen za obravnavanje vprašanj in ukrepov v zvezi z ekonomsko in socialno politiko ter drugih vprašanj, povezanih s posebnimi področji dogovora med partnerji.</w:t>
            </w:r>
          </w:p>
          <w:p w14:paraId="78DEE4DB" w14:textId="77777777" w:rsidR="00A77B3E" w:rsidRDefault="00A77B3E">
            <w:pPr>
              <w:spacing w:before="100"/>
              <w:rPr>
                <w:color w:val="000000"/>
              </w:rPr>
            </w:pPr>
          </w:p>
          <w:p w14:paraId="19FEA29E" w14:textId="77777777" w:rsidR="00A77B3E" w:rsidRDefault="00EE0419">
            <w:pPr>
              <w:spacing w:before="100"/>
              <w:rPr>
                <w:color w:val="000000"/>
              </w:rPr>
            </w:pPr>
            <w:r>
              <w:rPr>
                <w:color w:val="000000"/>
              </w:rPr>
              <w:t>Telesa, ki predstavljajo civilno družbo, mednarodne organizacije, nevladne organizacije, begunske organizacije, organizacije, ki jih vodijo migranti, organizacije za človekove pravice:</w:t>
            </w:r>
          </w:p>
          <w:p w14:paraId="58B14104" w14:textId="77777777" w:rsidR="00A77B3E" w:rsidRDefault="00EE0419">
            <w:pPr>
              <w:numPr>
                <w:ilvl w:val="0"/>
                <w:numId w:val="16"/>
              </w:numPr>
              <w:spacing w:before="100"/>
              <w:rPr>
                <w:color w:val="000000"/>
              </w:rPr>
            </w:pPr>
            <w:r>
              <w:rPr>
                <w:color w:val="000000"/>
              </w:rPr>
              <w:t>CNVOS je krovna mreža slovenskih nevladnih organizacij. Združujejo več kot 1.500 različnih društev in posameznih društev, zavodov in institucij. S svojim znanjem in izkušnjami podpirajo slovenski nevladni sektor.</w:t>
            </w:r>
          </w:p>
          <w:p w14:paraId="23182A72" w14:textId="77777777" w:rsidR="00A77B3E" w:rsidRPr="00857B1D" w:rsidRDefault="00EE0419">
            <w:pPr>
              <w:numPr>
                <w:ilvl w:val="0"/>
                <w:numId w:val="16"/>
              </w:numPr>
              <w:spacing w:before="100"/>
              <w:rPr>
                <w:color w:val="000000"/>
                <w:lang w:val="it-IT"/>
              </w:rPr>
            </w:pPr>
            <w:r w:rsidRPr="00857B1D">
              <w:rPr>
                <w:color w:val="000000"/>
                <w:lang w:val="it-IT"/>
              </w:rPr>
              <w:t>Mirovni inštitut in migracijski forum. Je neodvisen in neprofitni raziskovalni inštitut, ki ga je leta 1991 ustanovila skupina posameznikov, ki so verjeli v mirno reševanje konfliktov, enakost in spoštovanje človekovih pravic (dejavni na področju pravic migrantov).</w:t>
            </w:r>
          </w:p>
          <w:p w14:paraId="712111C8" w14:textId="77777777" w:rsidR="00A77B3E" w:rsidRPr="00857B1D" w:rsidRDefault="00EE0419">
            <w:pPr>
              <w:numPr>
                <w:ilvl w:val="0"/>
                <w:numId w:val="16"/>
              </w:numPr>
              <w:spacing w:before="100"/>
              <w:rPr>
                <w:color w:val="000000"/>
                <w:lang w:val="it-IT"/>
              </w:rPr>
            </w:pPr>
            <w:r w:rsidRPr="00857B1D">
              <w:rPr>
                <w:color w:val="000000"/>
                <w:lang w:val="it-IT"/>
              </w:rPr>
              <w:t>Predstavnik nevladnih organizacij v obstoječem Odboru za spremljanje AMIF-ISF.</w:t>
            </w:r>
          </w:p>
          <w:p w14:paraId="1CB4129B" w14:textId="77777777" w:rsidR="00A77B3E" w:rsidRPr="00857B1D" w:rsidRDefault="00A77B3E">
            <w:pPr>
              <w:spacing w:before="100"/>
              <w:rPr>
                <w:color w:val="000000"/>
                <w:lang w:val="it-IT"/>
              </w:rPr>
            </w:pPr>
          </w:p>
          <w:p w14:paraId="433A7BFB" w14:textId="77777777" w:rsidR="00A77B3E" w:rsidRPr="00857B1D" w:rsidRDefault="00EE0419">
            <w:pPr>
              <w:spacing w:before="100"/>
              <w:rPr>
                <w:color w:val="000000"/>
                <w:lang w:val="it-IT"/>
              </w:rPr>
            </w:pPr>
            <w:r w:rsidRPr="00857B1D">
              <w:rPr>
                <w:color w:val="000000"/>
                <w:lang w:val="it-IT"/>
              </w:rPr>
              <w:t>Regionalna, lokalna in mestna raven:</w:t>
            </w:r>
          </w:p>
          <w:p w14:paraId="35B32473" w14:textId="77777777" w:rsidR="00A77B3E" w:rsidRPr="00857B1D" w:rsidRDefault="00EE0419">
            <w:pPr>
              <w:numPr>
                <w:ilvl w:val="0"/>
                <w:numId w:val="17"/>
              </w:numPr>
              <w:spacing w:before="100"/>
              <w:rPr>
                <w:color w:val="000000"/>
                <w:lang w:val="it-IT"/>
              </w:rPr>
            </w:pPr>
            <w:r w:rsidRPr="00857B1D">
              <w:rPr>
                <w:color w:val="000000"/>
                <w:lang w:val="it-IT"/>
              </w:rPr>
              <w:t>Združenje slovenskih občin (ZOS), ki zastopa lokalne interese in združuje 111 občin.</w:t>
            </w:r>
          </w:p>
          <w:p w14:paraId="348A2892" w14:textId="77777777" w:rsidR="00A77B3E" w:rsidRPr="00857B1D" w:rsidRDefault="00EE0419">
            <w:pPr>
              <w:numPr>
                <w:ilvl w:val="0"/>
                <w:numId w:val="17"/>
              </w:numPr>
              <w:spacing w:before="100"/>
              <w:rPr>
                <w:color w:val="000000"/>
                <w:lang w:val="it-IT"/>
              </w:rPr>
            </w:pPr>
            <w:r w:rsidRPr="00857B1D">
              <w:rPr>
                <w:color w:val="000000"/>
                <w:lang w:val="it-IT"/>
              </w:rPr>
              <w:t>Skupnost občin Slovenije (SOS) je največje reprezentativno združenje lokalnih skupnosti v Sloveniji s 179 občinami članicami.</w:t>
            </w:r>
          </w:p>
          <w:p w14:paraId="334325E2" w14:textId="77777777" w:rsidR="00A77B3E" w:rsidRPr="00857B1D" w:rsidRDefault="00EE0419">
            <w:pPr>
              <w:numPr>
                <w:ilvl w:val="0"/>
                <w:numId w:val="17"/>
              </w:numPr>
              <w:spacing w:before="100"/>
              <w:rPr>
                <w:color w:val="000000"/>
                <w:lang w:val="it-IT"/>
              </w:rPr>
            </w:pPr>
            <w:r w:rsidRPr="00857B1D">
              <w:rPr>
                <w:color w:val="000000"/>
                <w:lang w:val="it-IT"/>
              </w:rPr>
              <w:t>Skupnost občin Slovenije (ZMOS) je interesno združenje na državni ravni, ki zastopa interese mestnih občin na državni in mednarodni ravni.</w:t>
            </w:r>
          </w:p>
          <w:p w14:paraId="32111576" w14:textId="77777777" w:rsidR="00A77B3E" w:rsidRDefault="00EE0419">
            <w:pPr>
              <w:numPr>
                <w:ilvl w:val="0"/>
                <w:numId w:val="17"/>
              </w:numPr>
              <w:spacing w:before="100"/>
              <w:rPr>
                <w:color w:val="000000"/>
              </w:rPr>
            </w:pPr>
            <w:r>
              <w:rPr>
                <w:color w:val="000000"/>
              </w:rPr>
              <w:t>Slovenski regionalni razvojni sklad.</w:t>
            </w:r>
          </w:p>
          <w:p w14:paraId="547118D9" w14:textId="77777777" w:rsidR="00A77B3E" w:rsidRDefault="00A77B3E">
            <w:pPr>
              <w:spacing w:before="100"/>
              <w:rPr>
                <w:color w:val="000000"/>
              </w:rPr>
            </w:pPr>
          </w:p>
          <w:p w14:paraId="11D31387" w14:textId="77777777" w:rsidR="00A77B3E" w:rsidRDefault="00EE0419">
            <w:pPr>
              <w:spacing w:before="100"/>
              <w:rPr>
                <w:color w:val="000000"/>
              </w:rPr>
            </w:pPr>
            <w:r>
              <w:rPr>
                <w:color w:val="000000"/>
              </w:rPr>
              <w:t>Raziskovalne organizacije in univerze:</w:t>
            </w:r>
          </w:p>
          <w:p w14:paraId="69A0DB96" w14:textId="77777777" w:rsidR="00A77B3E" w:rsidRDefault="00EE0419">
            <w:pPr>
              <w:numPr>
                <w:ilvl w:val="0"/>
                <w:numId w:val="18"/>
              </w:numPr>
              <w:spacing w:before="100"/>
              <w:rPr>
                <w:color w:val="000000"/>
              </w:rPr>
            </w:pPr>
            <w:r>
              <w:rPr>
                <w:color w:val="000000"/>
              </w:rPr>
              <w:t>Javna agencija za raziskovalno dejavnost Republike Slovenije (ARRS) – opravlja strokovne, razvojne in izvajalske naloge v zvezi z izvajanjem sprejete Raziskovalno-inovacijske strategije Slovenije in druge naloge spodbujanja raziskovalne dejavnosti.</w:t>
            </w:r>
          </w:p>
          <w:p w14:paraId="5B14F683" w14:textId="77777777" w:rsidR="00A77B3E" w:rsidRDefault="00A77B3E">
            <w:pPr>
              <w:spacing w:before="100"/>
              <w:rPr>
                <w:color w:val="000000"/>
              </w:rPr>
            </w:pPr>
          </w:p>
          <w:p w14:paraId="4E41E471" w14:textId="77777777" w:rsidR="00A77B3E" w:rsidRPr="00857B1D" w:rsidRDefault="00EE0419">
            <w:pPr>
              <w:spacing w:before="100"/>
              <w:rPr>
                <w:color w:val="000000"/>
                <w:lang w:val="it-IT"/>
              </w:rPr>
            </w:pPr>
            <w:r>
              <w:rPr>
                <w:color w:val="000000"/>
              </w:rPr>
              <w:t xml:space="preserve">Ko so omenjene organizacije prejele Program, so ga razdelile svojim članom. Kasneje smo organizirali javni posvet, kamor so bili povabljeni vsi deležniki in zainteresirana javnost. Na sestanku so bili prisotni predstavniki nekaterih partnerjev (Slovenska filantropija, Inštitut za narodnostna vprašanja, Inštitut za mednarodni afriški forum, IOM, Mirovni inštitut, Znanstvenoraziskovalni center Slovenske akademije znanosti in umetnosti -ZRC SAZU, Združenje občin Slovenije), ki so predstavili svoje pripombe. </w:t>
            </w:r>
            <w:r w:rsidRPr="00857B1D">
              <w:rPr>
                <w:color w:val="000000"/>
                <w:lang w:val="it-IT"/>
              </w:rPr>
              <w:t>Poleg navedenega smo prejeli tudi pisne pripombe Inštituta za narodnostna vprašanja in Mirovnega inštituta. Pripombe so bile smiselno upoštevane in bodo javno dostopne na spletni strani skladov.</w:t>
            </w:r>
          </w:p>
          <w:p w14:paraId="50E5AF9F" w14:textId="77777777" w:rsidR="00A77B3E" w:rsidRPr="00857B1D" w:rsidRDefault="00A77B3E">
            <w:pPr>
              <w:spacing w:before="100"/>
              <w:rPr>
                <w:color w:val="000000"/>
                <w:lang w:val="it-IT"/>
              </w:rPr>
            </w:pPr>
          </w:p>
          <w:p w14:paraId="168F482C" w14:textId="77777777" w:rsidR="00A77B3E" w:rsidRPr="00857B1D" w:rsidRDefault="00A77B3E">
            <w:pPr>
              <w:spacing w:before="100"/>
              <w:rPr>
                <w:color w:val="000000"/>
                <w:lang w:val="it-IT"/>
              </w:rPr>
            </w:pPr>
          </w:p>
          <w:p w14:paraId="11D0788F" w14:textId="77777777" w:rsidR="00A77B3E" w:rsidRPr="00857B1D" w:rsidRDefault="00EE0419">
            <w:pPr>
              <w:spacing w:before="100"/>
              <w:rPr>
                <w:color w:val="000000"/>
                <w:lang w:val="it-IT"/>
              </w:rPr>
            </w:pPr>
            <w:r w:rsidRPr="00857B1D">
              <w:rPr>
                <w:color w:val="000000"/>
                <w:lang w:val="it-IT"/>
              </w:rPr>
              <w:lastRenderedPageBreak/>
              <w:t>V fazi izvajanja in evalvacije pa bo medresorsko usklajevanje in sodelovanje vzpostavljeno z zgoraj omenjenimi deležniki potekalo v okviru Medresorske delovne skupine za koordinacijo in operativno usklajevanje izvajanja operacij skladov s področja notranje varnosti in migracij (MDS) kot pripravljalne skupine ter Odbora za spremljanje skladov s področja notranje varnosti in migracij (OSS) kot odločevalskega telesa. MDS bo delovala kot delovno posvetovalna skupina, ki jo bodo sestavljali imenovani posamezniki, na ravni državnih organov, ki bodo sodelovali pri implementaciji skladov ter bo namenjena predstavitvi stanja, rezultatov in izzivov nastalih pri tem. Poleg tega bo pristojen za razpravo o zadevah/nalogah, ki jih preverja in potrdi OSS.</w:t>
            </w:r>
          </w:p>
          <w:p w14:paraId="05ADBEC0" w14:textId="77777777" w:rsidR="00A77B3E" w:rsidRPr="00857B1D" w:rsidRDefault="00A77B3E">
            <w:pPr>
              <w:spacing w:before="100"/>
              <w:rPr>
                <w:color w:val="000000"/>
                <w:lang w:val="it-IT"/>
              </w:rPr>
            </w:pPr>
          </w:p>
          <w:p w14:paraId="757B7316" w14:textId="77777777" w:rsidR="00A77B3E" w:rsidRDefault="00EE0419">
            <w:pPr>
              <w:spacing w:before="100"/>
              <w:rPr>
                <w:color w:val="000000"/>
              </w:rPr>
            </w:pPr>
            <w:r w:rsidRPr="00857B1D">
              <w:rPr>
                <w:color w:val="000000"/>
                <w:lang w:val="it-IT"/>
              </w:rPr>
              <w:t xml:space="preserve">V OSS bodo k imenovanju predstavnikov pozvani organi na državni ravni in organi iz sistema nadzora in upravljanja ter EK, kot tudi partnerji (regionalni, lokalni, mestni in drugi javni organi; ekonomski in socialni partnerji; telesa, ki predstavljajo civilno družbo, kot so okoljski partnerji, nevladne organizacije in telesa, odgovorna za spodbujanje socialne vključenosti, temeljnih pravic, pravic invalidov, enakosti spolov in nediskriminacije; raziskovalne organizacije in univerze) ter decentralizirane agencije. </w:t>
            </w:r>
            <w:r>
              <w:rPr>
                <w:color w:val="000000"/>
              </w:rPr>
              <w:t>OSS bo pristojen za preverjanje spodaj navedenega:</w:t>
            </w:r>
          </w:p>
          <w:p w14:paraId="1BFAFAB2" w14:textId="77777777" w:rsidR="00A77B3E" w:rsidRPr="00857B1D" w:rsidRDefault="00EE0419">
            <w:pPr>
              <w:numPr>
                <w:ilvl w:val="0"/>
                <w:numId w:val="19"/>
              </w:numPr>
              <w:spacing w:before="100"/>
              <w:rPr>
                <w:color w:val="000000"/>
                <w:lang w:val="it-IT"/>
              </w:rPr>
            </w:pPr>
            <w:r w:rsidRPr="00857B1D">
              <w:rPr>
                <w:color w:val="000000"/>
                <w:lang w:val="it-IT"/>
              </w:rPr>
              <w:t>napredek pri izvajanju Programa, doseganju mejnikov in ciljnih vrednosti,</w:t>
            </w:r>
          </w:p>
          <w:p w14:paraId="06704121" w14:textId="77777777" w:rsidR="00A77B3E" w:rsidRPr="00857B1D" w:rsidRDefault="00EE0419">
            <w:pPr>
              <w:numPr>
                <w:ilvl w:val="0"/>
                <w:numId w:val="19"/>
              </w:numPr>
              <w:spacing w:before="100"/>
              <w:rPr>
                <w:color w:val="000000"/>
                <w:lang w:val="it-IT"/>
              </w:rPr>
            </w:pPr>
            <w:r w:rsidRPr="00857B1D">
              <w:rPr>
                <w:color w:val="000000"/>
                <w:lang w:val="it-IT"/>
              </w:rPr>
              <w:t>morebitna vprašanja, ki vplivajo na smotrnost Programa, in ukrepe, sprejete za obravnavo teh vprašanj,</w:t>
            </w:r>
          </w:p>
          <w:p w14:paraId="1B7F46E3" w14:textId="77777777" w:rsidR="00A77B3E" w:rsidRPr="00857B1D" w:rsidRDefault="00EE0419">
            <w:pPr>
              <w:numPr>
                <w:ilvl w:val="0"/>
                <w:numId w:val="19"/>
              </w:numPr>
              <w:spacing w:before="100"/>
              <w:rPr>
                <w:color w:val="000000"/>
                <w:lang w:val="it-IT"/>
              </w:rPr>
            </w:pPr>
            <w:r w:rsidRPr="00857B1D">
              <w:rPr>
                <w:color w:val="000000"/>
                <w:lang w:val="it-IT"/>
              </w:rPr>
              <w:t>prispevek Programa k reševanju izzivov, opredeljenih v ustreznih priporočilih za posamezne države, ki so povezana z izvajanjem Programa,</w:t>
            </w:r>
          </w:p>
          <w:p w14:paraId="7CCF3945" w14:textId="77777777" w:rsidR="00A77B3E" w:rsidRPr="00857B1D" w:rsidRDefault="00EE0419">
            <w:pPr>
              <w:numPr>
                <w:ilvl w:val="0"/>
                <w:numId w:val="19"/>
              </w:numPr>
              <w:spacing w:before="100"/>
              <w:rPr>
                <w:color w:val="000000"/>
                <w:lang w:val="it-IT"/>
              </w:rPr>
            </w:pPr>
            <w:r w:rsidRPr="00857B1D">
              <w:rPr>
                <w:color w:val="000000"/>
                <w:lang w:val="it-IT"/>
              </w:rPr>
              <w:t>elemente predhodne ocene in strateški dokument,</w:t>
            </w:r>
          </w:p>
          <w:p w14:paraId="34D4FEDC" w14:textId="77777777" w:rsidR="00A77B3E" w:rsidRPr="00857B1D" w:rsidRDefault="00EE0419">
            <w:pPr>
              <w:numPr>
                <w:ilvl w:val="0"/>
                <w:numId w:val="19"/>
              </w:numPr>
              <w:spacing w:before="100"/>
              <w:rPr>
                <w:color w:val="000000"/>
                <w:lang w:val="it-IT"/>
              </w:rPr>
            </w:pPr>
            <w:r w:rsidRPr="00857B1D">
              <w:rPr>
                <w:color w:val="000000"/>
                <w:lang w:val="it-IT"/>
              </w:rPr>
              <w:t>napredek, dosežen pri izvajanju vrednotenj, sintez vrednotenj in morebitnega nadaljnjega spremljanja ugotovitev,</w:t>
            </w:r>
          </w:p>
          <w:p w14:paraId="6A41FBE3" w14:textId="77777777" w:rsidR="00A77B3E" w:rsidRPr="00857B1D" w:rsidRDefault="00EE0419">
            <w:pPr>
              <w:numPr>
                <w:ilvl w:val="0"/>
                <w:numId w:val="19"/>
              </w:numPr>
              <w:spacing w:before="100"/>
              <w:rPr>
                <w:color w:val="000000"/>
                <w:lang w:val="it-IT"/>
              </w:rPr>
            </w:pPr>
            <w:r w:rsidRPr="00857B1D">
              <w:rPr>
                <w:color w:val="000000"/>
                <w:lang w:val="it-IT"/>
              </w:rPr>
              <w:t>izvajanje ukrepov v zvezi s komuniciranjem in prepoznavnostjo,</w:t>
            </w:r>
          </w:p>
          <w:p w14:paraId="006915A0" w14:textId="77777777" w:rsidR="00A77B3E" w:rsidRPr="00857B1D" w:rsidRDefault="00EE0419">
            <w:pPr>
              <w:numPr>
                <w:ilvl w:val="0"/>
                <w:numId w:val="19"/>
              </w:numPr>
              <w:spacing w:before="100"/>
              <w:rPr>
                <w:color w:val="000000"/>
                <w:lang w:val="it-IT"/>
              </w:rPr>
            </w:pPr>
            <w:r w:rsidRPr="00857B1D">
              <w:rPr>
                <w:color w:val="000000"/>
                <w:lang w:val="it-IT"/>
              </w:rPr>
              <w:t>napredek pri izvajanju operacij strateškega pomena,</w:t>
            </w:r>
          </w:p>
          <w:p w14:paraId="5A6F4CA7" w14:textId="77777777" w:rsidR="00A77B3E" w:rsidRPr="00857B1D" w:rsidRDefault="00EE0419">
            <w:pPr>
              <w:numPr>
                <w:ilvl w:val="0"/>
                <w:numId w:val="19"/>
              </w:numPr>
              <w:spacing w:before="100"/>
              <w:rPr>
                <w:color w:val="000000"/>
                <w:lang w:val="it-IT"/>
              </w:rPr>
            </w:pPr>
            <w:r w:rsidRPr="00857B1D">
              <w:rPr>
                <w:color w:val="000000"/>
                <w:lang w:val="it-IT"/>
              </w:rPr>
              <w:t>izpolnjevanje omogočitvenih pogojev in njihovo uporabo v celotnem programskem obdobju,</w:t>
            </w:r>
          </w:p>
          <w:p w14:paraId="7ADC7EFA" w14:textId="77777777" w:rsidR="00A77B3E" w:rsidRPr="00857B1D" w:rsidRDefault="00EE0419">
            <w:pPr>
              <w:numPr>
                <w:ilvl w:val="0"/>
                <w:numId w:val="19"/>
              </w:numPr>
              <w:spacing w:before="100"/>
              <w:rPr>
                <w:color w:val="000000"/>
                <w:lang w:val="it-IT"/>
              </w:rPr>
            </w:pPr>
            <w:r w:rsidRPr="00857B1D">
              <w:rPr>
                <w:color w:val="000000"/>
                <w:lang w:val="it-IT"/>
              </w:rPr>
              <w:t>napredek pri krepitvi upravnih zmogljivosti za javne institucije, partnerje in upravičence,</w:t>
            </w:r>
          </w:p>
          <w:p w14:paraId="78004304" w14:textId="77777777" w:rsidR="00A77B3E" w:rsidRDefault="00EE0419">
            <w:pPr>
              <w:numPr>
                <w:ilvl w:val="0"/>
                <w:numId w:val="19"/>
              </w:numPr>
              <w:spacing w:before="100"/>
              <w:rPr>
                <w:color w:val="000000"/>
              </w:rPr>
            </w:pPr>
            <w:r>
              <w:rPr>
                <w:color w:val="000000"/>
              </w:rPr>
              <w:t>informacije v zvezi z izvajanjem prispevka Programa k programu Invest EU.</w:t>
            </w:r>
          </w:p>
          <w:p w14:paraId="3D17D695" w14:textId="77777777" w:rsidR="00A77B3E" w:rsidRDefault="00A77B3E">
            <w:pPr>
              <w:spacing w:before="100"/>
              <w:rPr>
                <w:color w:val="000000"/>
              </w:rPr>
            </w:pPr>
          </w:p>
          <w:p w14:paraId="568FDBC8" w14:textId="77777777" w:rsidR="00A77B3E" w:rsidRDefault="00EE0419">
            <w:pPr>
              <w:spacing w:before="100"/>
              <w:rPr>
                <w:color w:val="000000"/>
              </w:rPr>
            </w:pPr>
            <w:r>
              <w:rPr>
                <w:color w:val="000000"/>
              </w:rPr>
              <w:t>OSS je pristojen za odobritev metodologije in merila za izbor operacij, letnih poročil o smotrnosti, načrta vrednotenja in njegovih morebitne spremembe ter morebitne predloge OU za spremembo Programa. Poleg tega pa OSS lahko daje priporočila OU. Skladno s tem je pomembna zastopanost vseh raznolikih deležnikov.</w:t>
            </w:r>
          </w:p>
          <w:p w14:paraId="67EF76B3" w14:textId="77777777" w:rsidR="00A77B3E" w:rsidRDefault="00A77B3E">
            <w:pPr>
              <w:spacing w:before="100"/>
              <w:rPr>
                <w:color w:val="000000"/>
              </w:rPr>
            </w:pPr>
          </w:p>
          <w:p w14:paraId="68A99235" w14:textId="77777777" w:rsidR="00A77B3E" w:rsidRPr="00857B1D" w:rsidRDefault="00EE0419">
            <w:pPr>
              <w:spacing w:before="100"/>
              <w:rPr>
                <w:color w:val="000000"/>
                <w:lang w:val="it-IT"/>
              </w:rPr>
            </w:pPr>
            <w:r w:rsidRPr="00857B1D">
              <w:rPr>
                <w:color w:val="000000"/>
                <w:lang w:val="it-IT"/>
              </w:rPr>
              <w:t>Proces odločanja in sodelovanja na ravni EU pa se vrši v okviru Odbora AMIF-ISF-BMVI.</w:t>
            </w:r>
          </w:p>
          <w:p w14:paraId="4C5AEBA5" w14:textId="77777777" w:rsidR="00A77B3E" w:rsidRPr="00857B1D" w:rsidRDefault="00A77B3E">
            <w:pPr>
              <w:spacing w:before="100"/>
              <w:rPr>
                <w:color w:val="000000"/>
                <w:lang w:val="it-IT"/>
              </w:rPr>
            </w:pPr>
          </w:p>
          <w:p w14:paraId="570F0476" w14:textId="77777777" w:rsidR="00A77B3E" w:rsidRPr="00857B1D" w:rsidRDefault="00EE0419">
            <w:pPr>
              <w:spacing w:before="100"/>
              <w:rPr>
                <w:color w:val="000000"/>
                <w:lang w:val="it-IT"/>
              </w:rPr>
            </w:pPr>
            <w:r w:rsidRPr="00857B1D">
              <w:rPr>
                <w:b/>
                <w:bCs/>
                <w:color w:val="000000"/>
                <w:lang w:val="it-IT"/>
              </w:rPr>
              <w:t xml:space="preserve">Komplementarnosti in sinergije: </w:t>
            </w:r>
            <w:r w:rsidRPr="00857B1D">
              <w:rPr>
                <w:color w:val="000000"/>
                <w:lang w:val="it-IT"/>
              </w:rPr>
              <w:t>Med skladi na področju notranjih zadev (AMIF, ISF, BMVI) so zaznane pomembne sinergije na področju upravljanja migracij, vzpostavitve in posodabljanja infrastrukture vezane na migracije, storitve pri obravnavi oseb ter pri preprečevanju kriminala. Kar se tiče komplementarnosti in razmejitev jih je zaznati predvsem na področju informacijskih sistemov, saj zaradi prepletanja vsebin in interoperabilnosti segajo na področje upravljanja meja, migracij in notranje varnosti. Skladno s tem je potrebna posebna pozornost pri oblikovanju ustrezne razmejitve med skladi. Ker je OU za vse HOME sklade eden, so znotraj vzpostavljeni mehanizmi za zagotavljanje učinkovitega spremljanja.</w:t>
            </w:r>
          </w:p>
          <w:p w14:paraId="762B15CE" w14:textId="77777777" w:rsidR="00A77B3E" w:rsidRPr="00857B1D" w:rsidRDefault="00A77B3E">
            <w:pPr>
              <w:spacing w:before="100"/>
              <w:rPr>
                <w:color w:val="000000"/>
                <w:lang w:val="it-IT"/>
              </w:rPr>
            </w:pPr>
          </w:p>
          <w:p w14:paraId="6DF07219" w14:textId="77777777" w:rsidR="00A77B3E" w:rsidRPr="00857B1D" w:rsidRDefault="00EE0419">
            <w:pPr>
              <w:spacing w:before="100"/>
              <w:rPr>
                <w:color w:val="000000"/>
                <w:lang w:val="it-IT"/>
              </w:rPr>
            </w:pPr>
            <w:r w:rsidRPr="00857B1D">
              <w:rPr>
                <w:color w:val="000000"/>
                <w:lang w:val="it-IT"/>
              </w:rPr>
              <w:lastRenderedPageBreak/>
              <w:t>OU je vzpostavil sistem za sodelovanja z OU za druge sklade, ki so vključeni v partnerski sporazum. V ta namen bodo vzpostavljeni mehanizmi za zagotavljanje učinkovitega spremljanja. Le-ti bodo potekali na podlagi medresorskih skupin in usklajevanj, sestankov, posvetov ter medsebojnega pregleda dokumentacije. Ključno je spremljanje komplementarnosti z ESS+ in ESRR. To zagotavljamo že v fazi načrtovanja z jasno razmejitvijo aktivnosti, ki se bodo financirane iz posameznega sklada ter z redno izmenjavo informacij v času izvajanja, da se doseže največji skupni učinek.</w:t>
            </w:r>
          </w:p>
          <w:p w14:paraId="3C56296F" w14:textId="77777777" w:rsidR="00A77B3E" w:rsidRPr="00857B1D" w:rsidRDefault="00A77B3E">
            <w:pPr>
              <w:spacing w:before="100"/>
              <w:rPr>
                <w:color w:val="000000"/>
                <w:lang w:val="it-IT"/>
              </w:rPr>
            </w:pPr>
          </w:p>
          <w:p w14:paraId="50806702" w14:textId="77777777" w:rsidR="00A77B3E" w:rsidRPr="00857B1D" w:rsidRDefault="00EE0419">
            <w:pPr>
              <w:spacing w:before="100"/>
              <w:rPr>
                <w:color w:val="000000"/>
                <w:lang w:val="it-IT"/>
              </w:rPr>
            </w:pPr>
            <w:r w:rsidRPr="00857B1D">
              <w:rPr>
                <w:color w:val="000000"/>
                <w:lang w:val="it-IT"/>
              </w:rPr>
              <w:t>Za dopolnjevanje in doseganje sinergij z drugimi instrumenti Unije, ki niso zajeti v Partnerskem sporazumu, ima OU za HOME sklade tudi vzpostavljena sodelovanja. Za zagotavljanje učinkovitega spremljanja bodo organizirani sestanki, posveti, medresorski pregled dokumentacije in izbranih operacij, sodelovanje na OSS in MDS, redna poročanja o odobrenih operacijah ter drugi vzpostavljeni mehanizmi. Poudarek bo tudi na vzpostavitvi sodelovanja in izmenjave informacij organi zadolženimi za upravljanje drugih EU skladov, ki omogočajo financiranje aktivnosti vezano na pomoč osebam z začasno zaščiti iz Ukrajine.</w:t>
            </w:r>
          </w:p>
          <w:p w14:paraId="68FC8FD7" w14:textId="77777777" w:rsidR="00A77B3E" w:rsidRPr="00857B1D" w:rsidRDefault="00A77B3E">
            <w:pPr>
              <w:spacing w:before="100"/>
              <w:rPr>
                <w:color w:val="000000"/>
                <w:lang w:val="it-IT"/>
              </w:rPr>
            </w:pPr>
          </w:p>
          <w:p w14:paraId="3C271C53" w14:textId="77777777" w:rsidR="00A77B3E" w:rsidRPr="00857B1D" w:rsidRDefault="00EE0419">
            <w:pPr>
              <w:spacing w:before="100"/>
              <w:rPr>
                <w:color w:val="000000"/>
                <w:lang w:val="it-IT"/>
              </w:rPr>
            </w:pPr>
            <w:r w:rsidRPr="00857B1D">
              <w:rPr>
                <w:color w:val="000000"/>
                <w:lang w:val="it-IT"/>
              </w:rPr>
              <w:t>Prepoznana so naslednja dopolnjevanja in sinergije med:</w:t>
            </w:r>
          </w:p>
          <w:p w14:paraId="4376613D" w14:textId="77777777" w:rsidR="00A77B3E" w:rsidRPr="00857B1D" w:rsidRDefault="00EE0419">
            <w:pPr>
              <w:numPr>
                <w:ilvl w:val="0"/>
                <w:numId w:val="20"/>
              </w:numPr>
              <w:spacing w:before="100"/>
              <w:rPr>
                <w:color w:val="000000"/>
                <w:lang w:val="it-IT"/>
              </w:rPr>
            </w:pPr>
            <w:r w:rsidRPr="00857B1D">
              <w:rPr>
                <w:color w:val="000000"/>
                <w:lang w:val="it-IT"/>
              </w:rPr>
              <w:t>AMIF, ISF in BMVI na področju zunanje razsežnosti EU migracijske in varnostne politike z zunanjimi instrumenti, kot sta Neighbourhood, Development and International Cooperation Instrument (NDICI) in Instrument za predpristopno pomoč (IPA),</w:t>
            </w:r>
          </w:p>
          <w:p w14:paraId="2F7D26C5" w14:textId="77777777" w:rsidR="00A77B3E" w:rsidRDefault="00EE0419">
            <w:pPr>
              <w:numPr>
                <w:ilvl w:val="0"/>
                <w:numId w:val="20"/>
              </w:numPr>
              <w:spacing w:before="100"/>
              <w:rPr>
                <w:color w:val="000000"/>
              </w:rPr>
            </w:pPr>
            <w:r>
              <w:rPr>
                <w:color w:val="000000"/>
              </w:rPr>
              <w:t>AMIF in Erasmus+,</w:t>
            </w:r>
          </w:p>
          <w:p w14:paraId="6F452396" w14:textId="77777777" w:rsidR="00A77B3E" w:rsidRDefault="00EE0419">
            <w:pPr>
              <w:numPr>
                <w:ilvl w:val="0"/>
                <w:numId w:val="20"/>
              </w:numPr>
              <w:spacing w:before="100"/>
              <w:rPr>
                <w:color w:val="000000"/>
              </w:rPr>
            </w:pPr>
            <w:r>
              <w:rPr>
                <w:color w:val="000000"/>
              </w:rPr>
              <w:t>AMIF in ESS+ ter</w:t>
            </w:r>
          </w:p>
          <w:p w14:paraId="4A733165" w14:textId="77777777" w:rsidR="00A77B3E" w:rsidRDefault="00EE0419">
            <w:pPr>
              <w:numPr>
                <w:ilvl w:val="0"/>
                <w:numId w:val="20"/>
              </w:numPr>
              <w:spacing w:before="100"/>
              <w:rPr>
                <w:color w:val="000000"/>
              </w:rPr>
            </w:pPr>
            <w:r>
              <w:rPr>
                <w:color w:val="000000"/>
              </w:rPr>
              <w:t>ISF in ESRR.</w:t>
            </w:r>
          </w:p>
          <w:p w14:paraId="403ACBEE" w14:textId="77777777" w:rsidR="00A77B3E" w:rsidRDefault="00A77B3E">
            <w:pPr>
              <w:spacing w:before="100"/>
              <w:rPr>
                <w:color w:val="000000"/>
              </w:rPr>
            </w:pPr>
          </w:p>
          <w:p w14:paraId="2AAE33F1" w14:textId="77777777" w:rsidR="00A77B3E" w:rsidRPr="00857B1D" w:rsidRDefault="00EE0419">
            <w:pPr>
              <w:spacing w:before="100"/>
              <w:rPr>
                <w:color w:val="000000"/>
                <w:lang w:val="it-IT"/>
              </w:rPr>
            </w:pPr>
            <w:r>
              <w:rPr>
                <w:color w:val="000000"/>
              </w:rPr>
              <w:t>Načrtovane aktivnosti v okviru AMIF, povezane z vključevanjem DTD (migrantov, osebe z mednarodno zaščito, prosilci za mednarodno zaščito) v družbo, so komplementarne z načrtovanimi aktivnostmi v okviru ESS+.</w:t>
            </w:r>
            <w:r>
              <w:rPr>
                <w:i/>
                <w:iCs/>
                <w:color w:val="000000"/>
              </w:rPr>
              <w:t xml:space="preserve"> </w:t>
            </w:r>
            <w:r>
              <w:rPr>
                <w:color w:val="000000"/>
              </w:rPr>
              <w:t xml:space="preserve">Oba sklada naslavljata vključevanje migrantov na trg dela, pri čemer se bomo v okviru AMIF usmerili na osnovno učenje slovenskega jezika, podporo v začetni fazi socialnega vključevanja (svetovanje, nastanitev, denarna pomoč, itd.) in s tem nudili pomoč pri vstopu na trg dela. ESS+ pa nudi pomoč v naslednji fazi, tako, da omogoči vključitev posameznikov v programe Aktivne politike zaposlovanja (predvsem gre za programe usposabljanja za pridobivanje veščin in kompetenc, potrebnih s strani delodajalcev in spodbuda (subvencija) za zaposlitev pri konkretnem delodajalcu). Oba sklada posegata na področje pomoči v obliki medkulturnega mediatorja/svetovalca zaposlitve, a vsak pokriva druge naloge; AMIF se usmerja na pomoč osebam z mednarodno zaščito pri urejanju vsega potrebnega za lažjo integracijo v družbo, ESS+ oz. ukrepi trga dela, ki so sofinancirani iz integralnih sredstev, pa na področje dostopa do delodajalcev in zaposlitve. Prav tako oba sklada izvajata aktivnosti na področju programov socialnega vključevanja in socialne aktivacije, kjer bo pri pripravi vsebin razpisov s tega področja vzpostavljeno sodelovanje s ciljem, da se ukrepi zastavijo čim bolj komplementarno. </w:t>
            </w:r>
            <w:r w:rsidRPr="00857B1D">
              <w:rPr>
                <w:color w:val="000000"/>
                <w:lang w:val="it-IT"/>
              </w:rPr>
              <w:t>Vzpostavljeno je sodelovanje, da se doseže popolna izvedba storitev ter ne prihaja do prekrivanja. Prepoznano je pomanjkanje ustrezne podpore mladoletnikom brez spremstva ob prehodu v polnoletnost. Poleg tega je zaznati porast primerov oseb s težavami v duševnem zdravju, posebnimi potrebami in žrtev različnih zlorab. Skladno s tem je potrebno celostno usmerjanje na opolnomočenje in vzpodbujanje oseb k aktivnemu premagovanju težav, travm in soočanju z različnimi osebnimi okoliščinami. AMIF in ESS+ lahko delujeta komplementarno tudi na področju nudenja zdravniške oskrbe migrantom, kjer bodo prav tako vzpostavljene povezave, da se doseže popolna izvedba storitev ter ne prihaja do prekrivanja. Na tak način bo dosežena razbremenitev dela zdravstvenih domov, lažja in kvalitetnejša obravnava migrantov, dostopnost storitev, kontinuirana zdravstvena oskrba v azilnem domu, ki bo dostopna prosilcem, lažje naročanje, pogostejša obravnava, vzpostavitev evidenc obravnave, spremljanje bolezenskega stanja prosilcev za mednarodno zaščito, sprejemanje ukrepov za preprečevanje nalezljivih bolezni, sodelovanje z Nacionalnim inštitutom za javnim zdravjem, domačimi in tujimi strokovnimi službami.</w:t>
            </w:r>
          </w:p>
          <w:p w14:paraId="780B6D27" w14:textId="77777777" w:rsidR="00A77B3E" w:rsidRPr="00857B1D" w:rsidRDefault="00A77B3E">
            <w:pPr>
              <w:spacing w:before="100"/>
              <w:rPr>
                <w:color w:val="000000"/>
                <w:lang w:val="it-IT"/>
              </w:rPr>
            </w:pPr>
          </w:p>
          <w:p w14:paraId="696771BE" w14:textId="77777777" w:rsidR="00A77B3E" w:rsidRPr="00857B1D" w:rsidRDefault="00EE0419">
            <w:pPr>
              <w:spacing w:before="100"/>
              <w:rPr>
                <w:color w:val="000000"/>
                <w:lang w:val="it-IT"/>
              </w:rPr>
            </w:pPr>
            <w:r w:rsidRPr="00857B1D">
              <w:rPr>
                <w:color w:val="000000"/>
                <w:lang w:val="it-IT"/>
              </w:rPr>
              <w:lastRenderedPageBreak/>
              <w:t>Razmejitev med programoma AMIF in BMVI je v Republiki Sloveniji zagotovljena tako, da so vse operacije, ki so vezane na obravnavo in vračanje DTD, ki nelegalno bivajo v Sloveniji, financirane samo iz AMIF. Iz BMVI so financirani predvsem nakupi opreme, vezani na nadzor začasne zunanje meje in vizumske postopke, informacijski sistemi in druge operacije iz tega področja. Oba programa sta bila pripravljena in usklajevana s strani istega OU, ki bo opravljal tudi administrativne kontrole upravičenosti, tako da dvojnega financiranja med programi ne more priti.</w:t>
            </w:r>
          </w:p>
          <w:p w14:paraId="40837A8A" w14:textId="77777777" w:rsidR="00A77B3E" w:rsidRPr="00857B1D" w:rsidRDefault="00A77B3E">
            <w:pPr>
              <w:spacing w:before="100"/>
              <w:rPr>
                <w:color w:val="000000"/>
                <w:lang w:val="it-IT"/>
              </w:rPr>
            </w:pPr>
          </w:p>
          <w:p w14:paraId="0F00C4EC" w14:textId="77777777" w:rsidR="00A77B3E" w:rsidRPr="00857B1D" w:rsidRDefault="00EE0419">
            <w:pPr>
              <w:spacing w:before="100"/>
              <w:rPr>
                <w:color w:val="000000"/>
                <w:lang w:val="it-IT"/>
              </w:rPr>
            </w:pPr>
            <w:r w:rsidRPr="00857B1D">
              <w:rPr>
                <w:color w:val="000000"/>
                <w:lang w:val="it-IT"/>
              </w:rPr>
              <w:t>Eden izmed ciljev sklada AMIF je vzpostavitev ali izboljšanje sprejemne infrastrukture za migrante, vključno z možnostjo skupne uporabe te infrastrukture s strani več držav članic, saj je zaradi povečanega števila oseb pri sprejemu in nastanitvi izkazana potreba po prilagoditvi obstoječih sprejemnih in nastanitvenih prostorov. Potrebna je zagotovitev ustreznih prostorov za sprejem, oskrbo in nastanitev, kar bi se lahko doseglo s povečanjem in prenovo sprejemnih in nastanitvenih prostorov, sanitarno higienskega trakta in zamenjavo dotrajane opreme. Pri tem je poleg sredstev AMIF možna uporaba tudi sredstev sklada ESRR, če se bo izkazala potreba, pri tem pa bomo s skupnim načrtovanjem operacij kot celote zagotavljali, da ne bo prihajalo do prekrivanj.</w:t>
            </w:r>
          </w:p>
          <w:p w14:paraId="2B8F3B79" w14:textId="77777777" w:rsidR="00A77B3E" w:rsidRPr="00857B1D" w:rsidRDefault="00A77B3E">
            <w:pPr>
              <w:spacing w:before="100"/>
              <w:rPr>
                <w:color w:val="000000"/>
                <w:lang w:val="it-IT"/>
              </w:rPr>
            </w:pPr>
          </w:p>
        </w:tc>
      </w:tr>
    </w:tbl>
    <w:p w14:paraId="00F2FC7D" w14:textId="77777777" w:rsidR="00A77B3E" w:rsidRPr="00857B1D" w:rsidRDefault="00EE0419">
      <w:pPr>
        <w:pStyle w:val="Naslov1"/>
        <w:spacing w:before="100" w:after="0"/>
        <w:rPr>
          <w:rFonts w:ascii="Times New Roman" w:hAnsi="Times New Roman" w:cs="Times New Roman"/>
          <w:b w:val="0"/>
          <w:color w:val="000000"/>
          <w:sz w:val="24"/>
          <w:lang w:val="it-IT"/>
        </w:rPr>
      </w:pPr>
      <w:r w:rsidRPr="00857B1D">
        <w:rPr>
          <w:rFonts w:ascii="Times New Roman" w:hAnsi="Times New Roman" w:cs="Times New Roman"/>
          <w:b w:val="0"/>
          <w:color w:val="000000"/>
          <w:sz w:val="24"/>
          <w:lang w:val="it-IT"/>
        </w:rPr>
        <w:lastRenderedPageBreak/>
        <w:br w:type="page"/>
      </w:r>
      <w:bookmarkStart w:id="49" w:name="_Toc256000113"/>
      <w:r w:rsidRPr="00857B1D">
        <w:rPr>
          <w:rFonts w:ascii="Times New Roman" w:hAnsi="Times New Roman" w:cs="Times New Roman"/>
          <w:b w:val="0"/>
          <w:color w:val="000000"/>
          <w:sz w:val="24"/>
          <w:lang w:val="it-IT"/>
        </w:rPr>
        <w:lastRenderedPageBreak/>
        <w:t>7. Komuniciranje in prepoznavnost</w:t>
      </w:r>
      <w:bookmarkEnd w:id="49"/>
    </w:p>
    <w:p w14:paraId="04CD0B4D" w14:textId="77777777" w:rsidR="00A77B3E" w:rsidRPr="00857B1D" w:rsidRDefault="00EE0419">
      <w:pPr>
        <w:spacing w:before="100"/>
        <w:rPr>
          <w:color w:val="000000"/>
          <w:sz w:val="16"/>
          <w:lang w:val="it-IT"/>
        </w:rPr>
      </w:pPr>
      <w:r w:rsidRPr="00857B1D">
        <w:rPr>
          <w:color w:val="000000"/>
          <w:lang w:val="it-IT"/>
        </w:rPr>
        <w:t>Sklic: člen 22(3)(j) uredbe o skupnih določbah</w:t>
      </w:r>
    </w:p>
    <w:p w14:paraId="49372BD1" w14:textId="77777777" w:rsidR="00A77B3E" w:rsidRPr="00857B1D" w:rsidRDefault="00A77B3E">
      <w:pPr>
        <w:spacing w:before="100"/>
        <w:rPr>
          <w:color w:val="000000"/>
          <w:sz w:val="1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C4D24" w:rsidRPr="00857B1D" w14:paraId="4575317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98C1A8" w14:textId="77777777" w:rsidR="00A77B3E" w:rsidRPr="00857B1D" w:rsidRDefault="00A77B3E">
            <w:pPr>
              <w:spacing w:before="100"/>
              <w:rPr>
                <w:color w:val="000000"/>
                <w:sz w:val="0"/>
                <w:lang w:val="it-IT"/>
              </w:rPr>
            </w:pPr>
          </w:p>
          <w:p w14:paraId="534A249E" w14:textId="77777777" w:rsidR="00A77B3E" w:rsidRPr="00857B1D" w:rsidRDefault="00EE0419">
            <w:pPr>
              <w:spacing w:before="100"/>
              <w:rPr>
                <w:color w:val="000000"/>
                <w:lang w:val="it-IT"/>
              </w:rPr>
            </w:pPr>
            <w:r w:rsidRPr="00857B1D">
              <w:rPr>
                <w:color w:val="000000"/>
                <w:lang w:val="it-IT"/>
              </w:rPr>
              <w:t>OU prevzema vlogo koordinatorja s področja komuniciranja na ravni države članice za AMIF, ISF in BMVI. Glavni namen komuniciranja na področju skladov notranje varnosti je promocija aktivnosti in dosežkov skladov ter informiranje različnih javnosti za povečanje njihove aktivne vključenosti, kar bi prispevalo k učinkovitemu izvajanju politike s področja notranje varnosti in migracij.</w:t>
            </w:r>
          </w:p>
          <w:p w14:paraId="5E6BB264" w14:textId="77777777" w:rsidR="00A77B3E" w:rsidRPr="00857B1D" w:rsidRDefault="00A77B3E">
            <w:pPr>
              <w:spacing w:before="100"/>
              <w:rPr>
                <w:color w:val="000000"/>
                <w:lang w:val="it-IT"/>
              </w:rPr>
            </w:pPr>
          </w:p>
          <w:p w14:paraId="64A77CDE" w14:textId="77777777" w:rsidR="00A77B3E" w:rsidRDefault="00EE0419">
            <w:pPr>
              <w:spacing w:before="100"/>
              <w:rPr>
                <w:color w:val="000000"/>
              </w:rPr>
            </w:pPr>
            <w:r>
              <w:rPr>
                <w:color w:val="000000"/>
              </w:rPr>
              <w:t>Glavne ciljne skupine (deležniki) so:</w:t>
            </w:r>
          </w:p>
          <w:p w14:paraId="086E48FD" w14:textId="77777777" w:rsidR="00A77B3E" w:rsidRDefault="00EE0419">
            <w:pPr>
              <w:numPr>
                <w:ilvl w:val="0"/>
                <w:numId w:val="21"/>
              </w:numPr>
              <w:spacing w:before="100"/>
              <w:rPr>
                <w:color w:val="000000"/>
              </w:rPr>
            </w:pPr>
            <w:r>
              <w:rPr>
                <w:color w:val="000000"/>
              </w:rPr>
              <w:t>potencialni upravičenci,</w:t>
            </w:r>
          </w:p>
          <w:p w14:paraId="09F2BA73" w14:textId="77777777" w:rsidR="00A77B3E" w:rsidRDefault="00EE0419">
            <w:pPr>
              <w:numPr>
                <w:ilvl w:val="0"/>
                <w:numId w:val="21"/>
              </w:numPr>
              <w:spacing w:before="100"/>
              <w:rPr>
                <w:color w:val="000000"/>
              </w:rPr>
            </w:pPr>
            <w:r>
              <w:rPr>
                <w:color w:val="000000"/>
              </w:rPr>
              <w:t>upravičenci z zakonskimi pristojnostmi s področja,</w:t>
            </w:r>
          </w:p>
          <w:p w14:paraId="3FE78B85" w14:textId="77777777" w:rsidR="00A77B3E" w:rsidRDefault="00EE0419">
            <w:pPr>
              <w:numPr>
                <w:ilvl w:val="0"/>
                <w:numId w:val="21"/>
              </w:numPr>
              <w:spacing w:before="100"/>
              <w:rPr>
                <w:color w:val="000000"/>
              </w:rPr>
            </w:pPr>
            <w:r>
              <w:rPr>
                <w:color w:val="000000"/>
              </w:rPr>
              <w:t>upravičenci, ki izvajajo operacije preko javnih razpisov (nevladne organizacije),</w:t>
            </w:r>
          </w:p>
          <w:p w14:paraId="30E03A92" w14:textId="77777777" w:rsidR="00A77B3E" w:rsidRDefault="00EE0419">
            <w:pPr>
              <w:numPr>
                <w:ilvl w:val="0"/>
                <w:numId w:val="21"/>
              </w:numPr>
              <w:spacing w:before="100"/>
              <w:rPr>
                <w:color w:val="000000"/>
              </w:rPr>
            </w:pPr>
            <w:r>
              <w:rPr>
                <w:color w:val="000000"/>
              </w:rPr>
              <w:t>ekonomsko-socialni partnerji,</w:t>
            </w:r>
          </w:p>
          <w:p w14:paraId="2533B0EF" w14:textId="77777777" w:rsidR="00A77B3E" w:rsidRDefault="00EE0419">
            <w:pPr>
              <w:numPr>
                <w:ilvl w:val="0"/>
                <w:numId w:val="21"/>
              </w:numPr>
              <w:spacing w:before="100"/>
              <w:rPr>
                <w:color w:val="000000"/>
              </w:rPr>
            </w:pPr>
            <w:r>
              <w:rPr>
                <w:color w:val="000000"/>
              </w:rPr>
              <w:t>splošna javnost.</w:t>
            </w:r>
          </w:p>
          <w:p w14:paraId="4B1775A6" w14:textId="77777777" w:rsidR="00A77B3E" w:rsidRDefault="00A77B3E">
            <w:pPr>
              <w:spacing w:before="100"/>
              <w:rPr>
                <w:color w:val="000000"/>
              </w:rPr>
            </w:pPr>
          </w:p>
          <w:p w14:paraId="5E093D51" w14:textId="77777777" w:rsidR="00A77B3E" w:rsidRPr="00857B1D" w:rsidRDefault="00EE0419">
            <w:pPr>
              <w:spacing w:before="100"/>
              <w:rPr>
                <w:color w:val="000000"/>
                <w:lang w:val="it-IT"/>
              </w:rPr>
            </w:pPr>
            <w:r w:rsidRPr="00857B1D">
              <w:rPr>
                <w:color w:val="000000"/>
                <w:lang w:val="it-IT"/>
              </w:rPr>
              <w:t>Glavni komunikacijski cilji so informiranje in osveščanje o:</w:t>
            </w:r>
          </w:p>
          <w:p w14:paraId="2382285D" w14:textId="77777777" w:rsidR="00A77B3E" w:rsidRPr="00857B1D" w:rsidRDefault="00EE0419">
            <w:pPr>
              <w:numPr>
                <w:ilvl w:val="0"/>
                <w:numId w:val="22"/>
              </w:numPr>
              <w:spacing w:before="100"/>
              <w:rPr>
                <w:color w:val="000000"/>
                <w:lang w:val="it-IT"/>
              </w:rPr>
            </w:pPr>
            <w:r w:rsidRPr="00857B1D">
              <w:rPr>
                <w:color w:val="000000"/>
                <w:lang w:val="it-IT"/>
              </w:rPr>
              <w:t>možnostih koriščenja in dodeljenih sredstvih skladov,</w:t>
            </w:r>
          </w:p>
          <w:p w14:paraId="53534CC1" w14:textId="77777777" w:rsidR="00A77B3E" w:rsidRDefault="00EE0419">
            <w:pPr>
              <w:numPr>
                <w:ilvl w:val="0"/>
                <w:numId w:val="22"/>
              </w:numPr>
              <w:spacing w:before="100"/>
              <w:rPr>
                <w:color w:val="000000"/>
              </w:rPr>
            </w:pPr>
            <w:r>
              <w:rPr>
                <w:color w:val="000000"/>
              </w:rPr>
              <w:t>informacijah o skladih,</w:t>
            </w:r>
          </w:p>
          <w:p w14:paraId="3DB46134" w14:textId="77777777" w:rsidR="00A77B3E" w:rsidRDefault="00EE0419">
            <w:pPr>
              <w:numPr>
                <w:ilvl w:val="0"/>
                <w:numId w:val="22"/>
              </w:numPr>
              <w:spacing w:before="100"/>
              <w:rPr>
                <w:color w:val="000000"/>
              </w:rPr>
            </w:pPr>
            <w:r>
              <w:rPr>
                <w:color w:val="000000"/>
              </w:rPr>
              <w:t>dosežkih, učinkih in rezultatih operacij.</w:t>
            </w:r>
          </w:p>
          <w:p w14:paraId="4C01E09B" w14:textId="77777777" w:rsidR="00A77B3E" w:rsidRDefault="00A77B3E">
            <w:pPr>
              <w:spacing w:before="100"/>
              <w:rPr>
                <w:color w:val="000000"/>
              </w:rPr>
            </w:pPr>
          </w:p>
          <w:p w14:paraId="7F12768B" w14:textId="77777777" w:rsidR="00A77B3E" w:rsidRDefault="00EE0419">
            <w:pPr>
              <w:spacing w:before="100"/>
              <w:rPr>
                <w:color w:val="000000"/>
              </w:rPr>
            </w:pPr>
            <w:r>
              <w:rPr>
                <w:color w:val="000000"/>
              </w:rPr>
              <w:t>V prvem delu programskega obdobja bo namen komuniciranja seznanjanje javnosti z novostmi v izvajanju skladov s področja notranje varnosti in migracij v programskem obdobju 2021–2027 in samim sistemom izvajanja, informiranje različnih ciljnih skupin o možnostih sofinanciranja in spodbujanje vključevanja (potencialnih) upravičencev ter drugih deležnikov za čim bolj učinkovito črpanje evropskih sredstev. V drugem delu bo večji poudarek na dvigu prepoznavanja in oblikovanju pozitivne podobe evropske politike s področja notranje varnosti in migracij v očeh splošne javnosti, predvsem preko širjenja dobrih praks in rezultatov, pri čemer bodo »glavni ambasadorji« uspešne operacije in njihove zgodbe.</w:t>
            </w:r>
          </w:p>
          <w:p w14:paraId="025AA358" w14:textId="77777777" w:rsidR="00A77B3E" w:rsidRDefault="00A77B3E">
            <w:pPr>
              <w:spacing w:before="100"/>
              <w:rPr>
                <w:color w:val="000000"/>
              </w:rPr>
            </w:pPr>
          </w:p>
          <w:p w14:paraId="6A39095C" w14:textId="77777777" w:rsidR="00A77B3E" w:rsidRDefault="00EE0419">
            <w:pPr>
              <w:spacing w:before="100"/>
              <w:rPr>
                <w:color w:val="000000"/>
              </w:rPr>
            </w:pPr>
            <w:r>
              <w:rPr>
                <w:color w:val="000000"/>
              </w:rPr>
              <w:t>Zgoraj opisane aktivnosti se bodo izvajale skladno z nacionalno komunikacijsko strategijo Slovenije ter letnimi komunikacijskimi načrti OU, kjer bodo opisane podrobne aktivnosti in bodo usklajeni z nacionalnim koordinatorjem za komuniciranje. Novost je enoten spletni portal www.evropskasredstva.si, na katerem bodo predstavljene relevantne informacije o izvajanju evropske politike v obdobju 2021-2027 v Sloveniji.</w:t>
            </w:r>
          </w:p>
          <w:p w14:paraId="2928F694" w14:textId="77777777" w:rsidR="00A77B3E" w:rsidRDefault="00A77B3E">
            <w:pPr>
              <w:spacing w:before="100"/>
              <w:rPr>
                <w:color w:val="000000"/>
              </w:rPr>
            </w:pPr>
          </w:p>
          <w:p w14:paraId="23884251" w14:textId="77777777" w:rsidR="00A77B3E" w:rsidRDefault="00EE0419">
            <w:pPr>
              <w:spacing w:before="100"/>
              <w:rPr>
                <w:color w:val="000000"/>
              </w:rPr>
            </w:pPr>
            <w:r>
              <w:rPr>
                <w:color w:val="000000"/>
              </w:rPr>
              <w:t>Glede na različne ciljne skupine bodo komunikacijske aktivnosti ciljno usmerjene. Načrtovana komunikacijska orodja in kanali za izvajanje dejavnosti prepoznavnosti, preglednosti in komuniciranja politike na področju notranjih zadev v obdobju 2021-2027 so:</w:t>
            </w:r>
          </w:p>
          <w:p w14:paraId="3D64D9E5" w14:textId="77777777" w:rsidR="00A77B3E" w:rsidRDefault="00A77B3E">
            <w:pPr>
              <w:spacing w:before="100"/>
              <w:rPr>
                <w:color w:val="000000"/>
              </w:rPr>
            </w:pPr>
          </w:p>
          <w:p w14:paraId="6107F012" w14:textId="77777777" w:rsidR="00A77B3E" w:rsidRPr="00857B1D" w:rsidRDefault="00EE0419">
            <w:pPr>
              <w:spacing w:before="100"/>
              <w:rPr>
                <w:color w:val="000000"/>
                <w:lang w:val="it-IT"/>
              </w:rPr>
            </w:pPr>
            <w:r w:rsidRPr="00857B1D">
              <w:rPr>
                <w:color w:val="000000"/>
                <w:lang w:val="it-IT"/>
              </w:rPr>
              <w:t xml:space="preserve">- </w:t>
            </w:r>
            <w:r w:rsidRPr="00857B1D">
              <w:rPr>
                <w:b/>
                <w:bCs/>
                <w:color w:val="000000"/>
                <w:lang w:val="it-IT"/>
              </w:rPr>
              <w:t>SPLETNE STRANI</w:t>
            </w:r>
            <w:r w:rsidRPr="00857B1D">
              <w:rPr>
                <w:color w:val="000000"/>
                <w:lang w:val="it-IT"/>
              </w:rPr>
              <w:t xml:space="preserve"> (programski dokumenti, predstavitvena gradiva, avdio-vizualne produkcije, sporočila za javnost, druge promocijske in informativne objave)</w:t>
            </w:r>
          </w:p>
          <w:p w14:paraId="0891C021" w14:textId="77777777" w:rsidR="00A77B3E" w:rsidRPr="00857B1D" w:rsidRDefault="00EE0419">
            <w:pPr>
              <w:spacing w:before="100"/>
              <w:rPr>
                <w:color w:val="000000"/>
                <w:lang w:val="it-IT"/>
              </w:rPr>
            </w:pPr>
            <w:r w:rsidRPr="00857B1D">
              <w:rPr>
                <w:color w:val="000000"/>
                <w:lang w:val="it-IT"/>
              </w:rPr>
              <w:t>Kazalniki učinka (KU): št. obiskov, št. obiskovalcev, ki jih identificirajo brskalniki, št. ogledov strani</w:t>
            </w:r>
          </w:p>
          <w:p w14:paraId="5A846071" w14:textId="77777777" w:rsidR="00A77B3E" w:rsidRPr="00857B1D" w:rsidRDefault="00EE0419">
            <w:pPr>
              <w:spacing w:before="100"/>
              <w:rPr>
                <w:color w:val="000000"/>
                <w:lang w:val="it-IT"/>
              </w:rPr>
            </w:pPr>
            <w:r w:rsidRPr="00857B1D">
              <w:rPr>
                <w:color w:val="000000"/>
                <w:lang w:val="it-IT"/>
              </w:rPr>
              <w:t>Kazalniki rezultata (KR): stopnja konverzije: prenosi, registracije, izpolnjeni obrazci, stopnja obiskov, dolžina seje itd., splošna uporabnost spletnega mesta in/ali strani, št. ponovnih obiskovalcev</w:t>
            </w:r>
          </w:p>
          <w:p w14:paraId="2374C092" w14:textId="77777777" w:rsidR="00A77B3E" w:rsidRPr="00857B1D" w:rsidRDefault="00EE0419">
            <w:pPr>
              <w:spacing w:before="100"/>
              <w:rPr>
                <w:color w:val="000000"/>
                <w:lang w:val="it-IT"/>
              </w:rPr>
            </w:pPr>
            <w:r w:rsidRPr="00857B1D">
              <w:rPr>
                <w:color w:val="000000"/>
                <w:lang w:val="it-IT"/>
              </w:rPr>
              <w:lastRenderedPageBreak/>
              <w:t>Kazalniki vpliva (KV): št. obiskovalcev, ki imajo bolj pozitivno mnenje o EU, kot rezultat spletnega obiska, verjetnost zagovarjanja ali pozitivnega govora o EU, kot rezultat spletnega obiska</w:t>
            </w:r>
          </w:p>
          <w:p w14:paraId="510C5BA2" w14:textId="77777777" w:rsidR="00A77B3E" w:rsidRPr="00857B1D" w:rsidRDefault="00A77B3E">
            <w:pPr>
              <w:spacing w:before="100"/>
              <w:rPr>
                <w:color w:val="000000"/>
                <w:lang w:val="it-IT"/>
              </w:rPr>
            </w:pPr>
          </w:p>
          <w:p w14:paraId="62243156" w14:textId="77777777" w:rsidR="00A77B3E" w:rsidRPr="00857B1D" w:rsidRDefault="00EE0419">
            <w:pPr>
              <w:spacing w:before="100"/>
              <w:rPr>
                <w:color w:val="000000"/>
                <w:lang w:val="it-IT"/>
              </w:rPr>
            </w:pPr>
            <w:r w:rsidRPr="00857B1D">
              <w:rPr>
                <w:color w:val="000000"/>
                <w:lang w:val="it-IT"/>
              </w:rPr>
              <w:t xml:space="preserve">- </w:t>
            </w:r>
            <w:r w:rsidRPr="00857B1D">
              <w:rPr>
                <w:b/>
                <w:bCs/>
                <w:color w:val="000000"/>
                <w:lang w:val="it-IT"/>
              </w:rPr>
              <w:t>SOCIALNA OMREŽJA</w:t>
            </w:r>
            <w:r w:rsidRPr="00857B1D">
              <w:rPr>
                <w:color w:val="000000"/>
                <w:lang w:val="it-IT"/>
              </w:rPr>
              <w:t xml:space="preserve"> - Facebook, Twitter, Instagram (sporočila za javnost, avdio-vizualne produkcije, druge promocijske in informativne objave)</w:t>
            </w:r>
          </w:p>
          <w:p w14:paraId="2185A821" w14:textId="77777777" w:rsidR="00A77B3E" w:rsidRPr="00857B1D" w:rsidRDefault="00EE0419">
            <w:pPr>
              <w:spacing w:before="100"/>
              <w:rPr>
                <w:color w:val="000000"/>
                <w:lang w:val="it-IT"/>
              </w:rPr>
            </w:pPr>
            <w:r w:rsidRPr="00857B1D">
              <w:rPr>
                <w:color w:val="000000"/>
                <w:lang w:val="it-IT"/>
              </w:rPr>
              <w:t>KU: št. prikazov, št. sledilcev/oboževalcev/naročnikov</w:t>
            </w:r>
          </w:p>
          <w:p w14:paraId="1F8FC572" w14:textId="77777777" w:rsidR="00A77B3E" w:rsidRPr="00857B1D" w:rsidRDefault="00EE0419">
            <w:pPr>
              <w:spacing w:before="100"/>
              <w:rPr>
                <w:color w:val="000000"/>
                <w:lang w:val="it-IT"/>
              </w:rPr>
            </w:pPr>
            <w:r w:rsidRPr="00857B1D">
              <w:rPr>
                <w:color w:val="000000"/>
                <w:lang w:val="it-IT"/>
              </w:rPr>
              <w:t>KR: št. angažiranosti: delitve, všečki, 'kliki' ali komentarji, št. omemb</w:t>
            </w:r>
          </w:p>
          <w:p w14:paraId="69965684" w14:textId="77777777" w:rsidR="00A77B3E" w:rsidRPr="00857B1D" w:rsidRDefault="00EE0419">
            <w:pPr>
              <w:spacing w:before="100"/>
              <w:rPr>
                <w:color w:val="000000"/>
                <w:lang w:val="it-IT"/>
              </w:rPr>
            </w:pPr>
            <w:r w:rsidRPr="00857B1D">
              <w:rPr>
                <w:color w:val="000000"/>
                <w:lang w:val="it-IT"/>
              </w:rPr>
              <w:t>KV: odstotek oseb, ki imajo zaradi sodelovanja v vsebini socialnih omrežij bolj pozitivno mnenje o EU</w:t>
            </w:r>
          </w:p>
          <w:p w14:paraId="4781F752" w14:textId="77777777" w:rsidR="00A77B3E" w:rsidRPr="00857B1D" w:rsidRDefault="00A77B3E">
            <w:pPr>
              <w:spacing w:before="100"/>
              <w:rPr>
                <w:color w:val="000000"/>
                <w:lang w:val="it-IT"/>
              </w:rPr>
            </w:pPr>
          </w:p>
          <w:p w14:paraId="5FF9D7CF" w14:textId="77777777" w:rsidR="00A77B3E" w:rsidRPr="00857B1D" w:rsidRDefault="00EE0419">
            <w:pPr>
              <w:spacing w:before="100"/>
              <w:rPr>
                <w:color w:val="000000"/>
                <w:lang w:val="it-IT"/>
              </w:rPr>
            </w:pPr>
            <w:r w:rsidRPr="00857B1D">
              <w:rPr>
                <w:color w:val="000000"/>
                <w:lang w:val="it-IT"/>
              </w:rPr>
              <w:t xml:space="preserve">- </w:t>
            </w:r>
            <w:r w:rsidRPr="00857B1D">
              <w:rPr>
                <w:b/>
                <w:bCs/>
                <w:color w:val="000000"/>
                <w:lang w:val="it-IT"/>
              </w:rPr>
              <w:t>VIDEOPOSNETKI IN FOTOGRAFIJE</w:t>
            </w:r>
            <w:r w:rsidRPr="00857B1D">
              <w:rPr>
                <w:color w:val="000000"/>
                <w:lang w:val="it-IT"/>
              </w:rPr>
              <w:t xml:space="preserve"> (spletna stran, socialna omrežja)</w:t>
            </w:r>
          </w:p>
          <w:p w14:paraId="0ED903EF" w14:textId="77777777" w:rsidR="00A77B3E" w:rsidRPr="00857B1D" w:rsidRDefault="00EE0419">
            <w:pPr>
              <w:spacing w:before="100"/>
              <w:rPr>
                <w:color w:val="000000"/>
                <w:lang w:val="it-IT"/>
              </w:rPr>
            </w:pPr>
            <w:r w:rsidRPr="00857B1D">
              <w:rPr>
                <w:color w:val="000000"/>
                <w:lang w:val="it-IT"/>
              </w:rPr>
              <w:t>KU: št. ogledov, št. edinstvenih obiskovalcev strani videoposnetka, odstotek videoposnetkov z dokončanim ogledom 50 % ali več in 100 %</w:t>
            </w:r>
          </w:p>
          <w:p w14:paraId="3678923C" w14:textId="77777777" w:rsidR="00A77B3E" w:rsidRPr="00857B1D" w:rsidRDefault="00EE0419">
            <w:pPr>
              <w:spacing w:before="100"/>
              <w:rPr>
                <w:color w:val="000000"/>
                <w:lang w:val="it-IT"/>
              </w:rPr>
            </w:pPr>
            <w:r w:rsidRPr="00857B1D">
              <w:rPr>
                <w:color w:val="000000"/>
                <w:lang w:val="it-IT"/>
              </w:rPr>
              <w:t>KR: splošna uporabnost videoposnetka za gledalca, št. deljenj ali prenosov</w:t>
            </w:r>
          </w:p>
          <w:p w14:paraId="4A8EDA4B" w14:textId="77777777" w:rsidR="00A77B3E" w:rsidRPr="00857B1D" w:rsidRDefault="00EE0419">
            <w:pPr>
              <w:spacing w:before="100"/>
              <w:rPr>
                <w:color w:val="000000"/>
                <w:lang w:val="it-IT"/>
              </w:rPr>
            </w:pPr>
            <w:r w:rsidRPr="00857B1D">
              <w:rPr>
                <w:color w:val="000000"/>
                <w:lang w:val="it-IT"/>
              </w:rPr>
              <w:t>KV: št. gledalcev, ki imajo zaradi posnetka bolj pozitivno mnenje o EU, verjetnost, da bodo zagovarjali EU ali govorili pozitivno o EU, kot rezultat videoposnetka</w:t>
            </w:r>
          </w:p>
          <w:p w14:paraId="6559488F" w14:textId="77777777" w:rsidR="00A77B3E" w:rsidRPr="00857B1D" w:rsidRDefault="00A77B3E">
            <w:pPr>
              <w:spacing w:before="100"/>
              <w:rPr>
                <w:color w:val="000000"/>
                <w:lang w:val="it-IT"/>
              </w:rPr>
            </w:pPr>
          </w:p>
          <w:p w14:paraId="2D418392" w14:textId="77777777" w:rsidR="00A77B3E" w:rsidRPr="00857B1D" w:rsidRDefault="00EE0419">
            <w:pPr>
              <w:spacing w:before="100"/>
              <w:rPr>
                <w:color w:val="000000"/>
                <w:lang w:val="it-IT"/>
              </w:rPr>
            </w:pPr>
            <w:r w:rsidRPr="00857B1D">
              <w:rPr>
                <w:color w:val="000000"/>
                <w:lang w:val="it-IT"/>
              </w:rPr>
              <w:t xml:space="preserve">- </w:t>
            </w:r>
            <w:r w:rsidRPr="00857B1D">
              <w:rPr>
                <w:b/>
                <w:bCs/>
                <w:color w:val="000000"/>
                <w:lang w:val="it-IT"/>
              </w:rPr>
              <w:t>DOGODKI</w:t>
            </w:r>
            <w:r w:rsidRPr="00857B1D">
              <w:rPr>
                <w:color w:val="000000"/>
                <w:lang w:val="it-IT"/>
              </w:rPr>
              <w:t xml:space="preserve"> (informativni, izobraževalni in drugi dogodki)</w:t>
            </w:r>
          </w:p>
          <w:p w14:paraId="456147EA" w14:textId="77777777" w:rsidR="00A77B3E" w:rsidRPr="00857B1D" w:rsidRDefault="00EE0419">
            <w:pPr>
              <w:spacing w:before="100"/>
              <w:rPr>
                <w:color w:val="000000"/>
                <w:lang w:val="it-IT"/>
              </w:rPr>
            </w:pPr>
            <w:r w:rsidRPr="00857B1D">
              <w:rPr>
                <w:color w:val="000000"/>
                <w:lang w:val="it-IT"/>
              </w:rPr>
              <w:t>KU: št. udeležencev, odstotek udeležencev, ki prvič obiščejo dogodek</w:t>
            </w:r>
          </w:p>
          <w:p w14:paraId="4010A79C" w14:textId="77777777" w:rsidR="00A77B3E" w:rsidRPr="00857B1D" w:rsidRDefault="00EE0419">
            <w:pPr>
              <w:spacing w:before="100"/>
              <w:rPr>
                <w:color w:val="000000"/>
                <w:lang w:val="it-IT"/>
              </w:rPr>
            </w:pPr>
            <w:r w:rsidRPr="00857B1D">
              <w:rPr>
                <w:color w:val="000000"/>
                <w:lang w:val="it-IT"/>
              </w:rPr>
              <w:t>KR: splošna uporabnost dogodka, odstotek udeležencev, ki so izjavili, da bodo delili ali pozitivno govorili o dogodku</w:t>
            </w:r>
          </w:p>
          <w:p w14:paraId="59FAF013" w14:textId="77777777" w:rsidR="00A77B3E" w:rsidRPr="00857B1D" w:rsidRDefault="00EE0419">
            <w:pPr>
              <w:spacing w:before="100"/>
              <w:rPr>
                <w:color w:val="000000"/>
                <w:lang w:val="it-IT"/>
              </w:rPr>
            </w:pPr>
            <w:r w:rsidRPr="00857B1D">
              <w:rPr>
                <w:color w:val="000000"/>
                <w:lang w:val="it-IT"/>
              </w:rPr>
              <w:t>KV: odstotek udeležencev, ki imajo zaradi dogodka bolj pozitivno mnenje o EU</w:t>
            </w:r>
          </w:p>
          <w:p w14:paraId="0AD8F208" w14:textId="77777777" w:rsidR="00A77B3E" w:rsidRPr="00857B1D" w:rsidRDefault="00A77B3E">
            <w:pPr>
              <w:spacing w:before="100"/>
              <w:rPr>
                <w:color w:val="000000"/>
                <w:lang w:val="it-IT"/>
              </w:rPr>
            </w:pPr>
          </w:p>
          <w:p w14:paraId="3FC9CA50" w14:textId="77777777" w:rsidR="00A77B3E" w:rsidRPr="00857B1D" w:rsidRDefault="00EE0419">
            <w:pPr>
              <w:spacing w:before="100"/>
              <w:rPr>
                <w:color w:val="000000"/>
                <w:lang w:val="it-IT"/>
              </w:rPr>
            </w:pPr>
            <w:r w:rsidRPr="00857B1D">
              <w:rPr>
                <w:color w:val="000000"/>
                <w:lang w:val="it-IT"/>
              </w:rPr>
              <w:t xml:space="preserve">- </w:t>
            </w:r>
            <w:r w:rsidRPr="00857B1D">
              <w:rPr>
                <w:b/>
                <w:bCs/>
                <w:color w:val="000000"/>
                <w:lang w:val="it-IT"/>
              </w:rPr>
              <w:t>PUBLIKACIJE</w:t>
            </w:r>
            <w:r w:rsidRPr="00857B1D">
              <w:rPr>
                <w:color w:val="000000"/>
                <w:lang w:val="it-IT"/>
              </w:rPr>
              <w:t xml:space="preserve"> (programski dokumenti, drugi promocijski in informativni materiali)</w:t>
            </w:r>
          </w:p>
          <w:p w14:paraId="3B633BC0" w14:textId="77777777" w:rsidR="00A77B3E" w:rsidRPr="00857B1D" w:rsidRDefault="00EE0419">
            <w:pPr>
              <w:spacing w:before="100"/>
              <w:rPr>
                <w:color w:val="000000"/>
                <w:lang w:val="it-IT"/>
              </w:rPr>
            </w:pPr>
            <w:r w:rsidRPr="00857B1D">
              <w:rPr>
                <w:color w:val="000000"/>
                <w:lang w:val="it-IT"/>
              </w:rPr>
              <w:t>KU: št. bralcev/poslušalcev/prenosov publikacije</w:t>
            </w:r>
          </w:p>
          <w:p w14:paraId="68F802AC" w14:textId="77777777" w:rsidR="00A77B3E" w:rsidRPr="00857B1D" w:rsidRDefault="00EE0419">
            <w:pPr>
              <w:spacing w:before="100"/>
              <w:rPr>
                <w:color w:val="000000"/>
                <w:lang w:val="it-IT"/>
              </w:rPr>
            </w:pPr>
            <w:r w:rsidRPr="00857B1D">
              <w:rPr>
                <w:color w:val="000000"/>
                <w:lang w:val="it-IT"/>
              </w:rPr>
              <w:t>KR: splošna uporabnost publikacije za bralca</w:t>
            </w:r>
          </w:p>
          <w:p w14:paraId="0D8B7D18" w14:textId="77777777" w:rsidR="00A77B3E" w:rsidRPr="00857B1D" w:rsidRDefault="00EE0419">
            <w:pPr>
              <w:spacing w:before="100"/>
              <w:rPr>
                <w:color w:val="000000"/>
                <w:lang w:val="it-IT"/>
              </w:rPr>
            </w:pPr>
            <w:r w:rsidRPr="00857B1D">
              <w:rPr>
                <w:color w:val="000000"/>
                <w:lang w:val="it-IT"/>
              </w:rPr>
              <w:t>KV: št. bralcev, ki imajo zaradi objave bolj pozitivno mnenje o politiki/organizaciji</w:t>
            </w:r>
          </w:p>
          <w:p w14:paraId="3B4AB7D1" w14:textId="77777777" w:rsidR="00A77B3E" w:rsidRPr="00857B1D" w:rsidRDefault="00A77B3E">
            <w:pPr>
              <w:spacing w:before="100"/>
              <w:rPr>
                <w:color w:val="000000"/>
                <w:lang w:val="it-IT"/>
              </w:rPr>
            </w:pPr>
          </w:p>
          <w:p w14:paraId="3C7AAC4F" w14:textId="77777777" w:rsidR="00A77B3E" w:rsidRPr="00857B1D" w:rsidRDefault="00EE0419">
            <w:pPr>
              <w:spacing w:before="100"/>
              <w:rPr>
                <w:color w:val="000000"/>
                <w:lang w:val="it-IT"/>
              </w:rPr>
            </w:pPr>
            <w:r w:rsidRPr="00857B1D">
              <w:rPr>
                <w:color w:val="000000"/>
                <w:lang w:val="it-IT"/>
              </w:rPr>
              <w:t>OU bo pri izvajanju aktivnosti vzpostavil kontinuirano in aktivno sodelovanje s partnerji, npr. z Evropsko komisijo (DG HOME) in Evropskim Parlamentom, nacionalnim koordinatorjem za komuniciranje (INFORM-SI), Uradom Vlade RS za komuniciranje in drugimi organi upravljanja programov, ki jih sofinancira EU. Imenovan je komunikator.</w:t>
            </w:r>
          </w:p>
          <w:p w14:paraId="4931354E" w14:textId="77777777" w:rsidR="00A77B3E" w:rsidRPr="00857B1D" w:rsidRDefault="00A77B3E">
            <w:pPr>
              <w:spacing w:before="100"/>
              <w:rPr>
                <w:color w:val="000000"/>
                <w:lang w:val="it-IT"/>
              </w:rPr>
            </w:pPr>
          </w:p>
          <w:p w14:paraId="7FD6CCAC" w14:textId="77777777" w:rsidR="00A77B3E" w:rsidRPr="00857B1D" w:rsidRDefault="00EE0419">
            <w:pPr>
              <w:spacing w:before="100"/>
              <w:rPr>
                <w:color w:val="000000"/>
                <w:lang w:val="it-IT"/>
              </w:rPr>
            </w:pPr>
            <w:r w:rsidRPr="00857B1D">
              <w:rPr>
                <w:color w:val="000000"/>
                <w:lang w:val="it-IT"/>
              </w:rPr>
              <w:t>Finančna sredstva za izvajanje aktivnosti komuniciranja bodo zagotovljena v višini 5% sredstev tehnične pomoči in bodo namenjena:</w:t>
            </w:r>
          </w:p>
          <w:p w14:paraId="6E76CC6E" w14:textId="77777777" w:rsidR="00A77B3E" w:rsidRPr="00857B1D" w:rsidRDefault="00EE0419">
            <w:pPr>
              <w:numPr>
                <w:ilvl w:val="0"/>
                <w:numId w:val="23"/>
              </w:numPr>
              <w:spacing w:before="100"/>
              <w:rPr>
                <w:color w:val="000000"/>
                <w:lang w:val="it-IT"/>
              </w:rPr>
            </w:pPr>
            <w:r w:rsidRPr="00857B1D">
              <w:rPr>
                <w:color w:val="000000"/>
                <w:lang w:val="it-IT"/>
              </w:rPr>
              <w:t>produkcijskim, oglaševalskim in drugim digitalnim aktivnostim (40%),</w:t>
            </w:r>
          </w:p>
          <w:p w14:paraId="5E8D922B" w14:textId="77777777" w:rsidR="00A77B3E" w:rsidRDefault="00EE0419">
            <w:pPr>
              <w:numPr>
                <w:ilvl w:val="0"/>
                <w:numId w:val="23"/>
              </w:numPr>
              <w:spacing w:before="100"/>
              <w:rPr>
                <w:color w:val="000000"/>
              </w:rPr>
            </w:pPr>
            <w:r>
              <w:rPr>
                <w:color w:val="000000"/>
              </w:rPr>
              <w:t>publikacijam in promocijskim izdelkom (25%),</w:t>
            </w:r>
          </w:p>
          <w:p w14:paraId="782D5F59" w14:textId="77777777" w:rsidR="00A77B3E" w:rsidRPr="00857B1D" w:rsidRDefault="00EE0419">
            <w:pPr>
              <w:numPr>
                <w:ilvl w:val="0"/>
                <w:numId w:val="23"/>
              </w:numPr>
              <w:spacing w:before="100"/>
              <w:rPr>
                <w:color w:val="000000"/>
                <w:lang w:val="it-IT"/>
              </w:rPr>
            </w:pPr>
            <w:r w:rsidRPr="00857B1D">
              <w:rPr>
                <w:color w:val="000000"/>
                <w:lang w:val="it-IT"/>
              </w:rPr>
              <w:t>organizaciji dogodkov in z njimi povezanih komunikacijskih aktivnosti (15%) in</w:t>
            </w:r>
          </w:p>
          <w:p w14:paraId="7FAFD077" w14:textId="77777777" w:rsidR="00A77B3E" w:rsidRPr="00857B1D" w:rsidRDefault="00EE0419">
            <w:pPr>
              <w:numPr>
                <w:ilvl w:val="0"/>
                <w:numId w:val="23"/>
              </w:numPr>
              <w:spacing w:before="100"/>
              <w:rPr>
                <w:color w:val="000000"/>
                <w:lang w:val="it-IT"/>
              </w:rPr>
            </w:pPr>
            <w:r w:rsidRPr="00857B1D">
              <w:rPr>
                <w:color w:val="000000"/>
                <w:lang w:val="it-IT"/>
              </w:rPr>
              <w:t>drugim potrebnih podpornim aktivnostim (npr. stroški dela komunikatorjev) (20%).</w:t>
            </w:r>
          </w:p>
          <w:p w14:paraId="16DD5E3E" w14:textId="77777777" w:rsidR="00A77B3E" w:rsidRPr="00857B1D" w:rsidRDefault="00A77B3E">
            <w:pPr>
              <w:spacing w:before="100"/>
              <w:rPr>
                <w:color w:val="000000"/>
                <w:lang w:val="it-IT"/>
              </w:rPr>
            </w:pPr>
          </w:p>
        </w:tc>
      </w:tr>
    </w:tbl>
    <w:p w14:paraId="3BF84E65" w14:textId="77777777" w:rsidR="00A77B3E" w:rsidRPr="00857B1D" w:rsidRDefault="00EE0419">
      <w:pPr>
        <w:pStyle w:val="Naslov1"/>
        <w:spacing w:before="100" w:after="0"/>
        <w:rPr>
          <w:rFonts w:ascii="Times New Roman" w:hAnsi="Times New Roman" w:cs="Times New Roman"/>
          <w:b w:val="0"/>
          <w:color w:val="000000"/>
          <w:sz w:val="24"/>
          <w:lang w:val="it-IT"/>
        </w:rPr>
      </w:pPr>
      <w:r w:rsidRPr="00857B1D">
        <w:rPr>
          <w:rFonts w:ascii="Times New Roman" w:hAnsi="Times New Roman" w:cs="Times New Roman"/>
          <w:b w:val="0"/>
          <w:color w:val="000000"/>
          <w:sz w:val="24"/>
          <w:lang w:val="it-IT"/>
        </w:rPr>
        <w:lastRenderedPageBreak/>
        <w:br w:type="page"/>
      </w:r>
      <w:bookmarkStart w:id="50" w:name="_Toc256000114"/>
      <w:r w:rsidRPr="00857B1D">
        <w:rPr>
          <w:rFonts w:ascii="Times New Roman" w:hAnsi="Times New Roman" w:cs="Times New Roman"/>
          <w:b w:val="0"/>
          <w:color w:val="000000"/>
          <w:sz w:val="24"/>
          <w:lang w:val="it-IT"/>
        </w:rPr>
        <w:lastRenderedPageBreak/>
        <w:t>8. Uporaba stroškov na enoto, pavšalnih zneskov, pavšalnih stopenj in financiranja, ki ni povezano s stroški</w:t>
      </w:r>
      <w:bookmarkEnd w:id="50"/>
    </w:p>
    <w:p w14:paraId="3FE44532" w14:textId="77777777" w:rsidR="00A77B3E" w:rsidRDefault="00EE0419">
      <w:pPr>
        <w:spacing w:before="100"/>
        <w:rPr>
          <w:color w:val="000000"/>
          <w:sz w:val="16"/>
        </w:rPr>
      </w:pPr>
      <w:r>
        <w:rPr>
          <w:color w:val="000000"/>
        </w:rPr>
        <w:t>Sklic: člena 94 in 95 uredbe o skupnih določbah</w:t>
      </w:r>
    </w:p>
    <w:p w14:paraId="333F5419"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2"/>
        <w:gridCol w:w="354"/>
        <w:gridCol w:w="354"/>
      </w:tblGrid>
      <w:tr w:rsidR="00EC4D24" w14:paraId="79ADB79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8A211F" w14:textId="77777777" w:rsidR="00A77B3E" w:rsidRDefault="00EE0419">
            <w:pPr>
              <w:spacing w:before="100"/>
              <w:jc w:val="center"/>
              <w:rPr>
                <w:color w:val="000000"/>
                <w:sz w:val="20"/>
              </w:rPr>
            </w:pPr>
            <w:r>
              <w:rPr>
                <w:color w:val="000000"/>
                <w:sz w:val="20"/>
              </w:rPr>
              <w:t>Načrtovana uporaba členov 94 in 95 uredbe o skupnih določbah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25542B" w14:textId="77777777" w:rsidR="00A77B3E" w:rsidRDefault="00EE0419">
            <w:pPr>
              <w:spacing w:before="100"/>
              <w:jc w:val="center"/>
              <w:rPr>
                <w:color w:val="000000"/>
                <w:sz w:val="20"/>
              </w:rPr>
            </w:pPr>
            <w:r>
              <w:rPr>
                <w:color w:val="000000"/>
                <w:sz w:val="20"/>
              </w:rPr>
              <w:t>Da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1AA80C" w14:textId="77777777" w:rsidR="00A77B3E" w:rsidRDefault="00EE0419">
            <w:pPr>
              <w:spacing w:before="100"/>
              <w:jc w:val="center"/>
              <w:rPr>
                <w:color w:val="000000"/>
                <w:sz w:val="20"/>
              </w:rPr>
            </w:pPr>
            <w:r>
              <w:rPr>
                <w:color w:val="000000"/>
                <w:sz w:val="20"/>
              </w:rPr>
              <w:t>Ne</w:t>
            </w:r>
          </w:p>
        </w:tc>
      </w:tr>
      <w:tr w:rsidR="00EC4D24" w14:paraId="2AE59E5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67FC09" w14:textId="77777777" w:rsidR="00A77B3E" w:rsidRDefault="00EE0419">
            <w:pPr>
              <w:spacing w:before="100"/>
              <w:rPr>
                <w:color w:val="000000"/>
                <w:sz w:val="20"/>
              </w:rPr>
            </w:pPr>
            <w:r>
              <w:rPr>
                <w:color w:val="000000"/>
                <w:sz w:val="20"/>
              </w:rPr>
              <w:t>Od sprejetja programa se bo uporabljalo povračilo prispevka Unije na podlagi stroškov na enoto, pavšalnih zneskov in pavšalnih stopenj v okviru prednostne naloge v skladu s členom 94 uredbe o skupnih določbah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3CAE53" w14:textId="77777777" w:rsidR="00A77B3E" w:rsidRDefault="00EE0419">
            <w:pPr>
              <w:spacing w:before="100"/>
              <w:rPr>
                <w:color w:val="000000"/>
                <w:sz w:val="20"/>
              </w:rPr>
            </w:pPr>
            <w:r>
              <w:rPr>
                <w:color w:val="000000"/>
                <w:sz w:val="20"/>
              </w:rPr>
              <w:fldChar w:fldCharType="begin">
                <w:ffData>
                  <w:name w:val=""/>
                  <w:enabled/>
                  <w:calcOnExit w:val="0"/>
                  <w:checkBox>
                    <w:size w:val="20"/>
                    <w:default w:val="0"/>
                    <w:checked w:val="0"/>
                  </w:checkBox>
                </w:ffData>
              </w:fldChar>
            </w:r>
            <w:r>
              <w:rPr>
                <w:color w:val="000000"/>
                <w:sz w:val="20"/>
              </w:rPr>
              <w:instrText xml:space="preserve"> FORMCHECKBOX </w:instrText>
            </w:r>
            <w:r w:rsidR="00857B1D">
              <w:rPr>
                <w:color w:val="000000"/>
                <w:sz w:val="20"/>
              </w:rPr>
            </w:r>
            <w:r w:rsidR="00857B1D">
              <w:rPr>
                <w:color w:val="000000"/>
                <w:sz w:val="20"/>
              </w:rPr>
              <w:fldChar w:fldCharType="separate"/>
            </w:r>
            <w:r>
              <w:rPr>
                <w:color w:val="000000"/>
                <w:sz w:val="20"/>
              </w:rPr>
              <w:fldChar w:fldCharType="end"/>
            </w:r>
            <w:r>
              <w:rPr>
                <w:color w:val="000000"/>
                <w:sz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F883CF" w14:textId="77777777" w:rsidR="00A77B3E" w:rsidRDefault="00EE0419">
            <w:pPr>
              <w:spacing w:before="100"/>
              <w:rPr>
                <w:color w:val="000000"/>
                <w:sz w:val="20"/>
              </w:rPr>
            </w:pPr>
            <w:r>
              <w:rPr>
                <w:color w:val="000000"/>
                <w:sz w:val="20"/>
              </w:rPr>
              <w:fldChar w:fldCharType="begin">
                <w:ffData>
                  <w:name w:val=""/>
                  <w:enabled/>
                  <w:calcOnExit w:val="0"/>
                  <w:checkBox>
                    <w:size w:val="20"/>
                    <w:default w:val="1"/>
                    <w:checked/>
                  </w:checkBox>
                </w:ffData>
              </w:fldChar>
            </w:r>
            <w:r>
              <w:rPr>
                <w:color w:val="000000"/>
                <w:sz w:val="20"/>
              </w:rPr>
              <w:instrText xml:space="preserve"> FORMCHECKBOX </w:instrText>
            </w:r>
            <w:r w:rsidR="00857B1D">
              <w:rPr>
                <w:color w:val="000000"/>
                <w:sz w:val="20"/>
              </w:rPr>
            </w:r>
            <w:r w:rsidR="00857B1D">
              <w:rPr>
                <w:color w:val="000000"/>
                <w:sz w:val="20"/>
              </w:rPr>
              <w:fldChar w:fldCharType="separate"/>
            </w:r>
            <w:r>
              <w:rPr>
                <w:color w:val="000000"/>
                <w:sz w:val="20"/>
              </w:rPr>
              <w:fldChar w:fldCharType="end"/>
            </w:r>
            <w:r>
              <w:rPr>
                <w:color w:val="000000"/>
                <w:sz w:val="20"/>
              </w:rPr>
              <w:t xml:space="preserve"> </w:t>
            </w:r>
          </w:p>
        </w:tc>
      </w:tr>
      <w:tr w:rsidR="00EC4D24" w14:paraId="1FB89FA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F8A9CD" w14:textId="77777777" w:rsidR="00A77B3E" w:rsidRDefault="00EE0419">
            <w:pPr>
              <w:spacing w:before="100"/>
              <w:rPr>
                <w:color w:val="000000"/>
                <w:sz w:val="20"/>
              </w:rPr>
            </w:pPr>
            <w:r>
              <w:rPr>
                <w:color w:val="000000"/>
                <w:sz w:val="20"/>
              </w:rPr>
              <w:t>Od sprejetja programa se bo uporabljalo povračilo prispevka Unije na podlagi financiranja, ki ni povezano s stroški, v skladu s členom 95 uredbe o skupnih določbah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9705C5" w14:textId="77777777" w:rsidR="00A77B3E" w:rsidRDefault="00EE0419">
            <w:pPr>
              <w:spacing w:before="100"/>
              <w:rPr>
                <w:color w:val="000000"/>
                <w:sz w:val="20"/>
              </w:rPr>
            </w:pPr>
            <w:r>
              <w:rPr>
                <w:color w:val="000000"/>
                <w:sz w:val="20"/>
              </w:rPr>
              <w:fldChar w:fldCharType="begin">
                <w:ffData>
                  <w:name w:val=""/>
                  <w:enabled/>
                  <w:calcOnExit w:val="0"/>
                  <w:checkBox>
                    <w:size w:val="20"/>
                    <w:default w:val="0"/>
                    <w:checked w:val="0"/>
                  </w:checkBox>
                </w:ffData>
              </w:fldChar>
            </w:r>
            <w:r>
              <w:rPr>
                <w:color w:val="000000"/>
                <w:sz w:val="20"/>
              </w:rPr>
              <w:instrText xml:space="preserve"> FORMCHECKBOX </w:instrText>
            </w:r>
            <w:r w:rsidR="00857B1D">
              <w:rPr>
                <w:color w:val="000000"/>
                <w:sz w:val="20"/>
              </w:rPr>
            </w:r>
            <w:r w:rsidR="00857B1D">
              <w:rPr>
                <w:color w:val="000000"/>
                <w:sz w:val="20"/>
              </w:rPr>
              <w:fldChar w:fldCharType="separate"/>
            </w:r>
            <w:r>
              <w:rPr>
                <w:color w:val="000000"/>
                <w:sz w:val="20"/>
              </w:rPr>
              <w:fldChar w:fldCharType="end"/>
            </w:r>
            <w:r>
              <w:rPr>
                <w:color w:val="000000"/>
                <w:sz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C550C7" w14:textId="77777777" w:rsidR="00A77B3E" w:rsidRDefault="00EE0419">
            <w:pPr>
              <w:spacing w:before="100"/>
              <w:rPr>
                <w:color w:val="000000"/>
                <w:sz w:val="20"/>
              </w:rPr>
            </w:pPr>
            <w:r>
              <w:rPr>
                <w:color w:val="000000"/>
                <w:sz w:val="20"/>
              </w:rPr>
              <w:fldChar w:fldCharType="begin">
                <w:ffData>
                  <w:name w:val=""/>
                  <w:enabled/>
                  <w:calcOnExit w:val="0"/>
                  <w:checkBox>
                    <w:size w:val="20"/>
                    <w:default w:val="1"/>
                    <w:checked/>
                  </w:checkBox>
                </w:ffData>
              </w:fldChar>
            </w:r>
            <w:r>
              <w:rPr>
                <w:color w:val="000000"/>
                <w:sz w:val="20"/>
              </w:rPr>
              <w:instrText xml:space="preserve"> FORMCHECKBOX </w:instrText>
            </w:r>
            <w:r w:rsidR="00857B1D">
              <w:rPr>
                <w:color w:val="000000"/>
                <w:sz w:val="20"/>
              </w:rPr>
            </w:r>
            <w:r w:rsidR="00857B1D">
              <w:rPr>
                <w:color w:val="000000"/>
                <w:sz w:val="20"/>
              </w:rPr>
              <w:fldChar w:fldCharType="separate"/>
            </w:r>
            <w:r>
              <w:rPr>
                <w:color w:val="000000"/>
                <w:sz w:val="20"/>
              </w:rPr>
              <w:fldChar w:fldCharType="end"/>
            </w:r>
            <w:r>
              <w:rPr>
                <w:color w:val="000000"/>
                <w:sz w:val="20"/>
              </w:rPr>
              <w:t xml:space="preserve"> </w:t>
            </w:r>
          </w:p>
        </w:tc>
      </w:tr>
    </w:tbl>
    <w:p w14:paraId="08D1E72C" w14:textId="77777777" w:rsidR="00A77B3E" w:rsidRDefault="00A77B3E">
      <w:pPr>
        <w:spacing w:before="100"/>
        <w:jc w:val="center"/>
        <w:rPr>
          <w:color w:val="000000"/>
          <w:sz w:val="20"/>
        </w:rPr>
        <w:sectPr w:rsidR="00A77B3E">
          <w:headerReference w:type="even" r:id="rId85"/>
          <w:headerReference w:type="default" r:id="rId86"/>
          <w:footerReference w:type="even" r:id="rId87"/>
          <w:footerReference w:type="default" r:id="rId88"/>
          <w:headerReference w:type="first" r:id="rId89"/>
          <w:footerReference w:type="first" r:id="rId90"/>
          <w:pgSz w:w="11906" w:h="16838"/>
          <w:pgMar w:top="720" w:right="936" w:bottom="864" w:left="720" w:header="0" w:footer="72" w:gutter="0"/>
          <w:cols w:space="720"/>
          <w:noEndnote/>
          <w:docGrid w:linePitch="360"/>
        </w:sectPr>
      </w:pPr>
    </w:p>
    <w:p w14:paraId="779E2F1D" w14:textId="77777777" w:rsidR="00A77B3E" w:rsidRDefault="00EE0419">
      <w:pPr>
        <w:pStyle w:val="Naslov1"/>
        <w:spacing w:before="100" w:after="0"/>
        <w:rPr>
          <w:rFonts w:ascii="Times New Roman" w:hAnsi="Times New Roman" w:cs="Times New Roman"/>
          <w:b w:val="0"/>
          <w:color w:val="000000"/>
          <w:sz w:val="24"/>
        </w:rPr>
      </w:pPr>
      <w:bookmarkStart w:id="51" w:name="_Toc256000115"/>
      <w:r>
        <w:rPr>
          <w:rFonts w:ascii="Times New Roman" w:hAnsi="Times New Roman" w:cs="Times New Roman"/>
          <w:b w:val="0"/>
          <w:color w:val="000000"/>
          <w:sz w:val="24"/>
        </w:rPr>
        <w:lastRenderedPageBreak/>
        <w:t>Dodatek 1: Prispevek Unije na podlagi stroškov na enoto, pavšalnih zneskov in pavšalnih stopenj</w:t>
      </w:r>
      <w:bookmarkEnd w:id="51"/>
    </w:p>
    <w:p w14:paraId="0A826B37" w14:textId="77777777" w:rsidR="00A77B3E" w:rsidRDefault="00EE0419">
      <w:pPr>
        <w:pStyle w:val="Naslov2"/>
        <w:spacing w:before="100" w:after="0"/>
        <w:rPr>
          <w:rFonts w:ascii="Times New Roman" w:hAnsi="Times New Roman" w:cs="Times New Roman"/>
          <w:b w:val="0"/>
          <w:i w:val="0"/>
          <w:color w:val="000000"/>
          <w:sz w:val="24"/>
        </w:rPr>
      </w:pPr>
      <w:bookmarkStart w:id="52" w:name="_Toc256000116"/>
      <w:r>
        <w:rPr>
          <w:rFonts w:ascii="Times New Roman" w:hAnsi="Times New Roman" w:cs="Times New Roman"/>
          <w:b w:val="0"/>
          <w:i w:val="0"/>
          <w:color w:val="000000"/>
          <w:sz w:val="24"/>
        </w:rPr>
        <w:t>A. Povzetek glavnih elementov</w:t>
      </w:r>
      <w:bookmarkEnd w:id="52"/>
    </w:p>
    <w:p w14:paraId="4857E43D"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1498"/>
        <w:gridCol w:w="1298"/>
        <w:gridCol w:w="1995"/>
        <w:gridCol w:w="1298"/>
        <w:gridCol w:w="1995"/>
        <w:gridCol w:w="1497"/>
        <w:gridCol w:w="1199"/>
        <w:gridCol w:w="1498"/>
      </w:tblGrid>
      <w:tr w:rsidR="00EC4D24" w:rsidRPr="00857B1D" w14:paraId="4B487ABA" w14:textId="77777777">
        <w:trPr>
          <w:tblHeader/>
        </w:trPr>
        <w:tc>
          <w:tcPr>
            <w:tcW w:w="29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DBC808" w14:textId="77777777" w:rsidR="00A77B3E" w:rsidRDefault="00EE0419">
            <w:pPr>
              <w:spacing w:before="100"/>
              <w:jc w:val="center"/>
              <w:rPr>
                <w:color w:val="000000"/>
                <w:sz w:val="12"/>
              </w:rPr>
            </w:pPr>
            <w:r>
              <w:rPr>
                <w:color w:val="000000"/>
                <w:sz w:val="12"/>
              </w:rPr>
              <w:t>Specifični cilj</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95CCE0" w14:textId="77777777" w:rsidR="00A77B3E" w:rsidRDefault="00EE0419">
            <w:pPr>
              <w:spacing w:before="100"/>
              <w:jc w:val="center"/>
              <w:rPr>
                <w:color w:val="000000"/>
                <w:sz w:val="12"/>
              </w:rPr>
            </w:pPr>
            <w:r>
              <w:rPr>
                <w:color w:val="000000"/>
                <w:sz w:val="12"/>
              </w:rPr>
              <w:t>Ocenjeni delež skupnih dodeljenih finančnih sredstev v okviru specifičnega cilja, za katerega bodo veljale poenostavljene možnosti obračunavanja stroškov, v %</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E16B7E" w14:textId="77777777" w:rsidR="00A77B3E" w:rsidRDefault="00EE0419">
            <w:pPr>
              <w:spacing w:before="100"/>
              <w:jc w:val="center"/>
              <w:rPr>
                <w:color w:val="000000"/>
                <w:sz w:val="12"/>
              </w:rPr>
            </w:pPr>
            <w:r>
              <w:rPr>
                <w:color w:val="000000"/>
                <w:sz w:val="12"/>
              </w:rPr>
              <w:t>Vrste zajetih operacij</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E58A82" w14:textId="77777777" w:rsidR="00A77B3E" w:rsidRPr="00857B1D" w:rsidRDefault="00EE0419">
            <w:pPr>
              <w:spacing w:before="100"/>
              <w:jc w:val="center"/>
              <w:rPr>
                <w:color w:val="000000"/>
                <w:sz w:val="12"/>
                <w:lang w:val="it-IT"/>
              </w:rPr>
            </w:pPr>
            <w:r w:rsidRPr="00857B1D">
              <w:rPr>
                <w:color w:val="000000"/>
                <w:sz w:val="12"/>
                <w:lang w:val="it-IT"/>
              </w:rPr>
              <w:t>Kazalnik, na podlagi katerega se izplača povračilo (2)</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FF5203" w14:textId="77777777" w:rsidR="00A77B3E" w:rsidRPr="00857B1D" w:rsidRDefault="00EE0419">
            <w:pPr>
              <w:spacing w:before="100"/>
              <w:jc w:val="center"/>
              <w:rPr>
                <w:color w:val="000000"/>
                <w:sz w:val="12"/>
                <w:lang w:val="it-IT"/>
              </w:rPr>
            </w:pPr>
            <w:r w:rsidRPr="00857B1D">
              <w:rPr>
                <w:color w:val="000000"/>
                <w:sz w:val="12"/>
                <w:lang w:val="it-IT"/>
              </w:rPr>
              <w:t>Merska enota za kazalnik, ki sproži povračilo</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FA28CD" w14:textId="77777777" w:rsidR="00A77B3E" w:rsidRPr="00857B1D" w:rsidRDefault="00EE0419">
            <w:pPr>
              <w:spacing w:before="100"/>
              <w:jc w:val="center"/>
              <w:rPr>
                <w:color w:val="000000"/>
                <w:sz w:val="12"/>
                <w:lang w:val="it-IT"/>
              </w:rPr>
            </w:pPr>
            <w:r w:rsidRPr="00857B1D">
              <w:rPr>
                <w:color w:val="000000"/>
                <w:sz w:val="12"/>
                <w:lang w:val="it-IT"/>
              </w:rPr>
              <w:t>Vrsta poenostavljenih možnosti obračunavanja stroškov (standardna lestvica stroškov na enoto, pavšalni zneski ali pavšalne stopnje)</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FC0B40" w14:textId="77777777" w:rsidR="00A77B3E" w:rsidRPr="00857B1D" w:rsidRDefault="00EE0419">
            <w:pPr>
              <w:spacing w:before="100"/>
              <w:jc w:val="center"/>
              <w:rPr>
                <w:color w:val="000000"/>
                <w:sz w:val="12"/>
                <w:lang w:val="it-IT"/>
              </w:rPr>
            </w:pPr>
            <w:r w:rsidRPr="00857B1D">
              <w:rPr>
                <w:color w:val="000000"/>
                <w:sz w:val="12"/>
                <w:lang w:val="it-IT"/>
              </w:rPr>
              <w:t>Znesek (v EUR) ali odstotni delež (v primeru pavšalne stopnje) poenostavljenih možnosti obračunavanja stroškov</w:t>
            </w:r>
          </w:p>
        </w:tc>
      </w:tr>
      <w:tr w:rsidR="00EC4D24" w14:paraId="402EC858" w14:textId="77777777">
        <w:trPr>
          <w:tblHeader/>
        </w:trPr>
        <w:tc>
          <w:tcPr>
            <w:tcW w:w="29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9921AA" w14:textId="77777777" w:rsidR="00A77B3E" w:rsidRPr="00857B1D" w:rsidRDefault="00A77B3E">
            <w:pPr>
              <w:spacing w:before="100"/>
              <w:jc w:val="center"/>
              <w:rPr>
                <w:color w:val="000000"/>
                <w:sz w:val="12"/>
                <w:lang w:val="it-IT"/>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AD4668" w14:textId="77777777" w:rsidR="00A77B3E" w:rsidRPr="00857B1D" w:rsidRDefault="00A77B3E">
            <w:pPr>
              <w:spacing w:before="100"/>
              <w:jc w:val="center"/>
              <w:rPr>
                <w:color w:val="000000"/>
                <w:sz w:val="12"/>
                <w:lang w:val="it-IT"/>
              </w:rPr>
            </w:pP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72E0D8" w14:textId="77777777" w:rsidR="00A77B3E" w:rsidRDefault="00EE0419">
            <w:pPr>
              <w:spacing w:before="100"/>
              <w:jc w:val="center"/>
              <w:rPr>
                <w:color w:val="000000"/>
                <w:sz w:val="12"/>
              </w:rPr>
            </w:pPr>
            <w:r>
              <w:rPr>
                <w:color w:val="000000"/>
                <w:sz w:val="12"/>
              </w:rPr>
              <w:t>Oznaka(1)</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2888E0" w14:textId="77777777" w:rsidR="00A77B3E" w:rsidRDefault="00EE0419">
            <w:pPr>
              <w:spacing w:before="100"/>
              <w:jc w:val="center"/>
              <w:rPr>
                <w:color w:val="000000"/>
                <w:sz w:val="12"/>
              </w:rPr>
            </w:pPr>
            <w:r>
              <w:rPr>
                <w:color w:val="000000"/>
                <w:sz w:val="12"/>
              </w:rPr>
              <w:t>Opis</w:t>
            </w: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17BB02" w14:textId="77777777" w:rsidR="00A77B3E" w:rsidRDefault="00EE0419">
            <w:pPr>
              <w:spacing w:before="100"/>
              <w:jc w:val="center"/>
              <w:rPr>
                <w:color w:val="000000"/>
                <w:sz w:val="12"/>
              </w:rPr>
            </w:pPr>
            <w:r>
              <w:rPr>
                <w:color w:val="000000"/>
                <w:sz w:val="12"/>
              </w:rPr>
              <w:t>Oznaka(2)</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6E406D" w14:textId="77777777" w:rsidR="00A77B3E" w:rsidRDefault="00EE0419">
            <w:pPr>
              <w:spacing w:before="100"/>
              <w:jc w:val="center"/>
              <w:rPr>
                <w:color w:val="000000"/>
                <w:sz w:val="12"/>
              </w:rPr>
            </w:pPr>
            <w:r>
              <w:rPr>
                <w:color w:val="000000"/>
                <w:sz w:val="12"/>
              </w:rPr>
              <w:t>Opis</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AA6373" w14:textId="77777777" w:rsidR="00A77B3E" w:rsidRDefault="00A77B3E">
            <w:pPr>
              <w:spacing w:before="100"/>
              <w:jc w:val="center"/>
              <w:rPr>
                <w:color w:val="000000"/>
                <w:sz w:val="12"/>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B6020E" w14:textId="77777777" w:rsidR="00A77B3E"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798D4E" w14:textId="77777777" w:rsidR="00A77B3E" w:rsidRDefault="00A77B3E">
            <w:pPr>
              <w:spacing w:before="100"/>
              <w:jc w:val="center"/>
              <w:rPr>
                <w:color w:val="000000"/>
                <w:sz w:val="12"/>
              </w:rPr>
            </w:pPr>
          </w:p>
        </w:tc>
      </w:tr>
    </w:tbl>
    <w:p w14:paraId="5DC8BE18" w14:textId="77777777" w:rsidR="00A77B3E" w:rsidRPr="00857B1D" w:rsidRDefault="00EE0419">
      <w:pPr>
        <w:spacing w:before="100"/>
        <w:rPr>
          <w:color w:val="000000"/>
          <w:sz w:val="12"/>
          <w:lang w:val="it-IT"/>
        </w:rPr>
      </w:pPr>
      <w:r w:rsidRPr="00857B1D">
        <w:rPr>
          <w:color w:val="000000"/>
          <w:sz w:val="12"/>
          <w:lang w:val="it-IT"/>
        </w:rPr>
        <w:t>(1) To se nanaša na kodo v Prilogi VI uredb o AMIF, IUMV in SNV.</w:t>
      </w:r>
    </w:p>
    <w:p w14:paraId="79318EA9" w14:textId="77777777" w:rsidR="00A77B3E" w:rsidRPr="00857B1D" w:rsidRDefault="00EE0419">
      <w:pPr>
        <w:spacing w:before="100"/>
        <w:rPr>
          <w:color w:val="000000"/>
          <w:sz w:val="12"/>
          <w:lang w:val="it-IT"/>
        </w:rPr>
      </w:pPr>
      <w:r w:rsidRPr="00857B1D">
        <w:rPr>
          <w:color w:val="000000"/>
          <w:sz w:val="12"/>
          <w:lang w:val="it-IT"/>
        </w:rPr>
        <w:t>(2) To se nanaša na kodo skupnega kazalnika, če je ustrezno.</w:t>
      </w:r>
    </w:p>
    <w:p w14:paraId="7D3AD177" w14:textId="77777777" w:rsidR="00A77B3E" w:rsidRPr="00857B1D" w:rsidRDefault="00A77B3E">
      <w:pPr>
        <w:spacing w:before="100"/>
        <w:rPr>
          <w:color w:val="000000"/>
          <w:lang w:val="it-IT"/>
        </w:rPr>
        <w:sectPr w:rsidR="00A77B3E" w:rsidRPr="00857B1D">
          <w:headerReference w:type="even" r:id="rId91"/>
          <w:headerReference w:type="default" r:id="rId92"/>
          <w:footerReference w:type="even" r:id="rId93"/>
          <w:footerReference w:type="default" r:id="rId94"/>
          <w:headerReference w:type="first" r:id="rId95"/>
          <w:footerReference w:type="first" r:id="rId96"/>
          <w:pgSz w:w="16838" w:h="11906" w:orient="landscape"/>
          <w:pgMar w:top="720" w:right="720" w:bottom="864" w:left="936" w:header="288" w:footer="72" w:gutter="0"/>
          <w:cols w:space="720"/>
          <w:noEndnote/>
          <w:docGrid w:linePitch="360"/>
        </w:sectPr>
      </w:pPr>
    </w:p>
    <w:p w14:paraId="5482CDF9" w14:textId="77777777" w:rsidR="00A77B3E" w:rsidRPr="00857B1D" w:rsidRDefault="00EE0419">
      <w:pPr>
        <w:spacing w:before="100"/>
        <w:rPr>
          <w:color w:val="000000"/>
          <w:lang w:val="it-IT"/>
        </w:rPr>
      </w:pPr>
      <w:r w:rsidRPr="00857B1D">
        <w:rPr>
          <w:color w:val="000000"/>
          <w:lang w:val="it-IT"/>
        </w:rPr>
        <w:lastRenderedPageBreak/>
        <w:t>Dodatek 1: Prispevek Unije na podlagi stroškov na enoto, pavšalnih zneskov in pavšalnih stopenj</w:t>
      </w:r>
    </w:p>
    <w:p w14:paraId="39249A28" w14:textId="77777777" w:rsidR="00A77B3E" w:rsidRPr="00857B1D" w:rsidRDefault="00EE0419">
      <w:pPr>
        <w:pStyle w:val="Naslov2"/>
        <w:spacing w:before="100" w:after="0"/>
        <w:rPr>
          <w:rFonts w:ascii="Times New Roman" w:hAnsi="Times New Roman" w:cs="Times New Roman"/>
          <w:b w:val="0"/>
          <w:i w:val="0"/>
          <w:color w:val="000000"/>
          <w:sz w:val="24"/>
          <w:lang w:val="it-IT"/>
        </w:rPr>
      </w:pPr>
      <w:bookmarkStart w:id="53" w:name="_Toc256000117"/>
      <w:r w:rsidRPr="00857B1D">
        <w:rPr>
          <w:rFonts w:ascii="Times New Roman" w:hAnsi="Times New Roman" w:cs="Times New Roman"/>
          <w:b w:val="0"/>
          <w:i w:val="0"/>
          <w:color w:val="000000"/>
          <w:sz w:val="24"/>
          <w:lang w:val="it-IT"/>
        </w:rPr>
        <w:t>B. Podrobnosti glede na vrsto operacije</w:t>
      </w:r>
      <w:bookmarkEnd w:id="53"/>
    </w:p>
    <w:p w14:paraId="4C3ABC0F" w14:textId="77777777" w:rsidR="00A77B3E" w:rsidRPr="00857B1D" w:rsidRDefault="00A77B3E">
      <w:pPr>
        <w:spacing w:before="100"/>
        <w:rPr>
          <w:color w:val="000000"/>
          <w:lang w:val="it-IT"/>
        </w:rPr>
        <w:sectPr w:rsidR="00A77B3E" w:rsidRPr="00857B1D">
          <w:pgSz w:w="16838" w:h="11906" w:orient="landscape"/>
          <w:pgMar w:top="720" w:right="720" w:bottom="864" w:left="936" w:header="288" w:footer="72" w:gutter="0"/>
          <w:cols w:space="720"/>
          <w:noEndnote/>
          <w:docGrid w:linePitch="360"/>
        </w:sectPr>
      </w:pPr>
    </w:p>
    <w:p w14:paraId="044D68E4" w14:textId="77777777" w:rsidR="00A77B3E" w:rsidRPr="00857B1D" w:rsidRDefault="00EE0419">
      <w:pPr>
        <w:pStyle w:val="Naslov2"/>
        <w:spacing w:before="100" w:after="0"/>
        <w:rPr>
          <w:rFonts w:ascii="Times New Roman" w:hAnsi="Times New Roman" w:cs="Times New Roman"/>
          <w:b w:val="0"/>
          <w:i w:val="0"/>
          <w:color w:val="000000"/>
          <w:sz w:val="24"/>
          <w:lang w:val="it-IT"/>
        </w:rPr>
      </w:pPr>
      <w:bookmarkStart w:id="54" w:name="_Toc256000118"/>
      <w:r w:rsidRPr="00857B1D">
        <w:rPr>
          <w:rFonts w:ascii="Times New Roman" w:hAnsi="Times New Roman" w:cs="Times New Roman"/>
          <w:b w:val="0"/>
          <w:i w:val="0"/>
          <w:color w:val="000000"/>
          <w:sz w:val="24"/>
          <w:lang w:val="it-IT"/>
        </w:rPr>
        <w:lastRenderedPageBreak/>
        <w:t>C. Izračun standardnih stroškov na enoto, pavšalnih zneskov in pavšalnih stopenj</w:t>
      </w:r>
      <w:bookmarkEnd w:id="54"/>
    </w:p>
    <w:p w14:paraId="28BD9359" w14:textId="77777777" w:rsidR="00A77B3E" w:rsidRPr="00857B1D" w:rsidRDefault="00EE0419">
      <w:pPr>
        <w:pStyle w:val="Naslov4"/>
        <w:spacing w:before="100" w:after="0"/>
        <w:rPr>
          <w:b w:val="0"/>
          <w:color w:val="000000"/>
          <w:sz w:val="24"/>
          <w:lang w:val="it-IT"/>
        </w:rPr>
      </w:pPr>
      <w:bookmarkStart w:id="55" w:name="_Toc256000119"/>
      <w:r w:rsidRPr="00857B1D">
        <w:rPr>
          <w:b w:val="0"/>
          <w:color w:val="000000"/>
          <w:sz w:val="24"/>
          <w:lang w:val="it-IT"/>
        </w:rPr>
        <w:t>1. Vir podatkov, uporabljenih za izračun standardnih stroškov na enoto, pavšalnih zneskov ali pavšalnih stopenj (kdo je predložil, zbral in evidentiral podatke; kje so podatki shranjeni; presečni datumi; potrjevanje itd.)</w:t>
      </w:r>
      <w:bookmarkEnd w:id="55"/>
    </w:p>
    <w:p w14:paraId="0BCA90BB" w14:textId="77777777" w:rsidR="00A77B3E" w:rsidRPr="00857B1D" w:rsidRDefault="00A77B3E">
      <w:pPr>
        <w:spacing w:before="100"/>
        <w:rPr>
          <w:color w:val="000000"/>
          <w:sz w:val="12"/>
          <w:lang w:val="it-IT"/>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EC4D24" w:rsidRPr="00857B1D" w14:paraId="43AD27D3"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751F0FC6" w14:textId="77777777" w:rsidR="00A77B3E" w:rsidRPr="00857B1D" w:rsidRDefault="00A77B3E">
            <w:pPr>
              <w:spacing w:before="100"/>
              <w:rPr>
                <w:color w:val="000000"/>
                <w:lang w:val="it-IT"/>
              </w:rPr>
            </w:pPr>
          </w:p>
        </w:tc>
      </w:tr>
    </w:tbl>
    <w:p w14:paraId="64DD9E18" w14:textId="77777777" w:rsidR="00A77B3E" w:rsidRPr="00857B1D" w:rsidRDefault="00EE0419">
      <w:pPr>
        <w:pStyle w:val="Naslov4"/>
        <w:spacing w:before="100" w:after="0"/>
        <w:rPr>
          <w:b w:val="0"/>
          <w:color w:val="000000"/>
          <w:sz w:val="24"/>
          <w:lang w:val="it-IT"/>
        </w:rPr>
      </w:pPr>
      <w:r w:rsidRPr="00857B1D">
        <w:rPr>
          <w:b w:val="0"/>
          <w:color w:val="000000"/>
          <w:sz w:val="24"/>
          <w:lang w:val="it-IT"/>
        </w:rPr>
        <w:br w:type="page"/>
      </w:r>
      <w:bookmarkStart w:id="56" w:name="_Toc256000120"/>
      <w:r w:rsidRPr="00857B1D">
        <w:rPr>
          <w:b w:val="0"/>
          <w:color w:val="000000"/>
          <w:sz w:val="24"/>
          <w:lang w:val="it-IT"/>
        </w:rPr>
        <w:lastRenderedPageBreak/>
        <w:t>2. Navedite, zakaj sta predlagana metoda in izračun na podlagi člena 94(2) uredbe o skupnih določbah relevantna za vrsto operacije.</w:t>
      </w:r>
      <w:bookmarkEnd w:id="56"/>
    </w:p>
    <w:p w14:paraId="2506F3C2" w14:textId="77777777" w:rsidR="00A77B3E" w:rsidRPr="00857B1D" w:rsidRDefault="00A77B3E">
      <w:pPr>
        <w:spacing w:before="100"/>
        <w:rPr>
          <w:color w:val="000000"/>
          <w:sz w:val="12"/>
          <w:lang w:val="it-IT"/>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EC4D24" w:rsidRPr="00857B1D" w14:paraId="319F4E77"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16C228AE" w14:textId="77777777" w:rsidR="00A77B3E" w:rsidRPr="00857B1D" w:rsidRDefault="00A77B3E">
            <w:pPr>
              <w:spacing w:before="100"/>
              <w:rPr>
                <w:color w:val="000000"/>
                <w:lang w:val="it-IT"/>
              </w:rPr>
            </w:pPr>
          </w:p>
        </w:tc>
      </w:tr>
    </w:tbl>
    <w:p w14:paraId="4791E7FF" w14:textId="77777777" w:rsidR="00A77B3E" w:rsidRPr="00857B1D" w:rsidRDefault="00EE0419">
      <w:pPr>
        <w:pStyle w:val="Naslov4"/>
        <w:spacing w:before="100" w:after="0"/>
        <w:rPr>
          <w:b w:val="0"/>
          <w:color w:val="000000"/>
          <w:sz w:val="24"/>
          <w:lang w:val="it-IT"/>
        </w:rPr>
      </w:pPr>
      <w:r w:rsidRPr="00857B1D">
        <w:rPr>
          <w:b w:val="0"/>
          <w:color w:val="000000"/>
          <w:sz w:val="24"/>
          <w:lang w:val="it-IT"/>
        </w:rPr>
        <w:br w:type="page"/>
      </w:r>
      <w:bookmarkStart w:id="57" w:name="_Toc256000121"/>
      <w:r w:rsidRPr="00857B1D">
        <w:rPr>
          <w:b w:val="0"/>
          <w:color w:val="000000"/>
          <w:sz w:val="24"/>
          <w:lang w:val="it-IT"/>
        </w:rPr>
        <w:lastRenderedPageBreak/>
        <w:t>3. Navedite, kako so bili izračuni narejeni, vključno zlasti s predpostavkami v smislu kakovosti ali količin. Če je to relevantno, je treba uporabiti in na zahtevo predložiti statistične dokaze in referenčne vrednosti v obliki, ki jo lahko uporabi Evropska komisija.</w:t>
      </w:r>
      <w:bookmarkEnd w:id="57"/>
    </w:p>
    <w:p w14:paraId="437E0764" w14:textId="77777777" w:rsidR="00A77B3E" w:rsidRPr="00857B1D" w:rsidRDefault="00A77B3E">
      <w:pPr>
        <w:spacing w:before="100"/>
        <w:rPr>
          <w:color w:val="000000"/>
          <w:sz w:val="12"/>
          <w:lang w:val="it-IT"/>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EC4D24" w:rsidRPr="00857B1D" w14:paraId="5629D647"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54EE546E" w14:textId="77777777" w:rsidR="00A77B3E" w:rsidRPr="00857B1D" w:rsidRDefault="00A77B3E">
            <w:pPr>
              <w:spacing w:before="100"/>
              <w:rPr>
                <w:color w:val="000000"/>
                <w:lang w:val="it-IT"/>
              </w:rPr>
            </w:pPr>
          </w:p>
        </w:tc>
      </w:tr>
    </w:tbl>
    <w:p w14:paraId="1E0E453A" w14:textId="77777777" w:rsidR="00A77B3E" w:rsidRPr="00857B1D" w:rsidRDefault="00EE0419">
      <w:pPr>
        <w:pStyle w:val="Naslov4"/>
        <w:spacing w:before="100" w:after="0"/>
        <w:rPr>
          <w:b w:val="0"/>
          <w:color w:val="000000"/>
          <w:sz w:val="24"/>
          <w:lang w:val="it-IT"/>
        </w:rPr>
      </w:pPr>
      <w:r w:rsidRPr="00857B1D">
        <w:rPr>
          <w:b w:val="0"/>
          <w:color w:val="000000"/>
          <w:sz w:val="24"/>
          <w:lang w:val="it-IT"/>
        </w:rPr>
        <w:br w:type="page"/>
      </w:r>
      <w:bookmarkStart w:id="58" w:name="_Toc256000122"/>
      <w:r w:rsidRPr="00857B1D">
        <w:rPr>
          <w:b w:val="0"/>
          <w:color w:val="000000"/>
          <w:sz w:val="24"/>
          <w:lang w:val="it-IT"/>
        </w:rPr>
        <w:lastRenderedPageBreak/>
        <w:t>4. Pojasnite, kako ste zagotovili, da so bili v izračun standardnih stroškov na enoto, pavšalnega zneska ali pavšalne stopnje vključeni le upravičeni izdatki.</w:t>
      </w:r>
      <w:bookmarkEnd w:id="58"/>
    </w:p>
    <w:p w14:paraId="248276F9" w14:textId="77777777" w:rsidR="00A77B3E" w:rsidRPr="00857B1D" w:rsidRDefault="00A77B3E">
      <w:pPr>
        <w:spacing w:before="100"/>
        <w:rPr>
          <w:color w:val="000000"/>
          <w:sz w:val="12"/>
          <w:lang w:val="it-IT"/>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EC4D24" w:rsidRPr="00857B1D" w14:paraId="6FB90FB7"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3C1AEB13" w14:textId="77777777" w:rsidR="00A77B3E" w:rsidRPr="00857B1D" w:rsidRDefault="00A77B3E">
            <w:pPr>
              <w:spacing w:before="100"/>
              <w:rPr>
                <w:color w:val="000000"/>
                <w:lang w:val="it-IT"/>
              </w:rPr>
            </w:pPr>
          </w:p>
        </w:tc>
      </w:tr>
    </w:tbl>
    <w:p w14:paraId="299CDB30" w14:textId="77777777" w:rsidR="00A77B3E" w:rsidRPr="00857B1D" w:rsidRDefault="00EE0419">
      <w:pPr>
        <w:pStyle w:val="Naslov4"/>
        <w:spacing w:before="100" w:after="0"/>
        <w:rPr>
          <w:b w:val="0"/>
          <w:color w:val="000000"/>
          <w:sz w:val="24"/>
          <w:lang w:val="it-IT"/>
        </w:rPr>
      </w:pPr>
      <w:r w:rsidRPr="00857B1D">
        <w:rPr>
          <w:b w:val="0"/>
          <w:color w:val="000000"/>
          <w:sz w:val="24"/>
          <w:lang w:val="it-IT"/>
        </w:rPr>
        <w:br w:type="page"/>
      </w:r>
      <w:bookmarkStart w:id="59" w:name="_Toc256000123"/>
      <w:r w:rsidRPr="00857B1D">
        <w:rPr>
          <w:b w:val="0"/>
          <w:color w:val="000000"/>
          <w:sz w:val="24"/>
          <w:lang w:val="it-IT"/>
        </w:rPr>
        <w:lastRenderedPageBreak/>
        <w:t>5. Ocena revizijskega organa v zvezi z metodologijo za izračun in zneski ter ureditvijo za zagotovitev potrjevanja, kakovosti, zbiranja in shranjevanja podatkov.</w:t>
      </w:r>
      <w:bookmarkEnd w:id="59"/>
    </w:p>
    <w:p w14:paraId="01919616" w14:textId="77777777" w:rsidR="00A77B3E" w:rsidRPr="00857B1D" w:rsidRDefault="00A77B3E">
      <w:pPr>
        <w:spacing w:before="100"/>
        <w:rPr>
          <w:color w:val="000000"/>
          <w:sz w:val="12"/>
          <w:lang w:val="it-IT"/>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EC4D24" w:rsidRPr="00857B1D" w14:paraId="6E9EEFBE"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49376EB5" w14:textId="77777777" w:rsidR="00A77B3E" w:rsidRPr="00857B1D" w:rsidRDefault="00A77B3E">
            <w:pPr>
              <w:spacing w:before="100"/>
              <w:rPr>
                <w:color w:val="000000"/>
                <w:lang w:val="it-IT"/>
              </w:rPr>
            </w:pPr>
          </w:p>
        </w:tc>
      </w:tr>
    </w:tbl>
    <w:p w14:paraId="62603718" w14:textId="77777777" w:rsidR="00A77B3E" w:rsidRPr="00857B1D" w:rsidRDefault="00A77B3E">
      <w:pPr>
        <w:spacing w:before="100"/>
        <w:rPr>
          <w:color w:val="000000"/>
          <w:lang w:val="it-IT"/>
        </w:rPr>
        <w:sectPr w:rsidR="00A77B3E" w:rsidRPr="00857B1D">
          <w:headerReference w:type="even" r:id="rId97"/>
          <w:headerReference w:type="default" r:id="rId98"/>
          <w:footerReference w:type="even" r:id="rId99"/>
          <w:footerReference w:type="default" r:id="rId100"/>
          <w:headerReference w:type="first" r:id="rId101"/>
          <w:footerReference w:type="first" r:id="rId102"/>
          <w:pgSz w:w="11906" w:h="16838"/>
          <w:pgMar w:top="720" w:right="936" w:bottom="864" w:left="720" w:header="0" w:footer="72" w:gutter="0"/>
          <w:cols w:space="720"/>
          <w:noEndnote/>
          <w:docGrid w:linePitch="360"/>
        </w:sectPr>
      </w:pPr>
    </w:p>
    <w:p w14:paraId="202E834A" w14:textId="77777777" w:rsidR="00A77B3E" w:rsidRPr="00857B1D" w:rsidRDefault="00EE0419">
      <w:pPr>
        <w:pStyle w:val="Naslov1"/>
        <w:spacing w:before="100" w:after="0"/>
        <w:rPr>
          <w:rFonts w:ascii="Times New Roman" w:hAnsi="Times New Roman" w:cs="Times New Roman"/>
          <w:b w:val="0"/>
          <w:color w:val="000000"/>
          <w:sz w:val="24"/>
          <w:lang w:val="it-IT"/>
        </w:rPr>
      </w:pPr>
      <w:bookmarkStart w:id="60" w:name="_Toc256000124"/>
      <w:r w:rsidRPr="00857B1D">
        <w:rPr>
          <w:rFonts w:ascii="Times New Roman" w:hAnsi="Times New Roman" w:cs="Times New Roman"/>
          <w:b w:val="0"/>
          <w:color w:val="000000"/>
          <w:sz w:val="24"/>
          <w:lang w:val="it-IT"/>
        </w:rPr>
        <w:lastRenderedPageBreak/>
        <w:t>Dodatek 2: Prispevek Unije, temelječ na financiranju, ki ni povezano s stroški</w:t>
      </w:r>
      <w:bookmarkEnd w:id="60"/>
    </w:p>
    <w:p w14:paraId="336F731E" w14:textId="77777777" w:rsidR="00A77B3E" w:rsidRDefault="00EE0419">
      <w:pPr>
        <w:pStyle w:val="Naslov2"/>
        <w:spacing w:before="100" w:after="0"/>
        <w:rPr>
          <w:rFonts w:ascii="Times New Roman" w:hAnsi="Times New Roman" w:cs="Times New Roman"/>
          <w:b w:val="0"/>
          <w:i w:val="0"/>
          <w:color w:val="000000"/>
          <w:sz w:val="24"/>
        </w:rPr>
      </w:pPr>
      <w:bookmarkStart w:id="61" w:name="_Toc256000125"/>
      <w:r>
        <w:rPr>
          <w:rFonts w:ascii="Times New Roman" w:hAnsi="Times New Roman" w:cs="Times New Roman"/>
          <w:b w:val="0"/>
          <w:i w:val="0"/>
          <w:color w:val="000000"/>
          <w:sz w:val="24"/>
        </w:rPr>
        <w:t>A. Povzetek glavnih elementov</w:t>
      </w:r>
      <w:bookmarkEnd w:id="61"/>
    </w:p>
    <w:p w14:paraId="55A01971"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569"/>
        <w:gridCol w:w="1255"/>
        <w:gridCol w:w="1570"/>
        <w:gridCol w:w="1883"/>
        <w:gridCol w:w="1570"/>
        <w:gridCol w:w="1570"/>
        <w:gridCol w:w="1570"/>
        <w:gridCol w:w="2093"/>
      </w:tblGrid>
      <w:tr w:rsidR="00EC4D24" w:rsidRPr="00857B1D" w14:paraId="1EC9C56B" w14:textId="77777777">
        <w:trPr>
          <w:tblHeader/>
        </w:trPr>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FCF231" w14:textId="77777777" w:rsidR="00A77B3E" w:rsidRDefault="00EE0419">
            <w:pPr>
              <w:spacing w:before="100"/>
              <w:jc w:val="center"/>
              <w:rPr>
                <w:color w:val="000000"/>
                <w:sz w:val="12"/>
              </w:rPr>
            </w:pPr>
            <w:r>
              <w:rPr>
                <w:color w:val="000000"/>
                <w:sz w:val="12"/>
              </w:rPr>
              <w:t>Specifični cilj</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E44273" w14:textId="77777777" w:rsidR="00A77B3E" w:rsidRDefault="00EE0419">
            <w:pPr>
              <w:spacing w:before="100"/>
              <w:jc w:val="center"/>
              <w:rPr>
                <w:color w:val="000000"/>
                <w:sz w:val="12"/>
              </w:rPr>
            </w:pPr>
            <w:r>
              <w:rPr>
                <w:color w:val="000000"/>
                <w:sz w:val="12"/>
              </w:rPr>
              <w:t>Znesek, zajet s financiranjem, ki ni povezano s stroški</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D63156" w14:textId="77777777" w:rsidR="00A77B3E" w:rsidRDefault="00EE0419">
            <w:pPr>
              <w:spacing w:before="100"/>
              <w:jc w:val="center"/>
              <w:rPr>
                <w:color w:val="000000"/>
                <w:sz w:val="12"/>
              </w:rPr>
            </w:pPr>
            <w:r>
              <w:rPr>
                <w:color w:val="000000"/>
                <w:sz w:val="12"/>
              </w:rPr>
              <w:t>Vrste zajetih operacij</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2F77F3" w14:textId="77777777" w:rsidR="00A77B3E" w:rsidRDefault="00EE0419">
            <w:pPr>
              <w:spacing w:before="100"/>
              <w:jc w:val="center"/>
              <w:rPr>
                <w:color w:val="000000"/>
                <w:sz w:val="12"/>
              </w:rPr>
            </w:pPr>
            <w:r>
              <w:rPr>
                <w:color w:val="000000"/>
                <w:sz w:val="12"/>
              </w:rPr>
              <w:t>Pogoji, ki jih je treba izpolniti/rezultati, ki jih je treba doseči, da Komisija izplača povračilo</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197898" w14:textId="77777777" w:rsidR="00A77B3E" w:rsidRDefault="00EE0419">
            <w:pPr>
              <w:spacing w:before="100"/>
              <w:jc w:val="center"/>
              <w:rPr>
                <w:color w:val="000000"/>
                <w:sz w:val="12"/>
              </w:rPr>
            </w:pPr>
            <w:r>
              <w:rPr>
                <w:color w:val="000000"/>
                <w:sz w:val="12"/>
              </w:rPr>
              <w:t>Kazalniki</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345ED2" w14:textId="77777777" w:rsidR="00A77B3E" w:rsidRDefault="00EE0419">
            <w:pPr>
              <w:spacing w:before="100"/>
              <w:jc w:val="center"/>
              <w:rPr>
                <w:color w:val="000000"/>
                <w:sz w:val="12"/>
              </w:rPr>
            </w:pPr>
            <w:r>
              <w:rPr>
                <w:color w:val="000000"/>
                <w:sz w:val="12"/>
              </w:rPr>
              <w:t>Merska enota za pogoje, ki jih je treba izpolniti/rezultate, ki jih je treba doseči za povračilo s strani Evropske komisije</w:t>
            </w:r>
          </w:p>
        </w:tc>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268504" w14:textId="77777777" w:rsidR="00A77B3E" w:rsidRPr="00857B1D" w:rsidRDefault="00EE0419">
            <w:pPr>
              <w:spacing w:before="100"/>
              <w:jc w:val="center"/>
              <w:rPr>
                <w:color w:val="000000"/>
                <w:sz w:val="12"/>
                <w:lang w:val="it-IT"/>
              </w:rPr>
            </w:pPr>
            <w:r w:rsidRPr="00857B1D">
              <w:rPr>
                <w:color w:val="000000"/>
                <w:sz w:val="12"/>
                <w:lang w:val="it-IT"/>
              </w:rPr>
              <w:t>Načrtovana vrsta metode, ki se uporabi za povračila upravičencu (upravičencem)</w:t>
            </w:r>
          </w:p>
        </w:tc>
      </w:tr>
      <w:tr w:rsidR="00EC4D24" w14:paraId="784235B0" w14:textId="77777777">
        <w:trPr>
          <w:tblHeader/>
        </w:trPr>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A760FA" w14:textId="77777777" w:rsidR="00A77B3E" w:rsidRPr="00857B1D" w:rsidRDefault="00A77B3E">
            <w:pPr>
              <w:spacing w:before="100"/>
              <w:jc w:val="center"/>
              <w:rPr>
                <w:color w:val="000000"/>
                <w:sz w:val="12"/>
                <w:lang w:val="it-IT"/>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403F1F" w14:textId="77777777" w:rsidR="00A77B3E" w:rsidRPr="00857B1D" w:rsidRDefault="00A77B3E">
            <w:pPr>
              <w:spacing w:before="100"/>
              <w:jc w:val="center"/>
              <w:rPr>
                <w:color w:val="000000"/>
                <w:sz w:val="12"/>
                <w:lang w:val="it-IT"/>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C25C1C" w14:textId="77777777" w:rsidR="00A77B3E" w:rsidRDefault="00EE0419">
            <w:pPr>
              <w:spacing w:before="100"/>
              <w:jc w:val="center"/>
              <w:rPr>
                <w:color w:val="000000"/>
                <w:sz w:val="12"/>
              </w:rPr>
            </w:pPr>
            <w:r>
              <w:rPr>
                <w:color w:val="000000"/>
                <w:sz w:val="12"/>
              </w:rPr>
              <w:t>Oznaka(1)</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545B77" w14:textId="77777777" w:rsidR="00A77B3E" w:rsidRDefault="00EE0419">
            <w:pPr>
              <w:spacing w:before="100"/>
              <w:jc w:val="center"/>
              <w:rPr>
                <w:color w:val="000000"/>
                <w:sz w:val="12"/>
              </w:rPr>
            </w:pPr>
            <w:r>
              <w:rPr>
                <w:color w:val="000000"/>
                <w:sz w:val="12"/>
              </w:rPr>
              <w:t>Opis</w:t>
            </w:r>
          </w:p>
        </w:tc>
        <w:tc>
          <w:tcPr>
            <w:tcW w:w="1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45AE09" w14:textId="77777777" w:rsidR="00A77B3E" w:rsidRDefault="00A77B3E">
            <w:pPr>
              <w:spacing w:before="100"/>
              <w:jc w:val="center"/>
              <w:rPr>
                <w:color w:val="000000"/>
                <w:sz w:val="12"/>
              </w:rPr>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3265E4" w14:textId="77777777" w:rsidR="00A77B3E" w:rsidRDefault="00EE0419">
            <w:pPr>
              <w:spacing w:before="100"/>
              <w:jc w:val="center"/>
              <w:rPr>
                <w:color w:val="000000"/>
                <w:sz w:val="12"/>
              </w:rPr>
            </w:pPr>
            <w:r>
              <w:rPr>
                <w:color w:val="000000"/>
                <w:sz w:val="12"/>
              </w:rPr>
              <w:t>Oznaka(2)</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7B8E68" w14:textId="77777777" w:rsidR="00A77B3E" w:rsidRDefault="00EE0419">
            <w:pPr>
              <w:spacing w:before="100"/>
              <w:jc w:val="center"/>
              <w:rPr>
                <w:color w:val="000000"/>
                <w:sz w:val="12"/>
              </w:rPr>
            </w:pPr>
            <w:r>
              <w:rPr>
                <w:color w:val="000000"/>
                <w:sz w:val="12"/>
              </w:rPr>
              <w:t>Opis</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12F68F" w14:textId="77777777" w:rsidR="00A77B3E" w:rsidRDefault="00A77B3E">
            <w:pPr>
              <w:spacing w:before="100"/>
              <w:jc w:val="center"/>
              <w:rPr>
                <w:color w:val="000000"/>
                <w:sz w:val="12"/>
              </w:rPr>
            </w:pPr>
          </w:p>
        </w:tc>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89B06D" w14:textId="77777777" w:rsidR="00A77B3E" w:rsidRDefault="00A77B3E">
            <w:pPr>
              <w:spacing w:before="100"/>
              <w:jc w:val="center"/>
              <w:rPr>
                <w:color w:val="000000"/>
                <w:sz w:val="12"/>
              </w:rPr>
            </w:pPr>
          </w:p>
        </w:tc>
      </w:tr>
    </w:tbl>
    <w:p w14:paraId="1F1296F4" w14:textId="77777777" w:rsidR="00A77B3E" w:rsidRPr="00857B1D" w:rsidRDefault="00EE0419">
      <w:pPr>
        <w:spacing w:before="100"/>
        <w:rPr>
          <w:color w:val="000000"/>
          <w:sz w:val="12"/>
          <w:lang w:val="it-IT"/>
        </w:rPr>
      </w:pPr>
      <w:r w:rsidRPr="00857B1D">
        <w:rPr>
          <w:color w:val="000000"/>
          <w:sz w:val="12"/>
          <w:lang w:val="it-IT"/>
        </w:rPr>
        <w:t>(1) To se nanaša na kodo v Prilogi VI uredb o AMIF, IUMV in SNV.</w:t>
      </w:r>
    </w:p>
    <w:p w14:paraId="2735C56A" w14:textId="77777777" w:rsidR="00A77B3E" w:rsidRPr="00857B1D" w:rsidRDefault="00EE0419">
      <w:pPr>
        <w:spacing w:before="100"/>
        <w:rPr>
          <w:color w:val="000000"/>
          <w:sz w:val="12"/>
          <w:lang w:val="it-IT"/>
        </w:rPr>
      </w:pPr>
      <w:r w:rsidRPr="00857B1D">
        <w:rPr>
          <w:color w:val="000000"/>
          <w:sz w:val="12"/>
          <w:lang w:val="it-IT"/>
        </w:rPr>
        <w:t>(2) To se nanaša na kodo skupnega kazalnika, če je ustrezno.</w:t>
      </w:r>
    </w:p>
    <w:p w14:paraId="54E344E1" w14:textId="77777777" w:rsidR="00A77B3E" w:rsidRPr="00857B1D" w:rsidRDefault="00A77B3E">
      <w:pPr>
        <w:spacing w:before="100"/>
        <w:rPr>
          <w:color w:val="000000"/>
          <w:sz w:val="12"/>
          <w:lang w:val="it-IT"/>
        </w:rPr>
        <w:sectPr w:rsidR="00A77B3E" w:rsidRPr="00857B1D">
          <w:headerReference w:type="even" r:id="rId103"/>
          <w:headerReference w:type="default" r:id="rId104"/>
          <w:footerReference w:type="even" r:id="rId105"/>
          <w:footerReference w:type="default" r:id="rId106"/>
          <w:headerReference w:type="first" r:id="rId107"/>
          <w:footerReference w:type="first" r:id="rId108"/>
          <w:pgSz w:w="16838" w:h="11906" w:orient="landscape"/>
          <w:pgMar w:top="720" w:right="720" w:bottom="864" w:left="936" w:header="288" w:footer="72" w:gutter="0"/>
          <w:cols w:space="720"/>
          <w:noEndnote/>
          <w:docGrid w:linePitch="360"/>
        </w:sectPr>
      </w:pPr>
    </w:p>
    <w:p w14:paraId="2DD64F9E" w14:textId="77777777" w:rsidR="00A77B3E" w:rsidRPr="00857B1D" w:rsidRDefault="00EE0419">
      <w:pPr>
        <w:pStyle w:val="Naslov2"/>
        <w:spacing w:before="100" w:after="0"/>
        <w:rPr>
          <w:rFonts w:ascii="Times New Roman" w:hAnsi="Times New Roman" w:cs="Times New Roman"/>
          <w:b w:val="0"/>
          <w:i w:val="0"/>
          <w:color w:val="000000"/>
          <w:sz w:val="24"/>
          <w:lang w:val="it-IT"/>
        </w:rPr>
      </w:pPr>
      <w:bookmarkStart w:id="62" w:name="_Toc256000126"/>
      <w:r w:rsidRPr="00857B1D">
        <w:rPr>
          <w:rFonts w:ascii="Times New Roman" w:hAnsi="Times New Roman" w:cs="Times New Roman"/>
          <w:b w:val="0"/>
          <w:i w:val="0"/>
          <w:color w:val="000000"/>
          <w:sz w:val="24"/>
          <w:lang w:val="it-IT"/>
        </w:rPr>
        <w:lastRenderedPageBreak/>
        <w:t>B. Podrobnosti glede na vrsto operacije</w:t>
      </w:r>
      <w:bookmarkEnd w:id="62"/>
    </w:p>
    <w:p w14:paraId="11B93F1C" w14:textId="77777777" w:rsidR="00A77B3E" w:rsidRPr="00857B1D" w:rsidRDefault="00A77B3E">
      <w:pPr>
        <w:spacing w:before="100"/>
        <w:rPr>
          <w:color w:val="000000"/>
          <w:lang w:val="it-IT"/>
        </w:rPr>
        <w:sectPr w:rsidR="00A77B3E" w:rsidRPr="00857B1D">
          <w:headerReference w:type="even" r:id="rId109"/>
          <w:headerReference w:type="default" r:id="rId110"/>
          <w:footerReference w:type="even" r:id="rId111"/>
          <w:footerReference w:type="default" r:id="rId112"/>
          <w:headerReference w:type="first" r:id="rId113"/>
          <w:footerReference w:type="first" r:id="rId114"/>
          <w:pgSz w:w="11906" w:h="16838"/>
          <w:pgMar w:top="720" w:right="936" w:bottom="864" w:left="720" w:header="0" w:footer="72" w:gutter="0"/>
          <w:cols w:space="720"/>
          <w:noEndnote/>
          <w:docGrid w:linePitch="360"/>
        </w:sectPr>
      </w:pPr>
    </w:p>
    <w:p w14:paraId="0AB6DF6E" w14:textId="77777777" w:rsidR="00A77B3E" w:rsidRDefault="00EE0419">
      <w:pPr>
        <w:pStyle w:val="Naslov1"/>
        <w:spacing w:before="100" w:after="0"/>
        <w:rPr>
          <w:rFonts w:ascii="Times New Roman" w:hAnsi="Times New Roman" w:cs="Times New Roman"/>
          <w:b w:val="0"/>
          <w:color w:val="000000"/>
          <w:sz w:val="24"/>
        </w:rPr>
      </w:pPr>
      <w:bookmarkStart w:id="63" w:name="_Toc256000127"/>
      <w:r>
        <w:rPr>
          <w:rFonts w:ascii="Times New Roman" w:hAnsi="Times New Roman" w:cs="Times New Roman"/>
          <w:b w:val="0"/>
          <w:color w:val="000000"/>
          <w:sz w:val="24"/>
        </w:rPr>
        <w:lastRenderedPageBreak/>
        <w:t>Dodatek 3</w:t>
      </w:r>
      <w:bookmarkEnd w:id="63"/>
    </w:p>
    <w:p w14:paraId="24A632AA" w14:textId="77777777" w:rsidR="00A77B3E" w:rsidRDefault="00EE0419">
      <w:pPr>
        <w:pStyle w:val="Naslov2"/>
        <w:spacing w:before="100" w:after="0"/>
        <w:rPr>
          <w:rFonts w:ascii="Times New Roman" w:hAnsi="Times New Roman" w:cs="Times New Roman"/>
          <w:b w:val="0"/>
          <w:i w:val="0"/>
          <w:color w:val="000000"/>
          <w:sz w:val="24"/>
        </w:rPr>
      </w:pPr>
      <w:bookmarkStart w:id="64" w:name="_Toc256000128"/>
      <w:r>
        <w:rPr>
          <w:rFonts w:ascii="Times New Roman" w:hAnsi="Times New Roman" w:cs="Times New Roman"/>
          <w:b w:val="0"/>
          <w:i w:val="0"/>
          <w:color w:val="000000"/>
          <w:sz w:val="24"/>
        </w:rPr>
        <w:t>Thematic facility (Article 11 AMIF Reg., Article 8 BMVI Reg., Article 8 ISF Reg.)</w:t>
      </w:r>
      <w:bookmarkEnd w:id="64"/>
    </w:p>
    <w:p w14:paraId="16F263F9"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3074"/>
        <w:gridCol w:w="1504"/>
        <w:gridCol w:w="4137"/>
        <w:gridCol w:w="1545"/>
      </w:tblGrid>
      <w:tr w:rsidR="00EC4D24" w14:paraId="319E379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F2147B" w14:textId="77777777" w:rsidR="00A77B3E" w:rsidRDefault="00EE0419">
            <w:pPr>
              <w:spacing w:before="100"/>
              <w:rPr>
                <w:color w:val="000000"/>
                <w:sz w:val="16"/>
              </w:rPr>
            </w:pPr>
            <w:r>
              <w:rPr>
                <w:color w:val="000000"/>
                <w:sz w:val="16"/>
              </w:rPr>
              <w:t>Sklic na postopek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08A865" w14:textId="77777777" w:rsidR="00A77B3E" w:rsidRDefault="00EE0419">
            <w:pPr>
              <w:spacing w:before="100"/>
              <w:rPr>
                <w:color w:val="000000"/>
                <w:sz w:val="16"/>
              </w:rPr>
            </w:pPr>
            <w:r>
              <w:rPr>
                <w:color w:val="000000"/>
                <w:sz w:val="16"/>
              </w:rPr>
              <w:t>Različica programa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311252" w14:textId="77777777" w:rsidR="00A77B3E" w:rsidRDefault="00EE0419">
            <w:pPr>
              <w:spacing w:before="100"/>
              <w:rPr>
                <w:color w:val="000000"/>
                <w:sz w:val="16"/>
              </w:rPr>
            </w:pPr>
            <w:r>
              <w:rPr>
                <w:color w:val="000000"/>
                <w:sz w:val="16"/>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988F48" w14:textId="77777777" w:rsidR="00A77B3E" w:rsidRDefault="00EE0419">
            <w:pPr>
              <w:spacing w:before="100"/>
              <w:rPr>
                <w:color w:val="000000"/>
                <w:sz w:val="16"/>
              </w:rPr>
            </w:pPr>
            <w:r>
              <w:rPr>
                <w:color w:val="000000"/>
                <w:sz w:val="16"/>
              </w:rPr>
              <w:t>Datum sprejema/zavrnitve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BD9F8A" w14:textId="77777777" w:rsidR="00A77B3E" w:rsidRDefault="00EE0419">
            <w:pPr>
              <w:spacing w:before="100"/>
              <w:rPr>
                <w:color w:val="000000"/>
                <w:sz w:val="16"/>
              </w:rPr>
            </w:pPr>
            <w:r>
              <w:rPr>
                <w:color w:val="000000"/>
                <w:sz w:val="16"/>
              </w:rPr>
              <w:t>Opombe</w:t>
            </w:r>
          </w:p>
        </w:tc>
      </w:tr>
      <w:tr w:rsidR="00EC4D24" w14:paraId="7A91428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C685A0" w14:textId="77777777" w:rsidR="00A77B3E" w:rsidRDefault="00EE0419">
            <w:pPr>
              <w:spacing w:before="100"/>
              <w:rPr>
                <w:color w:val="000000"/>
                <w:sz w:val="16"/>
              </w:rPr>
            </w:pPr>
            <w:r>
              <w:rPr>
                <w:color w:val="000000"/>
                <w:sz w:val="16"/>
              </w:rPr>
              <w:t>C(2022)8340 - 23. nov. 2022 - 1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011DB2" w14:textId="77777777" w:rsidR="00A77B3E" w:rsidRDefault="00EE0419">
            <w:pPr>
              <w:spacing w:before="100"/>
              <w:rPr>
                <w:color w:val="000000"/>
                <w:sz w:val="16"/>
              </w:rPr>
            </w:pPr>
            <w:r>
              <w:rPr>
                <w:color w:val="000000"/>
                <w:sz w:val="16"/>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DD15F3" w14:textId="77777777" w:rsidR="00A77B3E" w:rsidRDefault="00EE0419">
            <w:pPr>
              <w:spacing w:before="100"/>
              <w:rPr>
                <w:color w:val="000000"/>
                <w:sz w:val="16"/>
              </w:rPr>
            </w:pPr>
            <w:r>
              <w:rPr>
                <w:color w:val="000000"/>
                <w:sz w:val="16"/>
              </w:rPr>
              <w:t>Sprejeto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9FCE6A" w14:textId="77777777" w:rsidR="00A77B3E" w:rsidRDefault="00EE0419">
            <w:pPr>
              <w:spacing w:before="100"/>
              <w:rPr>
                <w:color w:val="000000"/>
                <w:sz w:val="16"/>
              </w:rPr>
            </w:pPr>
            <w:r>
              <w:rPr>
                <w:color w:val="000000"/>
                <w:sz w:val="16"/>
              </w:rPr>
              <w:t>17. maj 2023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BE88C1" w14:textId="77777777" w:rsidR="00A77B3E" w:rsidRDefault="00A77B3E">
            <w:pPr>
              <w:spacing w:before="100"/>
              <w:rPr>
                <w:color w:val="000000"/>
                <w:sz w:val="16"/>
              </w:rPr>
            </w:pPr>
          </w:p>
        </w:tc>
      </w:tr>
      <w:tr w:rsidR="00EC4D24" w14:paraId="7EF73F64" w14:textId="77777777">
        <w:tc>
          <w:tcPr>
            <w:tcW w:w="0" w:type="auto"/>
            <w:gridSpan w:val="5"/>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B337E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958"/>
              <w:gridCol w:w="1173"/>
              <w:gridCol w:w="1076"/>
              <w:gridCol w:w="1974"/>
              <w:gridCol w:w="4324"/>
            </w:tblGrid>
            <w:tr w:rsidR="00EC4D24" w14:paraId="44F45F2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744533" w14:textId="77777777" w:rsidR="00A77B3E" w:rsidRDefault="00EE0419">
                  <w:pPr>
                    <w:spacing w:before="100"/>
                    <w:jc w:val="center"/>
                    <w:rPr>
                      <w:color w:val="000000"/>
                      <w:sz w:val="16"/>
                    </w:rPr>
                  </w:pPr>
                  <w:r>
                    <w:rPr>
                      <w:color w:val="000000"/>
                      <w:sz w:val="16"/>
                    </w:rPr>
                    <w:t>Specifični cilj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8F9CC7" w14:textId="77777777" w:rsidR="00A77B3E" w:rsidRDefault="00EE0419">
                  <w:pPr>
                    <w:spacing w:before="100"/>
                    <w:jc w:val="center"/>
                    <w:rPr>
                      <w:color w:val="000000"/>
                      <w:sz w:val="16"/>
                    </w:rPr>
                  </w:pPr>
                  <w:r>
                    <w:rPr>
                      <w:color w:val="000000"/>
                      <w:sz w:val="16"/>
                    </w:rPr>
                    <w:t>Način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7E63AC" w14:textId="77777777" w:rsidR="00A77B3E" w:rsidRDefault="00EE0419">
                  <w:pPr>
                    <w:spacing w:before="100"/>
                    <w:jc w:val="center"/>
                    <w:rPr>
                      <w:color w:val="000000"/>
                      <w:sz w:val="16"/>
                    </w:rPr>
                  </w:pPr>
                  <w:r>
                    <w:rPr>
                      <w:color w:val="000000"/>
                      <w:sz w:val="16"/>
                    </w:rPr>
                    <w:t>Vrsta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C28E1B" w14:textId="77777777" w:rsidR="00A77B3E" w:rsidRDefault="00EE0419">
                  <w:pPr>
                    <w:spacing w:before="100"/>
                    <w:jc w:val="center"/>
                    <w:rPr>
                      <w:color w:val="000000"/>
                      <w:sz w:val="16"/>
                    </w:rPr>
                  </w:pPr>
                  <w:r>
                    <w:rPr>
                      <w:color w:val="000000"/>
                      <w:sz w:val="16"/>
                    </w:rPr>
                    <w:t>Prispevek Unije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D28CBB" w14:textId="77777777" w:rsidR="00A77B3E" w:rsidRDefault="00EE0419">
                  <w:pPr>
                    <w:spacing w:before="100"/>
                    <w:jc w:val="center"/>
                    <w:rPr>
                      <w:color w:val="000000"/>
                      <w:sz w:val="16"/>
                    </w:rPr>
                  </w:pPr>
                  <w:r>
                    <w:rPr>
                      <w:color w:val="000000"/>
                      <w:sz w:val="16"/>
                    </w:rPr>
                    <w:t>Stopnja predhodnega financiranja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6DC391" w14:textId="77777777" w:rsidR="00A77B3E" w:rsidRDefault="00EE0419">
                  <w:pPr>
                    <w:spacing w:before="100"/>
                    <w:jc w:val="center"/>
                    <w:rPr>
                      <w:color w:val="000000"/>
                      <w:sz w:val="16"/>
                    </w:rPr>
                  </w:pPr>
                  <w:r>
                    <w:rPr>
                      <w:color w:val="000000"/>
                      <w:sz w:val="16"/>
                    </w:rPr>
                    <w:t>Opis ukrepa</w:t>
                  </w:r>
                </w:p>
              </w:tc>
            </w:tr>
            <w:tr w:rsidR="00EC4D24" w14:paraId="741046E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F32DF6" w14:textId="77777777" w:rsidR="00A77B3E" w:rsidRDefault="00EE0419">
                  <w:pPr>
                    <w:spacing w:before="100"/>
                    <w:rPr>
                      <w:color w:val="000000"/>
                      <w:sz w:val="16"/>
                    </w:rPr>
                  </w:pPr>
                  <w:r>
                    <w:rPr>
                      <w:color w:val="000000"/>
                      <w:sz w:val="16"/>
                    </w:rPr>
                    <w:t>4. Solidarnost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372B8F" w14:textId="77777777" w:rsidR="00A77B3E" w:rsidRDefault="00EE0419">
                  <w:pPr>
                    <w:spacing w:before="100"/>
                    <w:rPr>
                      <w:color w:val="000000"/>
                      <w:sz w:val="16"/>
                    </w:rPr>
                  </w:pPr>
                  <w:r>
                    <w:rPr>
                      <w:color w:val="000000"/>
                      <w:sz w:val="16"/>
                    </w:rPr>
                    <w:t>Preselitev in humanitarni sprejem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8EC3B9" w14:textId="77777777" w:rsidR="00A77B3E" w:rsidRDefault="00EE0419">
                  <w:pPr>
                    <w:spacing w:before="100"/>
                    <w:rPr>
                      <w:color w:val="000000"/>
                      <w:sz w:val="16"/>
                    </w:rPr>
                  </w:pPr>
                  <w:r>
                    <w:rPr>
                      <w:color w:val="000000"/>
                      <w:sz w:val="16"/>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F76195" w14:textId="77777777" w:rsidR="00A77B3E" w:rsidRDefault="00EE0419">
                  <w:pPr>
                    <w:spacing w:before="100"/>
                    <w:jc w:val="right"/>
                    <w:rPr>
                      <w:color w:val="000000"/>
                      <w:sz w:val="16"/>
                    </w:rPr>
                  </w:pPr>
                  <w:r>
                    <w:rPr>
                      <w:color w:val="000000"/>
                      <w:sz w:val="16"/>
                    </w:rPr>
                    <w:t>250.000,00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674EA6"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40EEA7" w14:textId="77777777" w:rsidR="00A77B3E" w:rsidRDefault="00EE0419">
                  <w:pPr>
                    <w:spacing w:before="100"/>
                    <w:rPr>
                      <w:color w:val="000000"/>
                      <w:sz w:val="16"/>
                    </w:rPr>
                  </w:pPr>
                  <w:r>
                    <w:rPr>
                      <w:color w:val="000000"/>
                      <w:sz w:val="16"/>
                    </w:rPr>
                    <w:t>AMIF TF - Resettlement &amp; Humanitarian Admission (Art. 19 AMIF Regulation)</w:t>
                  </w:r>
                </w:p>
              </w:tc>
            </w:tr>
            <w:tr w:rsidR="00EC4D24" w14:paraId="4F7A664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7DA5CD" w14:textId="77777777" w:rsidR="00A77B3E" w:rsidRDefault="00EE0419">
                  <w:pPr>
                    <w:spacing w:before="100"/>
                    <w:rPr>
                      <w:color w:val="000000"/>
                      <w:sz w:val="16"/>
                    </w:rPr>
                  </w:pPr>
                  <w:r>
                    <w:rPr>
                      <w:color w:val="000000"/>
                      <w:sz w:val="16"/>
                    </w:rPr>
                    <w:t>TA.36(5). Tehnična pomoč – pavšalna stopnja(člen 36(5) uredbe o skupnih določbah)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4E69D7" w14:textId="77777777" w:rsidR="00A77B3E" w:rsidRDefault="00EE0419">
                  <w:pPr>
                    <w:spacing w:before="100"/>
                    <w:rPr>
                      <w:color w:val="000000"/>
                      <w:sz w:val="16"/>
                    </w:rPr>
                  </w:pPr>
                  <w:r>
                    <w:rPr>
                      <w:color w:val="000000"/>
                      <w:sz w:val="16"/>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3F11B5" w14:textId="77777777" w:rsidR="00A77B3E" w:rsidRDefault="00EE0419">
                  <w:pPr>
                    <w:spacing w:before="100"/>
                    <w:rPr>
                      <w:color w:val="000000"/>
                      <w:sz w:val="16"/>
                    </w:rPr>
                  </w:pPr>
                  <w:r>
                    <w:rPr>
                      <w:color w:val="000000"/>
                      <w:sz w:val="16"/>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9713DD" w14:textId="77777777" w:rsidR="00A77B3E" w:rsidRDefault="00EE0419">
                  <w:pPr>
                    <w:spacing w:before="100"/>
                    <w:jc w:val="right"/>
                    <w:rPr>
                      <w:color w:val="000000"/>
                      <w:sz w:val="16"/>
                    </w:rPr>
                  </w:pPr>
                  <w:r>
                    <w:rPr>
                      <w:color w:val="000000"/>
                      <w:sz w:val="16"/>
                    </w:rPr>
                    <w:t>15.000,00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E1DE39"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1721D9" w14:textId="77777777" w:rsidR="00A77B3E" w:rsidRDefault="00EE0419">
                  <w:pPr>
                    <w:spacing w:before="100"/>
                    <w:rPr>
                      <w:color w:val="000000"/>
                      <w:sz w:val="16"/>
                    </w:rPr>
                  </w:pPr>
                  <w:r>
                    <w:rPr>
                      <w:color w:val="000000"/>
                      <w:sz w:val="16"/>
                    </w:rPr>
                    <w:t>TA</w:t>
                  </w:r>
                </w:p>
              </w:tc>
            </w:tr>
          </w:tbl>
          <w:p w14:paraId="25B3D4CB" w14:textId="77777777" w:rsidR="00A77B3E" w:rsidRDefault="00A77B3E">
            <w:pPr>
              <w:spacing w:before="100"/>
              <w:rPr>
                <w:color w:val="000000"/>
                <w:sz w:val="16"/>
              </w:rPr>
            </w:pPr>
          </w:p>
        </w:tc>
      </w:tr>
    </w:tbl>
    <w:p w14:paraId="6E47E2C0" w14:textId="77777777" w:rsidR="00A77B3E" w:rsidRDefault="00A77B3E">
      <w:pPr>
        <w:spacing w:before="100"/>
        <w:rPr>
          <w:color w:val="000000"/>
          <w:sz w:val="16"/>
        </w:rPr>
      </w:pPr>
    </w:p>
    <w:p w14:paraId="56D2D0AA" w14:textId="77777777" w:rsidR="00A77B3E" w:rsidRDefault="00A77B3E">
      <w:pPr>
        <w:spacing w:before="100"/>
        <w:rPr>
          <w:color w:val="000000"/>
          <w:sz w:val="16"/>
        </w:rPr>
        <w:sectPr w:rsidR="00A77B3E">
          <w:headerReference w:type="even" r:id="rId115"/>
          <w:headerReference w:type="default" r:id="rId116"/>
          <w:footerReference w:type="even" r:id="rId117"/>
          <w:footerReference w:type="default" r:id="rId118"/>
          <w:headerReference w:type="first" r:id="rId119"/>
          <w:footerReference w:type="first" r:id="rId120"/>
          <w:pgSz w:w="16838" w:h="11906" w:orient="landscape"/>
          <w:pgMar w:top="720" w:right="720" w:bottom="864" w:left="936" w:header="288" w:footer="72" w:gutter="0"/>
          <w:cols w:space="720"/>
          <w:noEndnote/>
          <w:docGrid w:linePitch="360"/>
        </w:sectPr>
      </w:pPr>
    </w:p>
    <w:p w14:paraId="709BFFC4" w14:textId="77777777" w:rsidR="00A77B3E" w:rsidRDefault="00EE0419">
      <w:pPr>
        <w:pStyle w:val="Naslov1"/>
        <w:spacing w:before="100" w:after="0"/>
        <w:rPr>
          <w:rFonts w:ascii="Times New Roman" w:hAnsi="Times New Roman" w:cs="Times New Roman"/>
          <w:b w:val="0"/>
          <w:color w:val="000000"/>
          <w:sz w:val="24"/>
        </w:rPr>
      </w:pPr>
      <w:bookmarkStart w:id="65" w:name="_Toc256000129"/>
      <w:r>
        <w:rPr>
          <w:rFonts w:ascii="Times New Roman" w:hAnsi="Times New Roman" w:cs="Times New Roman"/>
          <w:b w:val="0"/>
          <w:color w:val="000000"/>
          <w:sz w:val="24"/>
        </w:rPr>
        <w:lastRenderedPageBreak/>
        <w:t>DOKUMENTI</w:t>
      </w:r>
      <w:bookmarkEnd w:id="65"/>
    </w:p>
    <w:p w14:paraId="2BB005A1"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776"/>
        <w:gridCol w:w="1110"/>
        <w:gridCol w:w="1776"/>
        <w:gridCol w:w="1776"/>
        <w:gridCol w:w="4071"/>
        <w:gridCol w:w="1110"/>
        <w:gridCol w:w="1776"/>
      </w:tblGrid>
      <w:tr w:rsidR="00EC4D24" w14:paraId="02B6C90C" w14:textId="77777777">
        <w:trPr>
          <w:trHeight w:val="240"/>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AD4BC0B" w14:textId="77777777" w:rsidR="00A77B3E" w:rsidRDefault="00EE0419">
            <w:pPr>
              <w:spacing w:before="100"/>
              <w:jc w:val="center"/>
              <w:rPr>
                <w:color w:val="000000"/>
                <w:sz w:val="16"/>
              </w:rPr>
            </w:pPr>
            <w:r>
              <w:rPr>
                <w:color w:val="000000"/>
                <w:sz w:val="16"/>
              </w:rPr>
              <w:t>Naslov dokumenta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E3EC191" w14:textId="77777777" w:rsidR="00A77B3E" w:rsidRDefault="00EE0419">
            <w:pPr>
              <w:spacing w:before="100"/>
              <w:jc w:val="center"/>
              <w:rPr>
                <w:color w:val="000000"/>
                <w:sz w:val="16"/>
              </w:rPr>
            </w:pPr>
            <w:r>
              <w:rPr>
                <w:color w:val="000000"/>
                <w:sz w:val="16"/>
              </w:rPr>
              <w:t>Vrsta dokumenta</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894D421" w14:textId="77777777" w:rsidR="00A77B3E" w:rsidRDefault="00EE0419">
            <w:pPr>
              <w:spacing w:before="100"/>
              <w:jc w:val="center"/>
              <w:rPr>
                <w:color w:val="000000"/>
                <w:sz w:val="16"/>
              </w:rPr>
            </w:pPr>
            <w:r>
              <w:rPr>
                <w:color w:val="000000"/>
                <w:sz w:val="16"/>
              </w:rPr>
              <w:t>Datum dokumenta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09AEAF5" w14:textId="77777777" w:rsidR="00A77B3E" w:rsidRDefault="00EE0419">
            <w:pPr>
              <w:spacing w:before="100"/>
              <w:jc w:val="center"/>
              <w:rPr>
                <w:color w:val="000000"/>
                <w:sz w:val="16"/>
              </w:rPr>
            </w:pPr>
            <w:r>
              <w:rPr>
                <w:color w:val="000000"/>
                <w:sz w:val="16"/>
              </w:rPr>
              <w:t>Lokalna referenca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2345AF2" w14:textId="77777777" w:rsidR="00A77B3E" w:rsidRDefault="00EE0419">
            <w:pPr>
              <w:spacing w:before="100"/>
              <w:jc w:val="center"/>
              <w:rPr>
                <w:color w:val="000000"/>
                <w:sz w:val="16"/>
              </w:rPr>
            </w:pPr>
            <w:r>
              <w:rPr>
                <w:color w:val="000000"/>
                <w:sz w:val="16"/>
              </w:rPr>
              <w:t>Referenčna oznaka Komisije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D91DA9F" w14:textId="77777777" w:rsidR="00A77B3E" w:rsidRDefault="00EE0419">
            <w:pPr>
              <w:spacing w:before="100"/>
              <w:jc w:val="center"/>
              <w:rPr>
                <w:color w:val="000000"/>
                <w:sz w:val="16"/>
              </w:rPr>
            </w:pPr>
            <w:r>
              <w:rPr>
                <w:color w:val="000000"/>
                <w:sz w:val="16"/>
              </w:rPr>
              <w:t>Datoteke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F7CC980" w14:textId="77777777" w:rsidR="00A77B3E" w:rsidRDefault="00EE0419">
            <w:pPr>
              <w:spacing w:before="100"/>
              <w:jc w:val="center"/>
              <w:rPr>
                <w:color w:val="000000"/>
                <w:sz w:val="16"/>
              </w:rPr>
            </w:pPr>
            <w:r>
              <w:rPr>
                <w:color w:val="000000"/>
                <w:sz w:val="16"/>
              </w:rPr>
              <w:t>Datum pošiljanja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14AEEC5" w14:textId="77777777" w:rsidR="00A77B3E" w:rsidRDefault="00EE0419">
            <w:pPr>
              <w:spacing w:before="100"/>
              <w:jc w:val="center"/>
              <w:rPr>
                <w:color w:val="000000"/>
                <w:sz w:val="16"/>
              </w:rPr>
            </w:pPr>
            <w:r>
              <w:rPr>
                <w:color w:val="000000"/>
                <w:sz w:val="16"/>
              </w:rPr>
              <w:t>Poslal</w:t>
            </w:r>
          </w:p>
        </w:tc>
      </w:tr>
      <w:tr w:rsidR="00EC4D24" w14:paraId="6EC9ED81"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94B7DCB" w14:textId="77777777" w:rsidR="00A77B3E" w:rsidRDefault="00EE0419">
            <w:pPr>
              <w:spacing w:before="100"/>
              <w:rPr>
                <w:color w:val="000000"/>
                <w:sz w:val="16"/>
              </w:rPr>
            </w:pPr>
            <w:r>
              <w:rPr>
                <w:color w:val="000000"/>
                <w:sz w:val="16"/>
              </w:rPr>
              <w:t>OVERVIEW OF AMENDMENSTS IN THE AMIF PROGRAMME 2021-2027 Version 2.0</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025A393" w14:textId="77777777" w:rsidR="00A77B3E" w:rsidRDefault="00EE0419">
            <w:pPr>
              <w:spacing w:before="100"/>
              <w:rPr>
                <w:color w:val="000000"/>
                <w:sz w:val="16"/>
              </w:rPr>
            </w:pPr>
            <w:r>
              <w:rPr>
                <w:color w:val="000000"/>
                <w:sz w:val="16"/>
              </w:rPr>
              <w:t>Dopolnilni podatki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F010C2D" w14:textId="77777777" w:rsidR="00A77B3E" w:rsidRDefault="00EE0419">
            <w:pPr>
              <w:spacing w:before="100"/>
              <w:rPr>
                <w:color w:val="000000"/>
                <w:sz w:val="16"/>
              </w:rPr>
            </w:pPr>
            <w:r>
              <w:rPr>
                <w:color w:val="000000"/>
                <w:sz w:val="16"/>
              </w:rPr>
              <w:t>24. maj 2023</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63D0904" w14:textId="77777777" w:rsidR="00A77B3E" w:rsidRDefault="00EE0419">
            <w:pPr>
              <w:spacing w:before="100"/>
              <w:rPr>
                <w:color w:val="000000"/>
                <w:sz w:val="16"/>
              </w:rPr>
            </w:pPr>
            <w:r>
              <w:rPr>
                <w:color w:val="000000"/>
                <w:sz w:val="16"/>
              </w:rPr>
              <w:t>410-67/202/28</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E8FC328" w14:textId="77777777" w:rsidR="00A77B3E" w:rsidRDefault="00EE0419">
            <w:pPr>
              <w:spacing w:before="100"/>
              <w:rPr>
                <w:color w:val="000000"/>
                <w:sz w:val="16"/>
              </w:rPr>
            </w:pPr>
            <w:r>
              <w:rPr>
                <w:color w:val="000000"/>
                <w:sz w:val="16"/>
              </w:rPr>
              <w:t>Ares(2023)3798158</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C3EB42A" w14:textId="77777777" w:rsidR="00A77B3E" w:rsidRDefault="00EE0419">
            <w:pPr>
              <w:spacing w:before="100"/>
              <w:rPr>
                <w:color w:val="000000"/>
                <w:sz w:val="16"/>
              </w:rPr>
            </w:pPr>
            <w:r>
              <w:rPr>
                <w:color w:val="000000"/>
                <w:sz w:val="16"/>
              </w:rPr>
              <w:t>OVERVIEW OF AMENDMENSTS IN THE AMIF PROGRAMME 2021-2027 Version 2.0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C9298E8" w14:textId="77777777" w:rsidR="00A77B3E" w:rsidRDefault="00EE0419">
            <w:pPr>
              <w:spacing w:before="100"/>
              <w:rPr>
                <w:color w:val="000000"/>
                <w:sz w:val="16"/>
              </w:rPr>
            </w:pPr>
            <w:r>
              <w:rPr>
                <w:color w:val="000000"/>
                <w:sz w:val="16"/>
              </w:rPr>
              <w:t>1. jun. 2023</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F00DA77" w14:textId="77777777" w:rsidR="00A77B3E" w:rsidRDefault="00EE0419">
            <w:pPr>
              <w:spacing w:before="100"/>
              <w:rPr>
                <w:color w:val="000000"/>
                <w:sz w:val="16"/>
              </w:rPr>
            </w:pPr>
            <w:r>
              <w:rPr>
                <w:color w:val="000000"/>
                <w:sz w:val="16"/>
              </w:rPr>
              <w:t>KERN, Erik</w:t>
            </w:r>
          </w:p>
        </w:tc>
      </w:tr>
      <w:tr w:rsidR="00EC4D24" w14:paraId="60208162"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3A96BBE" w14:textId="77777777" w:rsidR="00A77B3E" w:rsidRDefault="00EE0419">
            <w:pPr>
              <w:spacing w:before="100"/>
              <w:rPr>
                <w:color w:val="000000"/>
                <w:sz w:val="16"/>
              </w:rPr>
            </w:pPr>
            <w:r>
              <w:rPr>
                <w:color w:val="000000"/>
                <w:sz w:val="16"/>
              </w:rPr>
              <w:t>Programme snapshot 2021SI65AMPR001 2.0</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59737DC" w14:textId="77777777" w:rsidR="00A77B3E" w:rsidRDefault="00EE0419">
            <w:pPr>
              <w:spacing w:before="100"/>
              <w:rPr>
                <w:color w:val="000000"/>
                <w:sz w:val="16"/>
              </w:rPr>
            </w:pPr>
            <w:r>
              <w:rPr>
                <w:color w:val="000000"/>
                <w:sz w:val="16"/>
              </w:rPr>
              <w:t>Posnetek podatkov pred pošiljanjem</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546B29D" w14:textId="77777777" w:rsidR="00A77B3E" w:rsidRDefault="00EE0419">
            <w:pPr>
              <w:spacing w:before="100"/>
              <w:rPr>
                <w:color w:val="000000"/>
                <w:sz w:val="16"/>
              </w:rPr>
            </w:pPr>
            <w:r>
              <w:rPr>
                <w:color w:val="000000"/>
                <w:sz w:val="16"/>
              </w:rPr>
              <w:t>1. jun. 2023</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43EF3A5" w14:textId="77777777" w:rsidR="00A77B3E" w:rsidRDefault="00A77B3E">
            <w:pPr>
              <w:spacing w:before="100"/>
              <w:rPr>
                <w:color w:val="000000"/>
                <w:sz w:val="16"/>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E15ED24" w14:textId="77777777" w:rsidR="00A77B3E" w:rsidRDefault="00EE0419">
            <w:pPr>
              <w:spacing w:before="100"/>
              <w:rPr>
                <w:color w:val="000000"/>
                <w:sz w:val="16"/>
              </w:rPr>
            </w:pPr>
            <w:r>
              <w:rPr>
                <w:color w:val="000000"/>
                <w:sz w:val="16"/>
              </w:rPr>
              <w:t>Ares(2023)3798158</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A373CA5" w14:textId="77777777" w:rsidR="00A77B3E" w:rsidRDefault="00EE0419">
            <w:pPr>
              <w:spacing w:before="100"/>
              <w:rPr>
                <w:color w:val="000000"/>
                <w:sz w:val="16"/>
              </w:rPr>
            </w:pPr>
            <w:r>
              <w:rPr>
                <w:color w:val="000000"/>
                <w:sz w:val="16"/>
              </w:rPr>
              <w:t>Programme snapshot 2021SI65AMPR001 2.0 - Machine Translated</w:t>
            </w:r>
            <w:r>
              <w:rPr>
                <w:color w:val="000000"/>
                <w:sz w:val="16"/>
              </w:rPr>
              <w:br/>
              <w:t>Programme_snapshot_2021SI65AMPR001_2.0_sl.pdf</w:t>
            </w:r>
            <w:r>
              <w:rPr>
                <w:color w:val="000000"/>
                <w:sz w:val="16"/>
              </w:rPr>
              <w:br/>
              <w:t>Programme_snapshot_2021SI65AMPR001_2.0_en.pdf</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41E531E" w14:textId="77777777" w:rsidR="00A77B3E" w:rsidRDefault="00EE0419">
            <w:pPr>
              <w:spacing w:before="100"/>
              <w:rPr>
                <w:color w:val="000000"/>
                <w:sz w:val="16"/>
              </w:rPr>
            </w:pPr>
            <w:r>
              <w:rPr>
                <w:color w:val="000000"/>
                <w:sz w:val="16"/>
              </w:rPr>
              <w:t>1. jun. 2023</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A678330" w14:textId="77777777" w:rsidR="00A77B3E" w:rsidRDefault="00EE0419">
            <w:pPr>
              <w:spacing w:before="100"/>
              <w:rPr>
                <w:color w:val="000000"/>
                <w:sz w:val="16"/>
              </w:rPr>
            </w:pPr>
            <w:r>
              <w:rPr>
                <w:color w:val="000000"/>
                <w:sz w:val="16"/>
              </w:rPr>
              <w:t>KERN, Erik</w:t>
            </w:r>
          </w:p>
        </w:tc>
      </w:tr>
    </w:tbl>
    <w:p w14:paraId="5A10683D" w14:textId="77777777" w:rsidR="00A77B3E" w:rsidRDefault="00A77B3E">
      <w:pPr>
        <w:spacing w:before="100"/>
        <w:jc w:val="center"/>
        <w:rPr>
          <w:color w:val="000000"/>
          <w:sz w:val="16"/>
        </w:rPr>
      </w:pPr>
    </w:p>
    <w:sectPr w:rsidR="00A77B3E">
      <w:headerReference w:type="even" r:id="rId121"/>
      <w:headerReference w:type="default" r:id="rId122"/>
      <w:footerReference w:type="even" r:id="rId123"/>
      <w:footerReference w:type="default" r:id="rId124"/>
      <w:headerReference w:type="first" r:id="rId125"/>
      <w:footerReference w:type="first" r:id="rId126"/>
      <w:pgSz w:w="16838" w:h="11906" w:orient="landscape"/>
      <w:pgMar w:top="720" w:right="720" w:bottom="864" w:left="936" w:header="288" w:footer="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2BD84" w14:textId="77777777" w:rsidR="00C4152C" w:rsidRDefault="00C4152C">
      <w:r>
        <w:separator/>
      </w:r>
    </w:p>
  </w:endnote>
  <w:endnote w:type="continuationSeparator" w:id="0">
    <w:p w14:paraId="4AADE8A9" w14:textId="77777777" w:rsidR="00C4152C" w:rsidRDefault="00C4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DejaVu Sans Mono">
    <w:altName w:val="Times New Roman"/>
    <w:panose1 w:val="020B0609030804020204"/>
    <w:charset w:val="EE"/>
    <w:family w:val="modern"/>
    <w:pitch w:val="fixed"/>
    <w:sig w:usb0="E70026FF" w:usb1="D200F9FB" w:usb2="02000028" w:usb3="00000000" w:csb0="000001D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71C9D" w14:textId="77777777" w:rsidR="00C4152C" w:rsidRDefault="00C4152C"/>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B6587" w14:textId="77777777" w:rsidR="00C4152C" w:rsidRDefault="00C4152C"/>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C4152C" w14:paraId="53A44CD2" w14:textId="77777777">
      <w:trPr>
        <w:trHeight w:val="160"/>
      </w:trPr>
      <w:tc>
        <w:tcPr>
          <w:tcW w:w="0" w:type="auto"/>
          <w:tcMar>
            <w:top w:w="0" w:type="dxa"/>
            <w:left w:w="60" w:type="dxa"/>
            <w:bottom w:w="80" w:type="dxa"/>
            <w:right w:w="60" w:type="dxa"/>
          </w:tcMar>
        </w:tcPr>
        <w:p w14:paraId="4C01CCDC" w14:textId="77777777" w:rsidR="00C4152C" w:rsidRDefault="00C4152C">
          <w:pPr>
            <w:rPr>
              <w:b/>
              <w:color w:val="000000"/>
            </w:rPr>
          </w:pPr>
          <w:r>
            <w:rPr>
              <w:b/>
              <w:color w:val="000000"/>
              <w:sz w:val="32"/>
            </w:rPr>
            <w:t>SL</w:t>
          </w:r>
        </w:p>
      </w:tc>
      <w:tc>
        <w:tcPr>
          <w:tcW w:w="0" w:type="auto"/>
          <w:tcMar>
            <w:top w:w="0" w:type="dxa"/>
            <w:left w:w="60" w:type="dxa"/>
            <w:bottom w:w="80" w:type="dxa"/>
            <w:right w:w="60" w:type="dxa"/>
          </w:tcMar>
        </w:tcPr>
        <w:p w14:paraId="7C1CED3C" w14:textId="58186ED7" w:rsidR="00C4152C" w:rsidRDefault="00C4152C">
          <w:pPr>
            <w:jc w:val="center"/>
            <w:rPr>
              <w:b/>
              <w:color w:val="000000"/>
              <w:sz w:val="32"/>
            </w:rPr>
          </w:pPr>
          <w:r>
            <w:rPr>
              <w:b/>
              <w:color w:val="000000"/>
            </w:rPr>
            <w:fldChar w:fldCharType="begin"/>
          </w:r>
          <w:r>
            <w:rPr>
              <w:b/>
              <w:color w:val="000000"/>
            </w:rPr>
            <w:instrText>PAGE</w:instrText>
          </w:r>
          <w:r>
            <w:rPr>
              <w:b/>
              <w:color w:val="000000"/>
            </w:rPr>
            <w:fldChar w:fldCharType="separate"/>
          </w:r>
          <w:r w:rsidR="00857B1D">
            <w:rPr>
              <w:b/>
              <w:color w:val="000000"/>
            </w:rPr>
            <w:t>16</w:t>
          </w:r>
          <w:r>
            <w:rPr>
              <w:b/>
              <w:color w:val="000000"/>
            </w:rPr>
            <w:fldChar w:fldCharType="end"/>
          </w:r>
        </w:p>
      </w:tc>
      <w:tc>
        <w:tcPr>
          <w:tcW w:w="0" w:type="auto"/>
          <w:tcMar>
            <w:top w:w="0" w:type="dxa"/>
            <w:left w:w="60" w:type="dxa"/>
            <w:bottom w:w="80" w:type="dxa"/>
            <w:right w:w="60" w:type="dxa"/>
          </w:tcMar>
        </w:tcPr>
        <w:p w14:paraId="7CC6046A" w14:textId="77777777" w:rsidR="00C4152C" w:rsidRDefault="00C4152C">
          <w:pPr>
            <w:jc w:val="right"/>
            <w:rPr>
              <w:b/>
              <w:color w:val="000000"/>
              <w:sz w:val="32"/>
            </w:rPr>
          </w:pPr>
          <w:r>
            <w:rPr>
              <w:b/>
              <w:color w:val="000000"/>
              <w:sz w:val="32"/>
            </w:rPr>
            <w:t>SL</w:t>
          </w:r>
        </w:p>
      </w:tc>
    </w:tr>
  </w:tbl>
  <w:p w14:paraId="6123E6EF" w14:textId="77777777" w:rsidR="00C4152C" w:rsidRDefault="00C4152C">
    <w:pPr>
      <w:rPr>
        <w:b/>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83B37" w14:textId="77777777" w:rsidR="00C4152C" w:rsidRDefault="00C4152C"/>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FE8EF" w14:textId="77777777" w:rsidR="00C4152C" w:rsidRDefault="00C4152C"/>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792"/>
      <w:gridCol w:w="2666"/>
      <w:gridCol w:w="3792"/>
    </w:tblGrid>
    <w:tr w:rsidR="00C4152C" w14:paraId="11AD426B" w14:textId="77777777">
      <w:tc>
        <w:tcPr>
          <w:tcW w:w="0" w:type="auto"/>
          <w:tcMar>
            <w:top w:w="0" w:type="dxa"/>
            <w:left w:w="60" w:type="dxa"/>
            <w:bottom w:w="80" w:type="dxa"/>
            <w:right w:w="60" w:type="dxa"/>
          </w:tcMar>
        </w:tcPr>
        <w:p w14:paraId="5595717E" w14:textId="77777777" w:rsidR="00C4152C" w:rsidRDefault="00C4152C">
          <w:pPr>
            <w:rPr>
              <w:b/>
              <w:color w:val="000000"/>
            </w:rPr>
          </w:pPr>
          <w:r>
            <w:rPr>
              <w:b/>
              <w:color w:val="000000"/>
              <w:sz w:val="32"/>
            </w:rPr>
            <w:t>SL</w:t>
          </w:r>
        </w:p>
      </w:tc>
      <w:tc>
        <w:tcPr>
          <w:tcW w:w="0" w:type="auto"/>
          <w:tcMar>
            <w:top w:w="0" w:type="dxa"/>
            <w:left w:w="60" w:type="dxa"/>
            <w:bottom w:w="80" w:type="dxa"/>
            <w:right w:w="60" w:type="dxa"/>
          </w:tcMar>
        </w:tcPr>
        <w:p w14:paraId="612FD413" w14:textId="0477D8DB" w:rsidR="00C4152C" w:rsidRDefault="00C4152C">
          <w:pPr>
            <w:jc w:val="center"/>
            <w:rPr>
              <w:b/>
              <w:color w:val="000000"/>
              <w:sz w:val="32"/>
            </w:rPr>
          </w:pPr>
          <w:r>
            <w:rPr>
              <w:b/>
              <w:color w:val="000000"/>
            </w:rPr>
            <w:fldChar w:fldCharType="begin"/>
          </w:r>
          <w:r>
            <w:rPr>
              <w:b/>
              <w:color w:val="000000"/>
            </w:rPr>
            <w:instrText>PAGE</w:instrText>
          </w:r>
          <w:r>
            <w:rPr>
              <w:b/>
              <w:color w:val="000000"/>
            </w:rPr>
            <w:fldChar w:fldCharType="separate"/>
          </w:r>
          <w:r w:rsidR="00857B1D">
            <w:rPr>
              <w:b/>
              <w:color w:val="000000"/>
            </w:rPr>
            <w:t>21</w:t>
          </w:r>
          <w:r>
            <w:rPr>
              <w:b/>
              <w:color w:val="000000"/>
            </w:rPr>
            <w:fldChar w:fldCharType="end"/>
          </w:r>
        </w:p>
      </w:tc>
      <w:tc>
        <w:tcPr>
          <w:tcW w:w="0" w:type="auto"/>
          <w:tcMar>
            <w:top w:w="0" w:type="dxa"/>
            <w:left w:w="60" w:type="dxa"/>
            <w:bottom w:w="80" w:type="dxa"/>
            <w:right w:w="60" w:type="dxa"/>
          </w:tcMar>
        </w:tcPr>
        <w:p w14:paraId="02E7CCED" w14:textId="77777777" w:rsidR="00C4152C" w:rsidRDefault="00C4152C">
          <w:pPr>
            <w:jc w:val="right"/>
            <w:rPr>
              <w:b/>
              <w:color w:val="000000"/>
              <w:sz w:val="32"/>
            </w:rPr>
          </w:pPr>
          <w:r>
            <w:rPr>
              <w:b/>
              <w:color w:val="000000"/>
              <w:sz w:val="32"/>
            </w:rPr>
            <w:t>SL</w:t>
          </w:r>
        </w:p>
      </w:tc>
    </w:tr>
  </w:tbl>
  <w:p w14:paraId="3ED9BDB1" w14:textId="77777777" w:rsidR="00C4152C" w:rsidRDefault="00C4152C">
    <w:pPr>
      <w:rPr>
        <w:b/>
        <w:color w:val="000000"/>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69CD8" w14:textId="77777777" w:rsidR="00C4152C" w:rsidRDefault="00C4152C"/>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378EC" w14:textId="77777777" w:rsidR="00C4152C" w:rsidRDefault="00C4152C"/>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C4152C" w14:paraId="583B0566" w14:textId="77777777">
      <w:tc>
        <w:tcPr>
          <w:tcW w:w="0" w:type="auto"/>
          <w:tcMar>
            <w:top w:w="0" w:type="dxa"/>
            <w:left w:w="60" w:type="dxa"/>
            <w:bottom w:w="80" w:type="dxa"/>
            <w:right w:w="60" w:type="dxa"/>
          </w:tcMar>
        </w:tcPr>
        <w:p w14:paraId="23CA4604" w14:textId="77777777" w:rsidR="00C4152C" w:rsidRDefault="00C4152C">
          <w:pPr>
            <w:rPr>
              <w:b/>
              <w:color w:val="000000"/>
            </w:rPr>
          </w:pPr>
          <w:r>
            <w:rPr>
              <w:b/>
              <w:color w:val="000000"/>
              <w:sz w:val="32"/>
            </w:rPr>
            <w:t>SL</w:t>
          </w:r>
        </w:p>
      </w:tc>
      <w:tc>
        <w:tcPr>
          <w:tcW w:w="0" w:type="auto"/>
          <w:tcMar>
            <w:top w:w="0" w:type="dxa"/>
            <w:left w:w="60" w:type="dxa"/>
            <w:bottom w:w="80" w:type="dxa"/>
            <w:right w:w="60" w:type="dxa"/>
          </w:tcMar>
        </w:tcPr>
        <w:p w14:paraId="21ECBF47" w14:textId="764F73DD" w:rsidR="00C4152C" w:rsidRDefault="00C4152C">
          <w:pPr>
            <w:jc w:val="center"/>
            <w:rPr>
              <w:b/>
              <w:color w:val="000000"/>
              <w:sz w:val="32"/>
            </w:rPr>
          </w:pPr>
          <w:r>
            <w:rPr>
              <w:b/>
              <w:color w:val="000000"/>
            </w:rPr>
            <w:fldChar w:fldCharType="begin"/>
          </w:r>
          <w:r>
            <w:rPr>
              <w:b/>
              <w:color w:val="000000"/>
            </w:rPr>
            <w:instrText>PAGE</w:instrText>
          </w:r>
          <w:r>
            <w:rPr>
              <w:b/>
              <w:color w:val="000000"/>
            </w:rPr>
            <w:fldChar w:fldCharType="separate"/>
          </w:r>
          <w:r w:rsidR="00857B1D">
            <w:rPr>
              <w:b/>
              <w:color w:val="000000"/>
            </w:rPr>
            <w:t>24</w:t>
          </w:r>
          <w:r>
            <w:rPr>
              <w:b/>
              <w:color w:val="000000"/>
            </w:rPr>
            <w:fldChar w:fldCharType="end"/>
          </w:r>
        </w:p>
      </w:tc>
      <w:tc>
        <w:tcPr>
          <w:tcW w:w="0" w:type="auto"/>
          <w:tcMar>
            <w:top w:w="0" w:type="dxa"/>
            <w:left w:w="60" w:type="dxa"/>
            <w:bottom w:w="80" w:type="dxa"/>
            <w:right w:w="60" w:type="dxa"/>
          </w:tcMar>
        </w:tcPr>
        <w:p w14:paraId="1272C6A3" w14:textId="77777777" w:rsidR="00C4152C" w:rsidRDefault="00C4152C">
          <w:pPr>
            <w:jc w:val="right"/>
            <w:rPr>
              <w:b/>
              <w:color w:val="000000"/>
              <w:sz w:val="32"/>
            </w:rPr>
          </w:pPr>
          <w:r>
            <w:rPr>
              <w:b/>
              <w:color w:val="000000"/>
              <w:sz w:val="32"/>
            </w:rPr>
            <w:t>SL</w:t>
          </w:r>
        </w:p>
      </w:tc>
    </w:tr>
  </w:tbl>
  <w:p w14:paraId="6B4AFE02" w14:textId="77777777" w:rsidR="00C4152C" w:rsidRDefault="00C4152C">
    <w:pPr>
      <w:rPr>
        <w:b/>
        <w:color w:val="000000"/>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E8C5D" w14:textId="77777777" w:rsidR="00C4152C" w:rsidRDefault="00C4152C"/>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C4BE" w14:textId="77777777" w:rsidR="00C4152C" w:rsidRDefault="00C4152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034"/>
      <w:gridCol w:w="2181"/>
      <w:gridCol w:w="4035"/>
    </w:tblGrid>
    <w:tr w:rsidR="00C4152C" w14:paraId="13003A43" w14:textId="77777777">
      <w:trPr>
        <w:trHeight w:val="240"/>
      </w:trPr>
      <w:tc>
        <w:tcPr>
          <w:tcW w:w="0" w:type="auto"/>
          <w:tcMar>
            <w:left w:w="100" w:type="dxa"/>
            <w:right w:w="100" w:type="dxa"/>
          </w:tcMar>
        </w:tcPr>
        <w:p w14:paraId="5A54F12B" w14:textId="77777777" w:rsidR="00C4152C" w:rsidRDefault="00C4152C">
          <w:pPr>
            <w:rPr>
              <w:b/>
              <w:color w:val="000000"/>
            </w:rPr>
          </w:pPr>
          <w:r>
            <w:rPr>
              <w:b/>
              <w:color w:val="000000"/>
              <w:sz w:val="32"/>
            </w:rPr>
            <w:t>SL</w:t>
          </w:r>
        </w:p>
      </w:tc>
      <w:tc>
        <w:tcPr>
          <w:tcW w:w="0" w:type="auto"/>
          <w:tcMar>
            <w:left w:w="100" w:type="dxa"/>
            <w:right w:w="100" w:type="dxa"/>
          </w:tcMar>
        </w:tcPr>
        <w:p w14:paraId="07B4E02E" w14:textId="521AE2D3" w:rsidR="00C4152C" w:rsidRDefault="00C4152C">
          <w:pPr>
            <w:jc w:val="center"/>
            <w:rPr>
              <w:b/>
              <w:color w:val="000000"/>
              <w:sz w:val="32"/>
            </w:rPr>
          </w:pPr>
          <w:r>
            <w:rPr>
              <w:b/>
              <w:color w:val="000000"/>
            </w:rPr>
            <w:fldChar w:fldCharType="begin"/>
          </w:r>
          <w:r>
            <w:rPr>
              <w:b/>
              <w:color w:val="000000"/>
            </w:rPr>
            <w:instrText>PAGE</w:instrText>
          </w:r>
          <w:r>
            <w:rPr>
              <w:b/>
              <w:color w:val="000000"/>
            </w:rPr>
            <w:fldChar w:fldCharType="separate"/>
          </w:r>
          <w:r w:rsidR="00857B1D">
            <w:rPr>
              <w:b/>
              <w:color w:val="000000"/>
            </w:rPr>
            <w:t>7</w:t>
          </w:r>
          <w:r>
            <w:rPr>
              <w:b/>
              <w:color w:val="000000"/>
            </w:rPr>
            <w:fldChar w:fldCharType="end"/>
          </w:r>
        </w:p>
      </w:tc>
      <w:tc>
        <w:tcPr>
          <w:tcW w:w="0" w:type="auto"/>
          <w:tcMar>
            <w:left w:w="100" w:type="dxa"/>
            <w:right w:w="100" w:type="dxa"/>
          </w:tcMar>
        </w:tcPr>
        <w:p w14:paraId="41090B38" w14:textId="77777777" w:rsidR="00C4152C" w:rsidRDefault="00C4152C">
          <w:pPr>
            <w:jc w:val="right"/>
            <w:rPr>
              <w:b/>
              <w:color w:val="000000"/>
              <w:sz w:val="32"/>
            </w:rPr>
          </w:pPr>
          <w:r>
            <w:rPr>
              <w:b/>
              <w:color w:val="000000"/>
              <w:sz w:val="32"/>
            </w:rPr>
            <w:t>SL</w:t>
          </w:r>
        </w:p>
      </w:tc>
    </w:tr>
  </w:tbl>
  <w:p w14:paraId="0AC7EACB" w14:textId="77777777" w:rsidR="00C4152C" w:rsidRDefault="00C4152C">
    <w:pPr>
      <w:rPr>
        <w:b/>
        <w:color w:val="000000"/>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792"/>
      <w:gridCol w:w="2666"/>
      <w:gridCol w:w="3792"/>
    </w:tblGrid>
    <w:tr w:rsidR="00C4152C" w14:paraId="489D2F6F" w14:textId="77777777">
      <w:tc>
        <w:tcPr>
          <w:tcW w:w="0" w:type="auto"/>
          <w:tcMar>
            <w:top w:w="0" w:type="dxa"/>
            <w:left w:w="60" w:type="dxa"/>
            <w:bottom w:w="80" w:type="dxa"/>
            <w:right w:w="60" w:type="dxa"/>
          </w:tcMar>
        </w:tcPr>
        <w:p w14:paraId="1D8309BA" w14:textId="77777777" w:rsidR="00C4152C" w:rsidRDefault="00C4152C">
          <w:pPr>
            <w:rPr>
              <w:b/>
              <w:color w:val="000000"/>
            </w:rPr>
          </w:pPr>
          <w:r>
            <w:rPr>
              <w:b/>
              <w:color w:val="000000"/>
              <w:sz w:val="32"/>
            </w:rPr>
            <w:t>SL</w:t>
          </w:r>
        </w:p>
      </w:tc>
      <w:tc>
        <w:tcPr>
          <w:tcW w:w="0" w:type="auto"/>
          <w:tcMar>
            <w:top w:w="0" w:type="dxa"/>
            <w:left w:w="60" w:type="dxa"/>
            <w:bottom w:w="80" w:type="dxa"/>
            <w:right w:w="60" w:type="dxa"/>
          </w:tcMar>
        </w:tcPr>
        <w:p w14:paraId="4718F56B" w14:textId="47AB59CF" w:rsidR="00C4152C" w:rsidRDefault="00C4152C">
          <w:pPr>
            <w:jc w:val="center"/>
            <w:rPr>
              <w:b/>
              <w:color w:val="000000"/>
              <w:sz w:val="32"/>
            </w:rPr>
          </w:pPr>
          <w:r>
            <w:rPr>
              <w:b/>
              <w:color w:val="000000"/>
            </w:rPr>
            <w:fldChar w:fldCharType="begin"/>
          </w:r>
          <w:r>
            <w:rPr>
              <w:b/>
              <w:color w:val="000000"/>
            </w:rPr>
            <w:instrText>PAGE</w:instrText>
          </w:r>
          <w:r>
            <w:rPr>
              <w:b/>
              <w:color w:val="000000"/>
            </w:rPr>
            <w:fldChar w:fldCharType="separate"/>
          </w:r>
          <w:r w:rsidR="00857B1D">
            <w:rPr>
              <w:b/>
              <w:color w:val="000000"/>
            </w:rPr>
            <w:t>27</w:t>
          </w:r>
          <w:r>
            <w:rPr>
              <w:b/>
              <w:color w:val="000000"/>
            </w:rPr>
            <w:fldChar w:fldCharType="end"/>
          </w:r>
        </w:p>
      </w:tc>
      <w:tc>
        <w:tcPr>
          <w:tcW w:w="0" w:type="auto"/>
          <w:tcMar>
            <w:top w:w="0" w:type="dxa"/>
            <w:left w:w="60" w:type="dxa"/>
            <w:bottom w:w="80" w:type="dxa"/>
            <w:right w:w="60" w:type="dxa"/>
          </w:tcMar>
        </w:tcPr>
        <w:p w14:paraId="238BE356" w14:textId="77777777" w:rsidR="00C4152C" w:rsidRDefault="00C4152C">
          <w:pPr>
            <w:jc w:val="right"/>
            <w:rPr>
              <w:b/>
              <w:color w:val="000000"/>
              <w:sz w:val="32"/>
            </w:rPr>
          </w:pPr>
          <w:r>
            <w:rPr>
              <w:b/>
              <w:color w:val="000000"/>
              <w:sz w:val="32"/>
            </w:rPr>
            <w:t>SL</w:t>
          </w:r>
        </w:p>
      </w:tc>
    </w:tr>
  </w:tbl>
  <w:p w14:paraId="5131A351" w14:textId="77777777" w:rsidR="00C4152C" w:rsidRDefault="00C4152C">
    <w:pPr>
      <w:rPr>
        <w:b/>
        <w:color w:val="000000"/>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C23FD" w14:textId="77777777" w:rsidR="00C4152C" w:rsidRDefault="00C4152C"/>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FC191" w14:textId="77777777" w:rsidR="00C4152C" w:rsidRDefault="00C4152C"/>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C4152C" w14:paraId="4EFB71D6" w14:textId="77777777">
      <w:tc>
        <w:tcPr>
          <w:tcW w:w="0" w:type="auto"/>
          <w:tcMar>
            <w:top w:w="0" w:type="dxa"/>
            <w:left w:w="60" w:type="dxa"/>
            <w:bottom w:w="80" w:type="dxa"/>
            <w:right w:w="60" w:type="dxa"/>
          </w:tcMar>
        </w:tcPr>
        <w:p w14:paraId="03763B78" w14:textId="77777777" w:rsidR="00C4152C" w:rsidRDefault="00C4152C">
          <w:pPr>
            <w:rPr>
              <w:b/>
              <w:color w:val="000000"/>
            </w:rPr>
          </w:pPr>
          <w:r>
            <w:rPr>
              <w:b/>
              <w:color w:val="000000"/>
              <w:sz w:val="32"/>
            </w:rPr>
            <w:t>SL</w:t>
          </w:r>
        </w:p>
      </w:tc>
      <w:tc>
        <w:tcPr>
          <w:tcW w:w="0" w:type="auto"/>
          <w:tcMar>
            <w:top w:w="0" w:type="dxa"/>
            <w:left w:w="60" w:type="dxa"/>
            <w:bottom w:w="80" w:type="dxa"/>
            <w:right w:w="60" w:type="dxa"/>
          </w:tcMar>
        </w:tcPr>
        <w:p w14:paraId="69D4203D" w14:textId="26F6F438" w:rsidR="00C4152C" w:rsidRDefault="00C4152C">
          <w:pPr>
            <w:jc w:val="center"/>
            <w:rPr>
              <w:b/>
              <w:color w:val="000000"/>
              <w:sz w:val="32"/>
            </w:rPr>
          </w:pPr>
          <w:r>
            <w:rPr>
              <w:b/>
              <w:color w:val="000000"/>
            </w:rPr>
            <w:fldChar w:fldCharType="begin"/>
          </w:r>
          <w:r>
            <w:rPr>
              <w:b/>
              <w:color w:val="000000"/>
            </w:rPr>
            <w:instrText>PAGE</w:instrText>
          </w:r>
          <w:r>
            <w:rPr>
              <w:b/>
              <w:color w:val="000000"/>
            </w:rPr>
            <w:fldChar w:fldCharType="separate"/>
          </w:r>
          <w:r w:rsidR="00857B1D">
            <w:rPr>
              <w:b/>
              <w:color w:val="000000"/>
            </w:rPr>
            <w:t>30</w:t>
          </w:r>
          <w:r>
            <w:rPr>
              <w:b/>
              <w:color w:val="000000"/>
            </w:rPr>
            <w:fldChar w:fldCharType="end"/>
          </w:r>
        </w:p>
      </w:tc>
      <w:tc>
        <w:tcPr>
          <w:tcW w:w="0" w:type="auto"/>
          <w:tcMar>
            <w:top w:w="0" w:type="dxa"/>
            <w:left w:w="60" w:type="dxa"/>
            <w:bottom w:w="80" w:type="dxa"/>
            <w:right w:w="60" w:type="dxa"/>
          </w:tcMar>
        </w:tcPr>
        <w:p w14:paraId="09E5C677" w14:textId="77777777" w:rsidR="00C4152C" w:rsidRDefault="00C4152C">
          <w:pPr>
            <w:jc w:val="right"/>
            <w:rPr>
              <w:b/>
              <w:color w:val="000000"/>
              <w:sz w:val="32"/>
            </w:rPr>
          </w:pPr>
          <w:r>
            <w:rPr>
              <w:b/>
              <w:color w:val="000000"/>
              <w:sz w:val="32"/>
            </w:rPr>
            <w:t>SL</w:t>
          </w:r>
        </w:p>
      </w:tc>
    </w:tr>
  </w:tbl>
  <w:p w14:paraId="1F4AF7D6" w14:textId="77777777" w:rsidR="00C4152C" w:rsidRDefault="00C4152C">
    <w:pPr>
      <w:rPr>
        <w:b/>
        <w:color w:val="000000"/>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4C9A6" w14:textId="77777777" w:rsidR="00C4152C" w:rsidRDefault="00C4152C"/>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F34E3" w14:textId="77777777" w:rsidR="00C4152C" w:rsidRDefault="00C4152C"/>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792"/>
      <w:gridCol w:w="2666"/>
      <w:gridCol w:w="3792"/>
    </w:tblGrid>
    <w:tr w:rsidR="00C4152C" w14:paraId="1343A607" w14:textId="77777777">
      <w:tc>
        <w:tcPr>
          <w:tcW w:w="0" w:type="auto"/>
          <w:tcMar>
            <w:top w:w="0" w:type="dxa"/>
            <w:left w:w="60" w:type="dxa"/>
            <w:bottom w:w="80" w:type="dxa"/>
            <w:right w:w="60" w:type="dxa"/>
          </w:tcMar>
        </w:tcPr>
        <w:p w14:paraId="019C7FD7" w14:textId="77777777" w:rsidR="00C4152C" w:rsidRDefault="00C4152C">
          <w:pPr>
            <w:rPr>
              <w:b/>
              <w:color w:val="000000"/>
            </w:rPr>
          </w:pPr>
          <w:r>
            <w:rPr>
              <w:b/>
              <w:color w:val="000000"/>
              <w:sz w:val="32"/>
            </w:rPr>
            <w:t>SL</w:t>
          </w:r>
        </w:p>
      </w:tc>
      <w:tc>
        <w:tcPr>
          <w:tcW w:w="0" w:type="auto"/>
          <w:tcMar>
            <w:top w:w="0" w:type="dxa"/>
            <w:left w:w="60" w:type="dxa"/>
            <w:bottom w:w="80" w:type="dxa"/>
            <w:right w:w="60" w:type="dxa"/>
          </w:tcMar>
        </w:tcPr>
        <w:p w14:paraId="6BE107FC" w14:textId="3A8DE4A5" w:rsidR="00C4152C" w:rsidRDefault="00C4152C">
          <w:pPr>
            <w:jc w:val="center"/>
            <w:rPr>
              <w:b/>
              <w:color w:val="000000"/>
              <w:sz w:val="32"/>
            </w:rPr>
          </w:pPr>
          <w:r>
            <w:rPr>
              <w:b/>
              <w:color w:val="000000"/>
            </w:rPr>
            <w:fldChar w:fldCharType="begin"/>
          </w:r>
          <w:r>
            <w:rPr>
              <w:b/>
              <w:color w:val="000000"/>
            </w:rPr>
            <w:instrText>PAGE</w:instrText>
          </w:r>
          <w:r>
            <w:rPr>
              <w:b/>
              <w:color w:val="000000"/>
            </w:rPr>
            <w:fldChar w:fldCharType="separate"/>
          </w:r>
          <w:r w:rsidR="00857B1D">
            <w:rPr>
              <w:b/>
              <w:color w:val="000000"/>
            </w:rPr>
            <w:t>31</w:t>
          </w:r>
          <w:r>
            <w:rPr>
              <w:b/>
              <w:color w:val="000000"/>
            </w:rPr>
            <w:fldChar w:fldCharType="end"/>
          </w:r>
        </w:p>
      </w:tc>
      <w:tc>
        <w:tcPr>
          <w:tcW w:w="0" w:type="auto"/>
          <w:tcMar>
            <w:top w:w="0" w:type="dxa"/>
            <w:left w:w="60" w:type="dxa"/>
            <w:bottom w:w="80" w:type="dxa"/>
            <w:right w:w="60" w:type="dxa"/>
          </w:tcMar>
        </w:tcPr>
        <w:p w14:paraId="32FC472F" w14:textId="77777777" w:rsidR="00C4152C" w:rsidRDefault="00C4152C">
          <w:pPr>
            <w:jc w:val="right"/>
            <w:rPr>
              <w:b/>
              <w:color w:val="000000"/>
              <w:sz w:val="32"/>
            </w:rPr>
          </w:pPr>
          <w:r>
            <w:rPr>
              <w:b/>
              <w:color w:val="000000"/>
              <w:sz w:val="32"/>
            </w:rPr>
            <w:t>SL</w:t>
          </w:r>
        </w:p>
      </w:tc>
    </w:tr>
  </w:tbl>
  <w:p w14:paraId="254506C1" w14:textId="77777777" w:rsidR="00C4152C" w:rsidRDefault="00C4152C">
    <w:pPr>
      <w:rPr>
        <w:b/>
        <w:color w:val="000000"/>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728FE" w14:textId="77777777" w:rsidR="00C4152C" w:rsidRDefault="00C4152C"/>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8104B" w14:textId="77777777" w:rsidR="00C4152C" w:rsidRDefault="00C4152C"/>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C4152C" w14:paraId="286505C4" w14:textId="77777777">
      <w:tc>
        <w:tcPr>
          <w:tcW w:w="0" w:type="auto"/>
          <w:tcMar>
            <w:top w:w="0" w:type="dxa"/>
            <w:left w:w="60" w:type="dxa"/>
            <w:bottom w:w="80" w:type="dxa"/>
            <w:right w:w="60" w:type="dxa"/>
          </w:tcMar>
        </w:tcPr>
        <w:p w14:paraId="2A0E2076" w14:textId="77777777" w:rsidR="00C4152C" w:rsidRDefault="00C4152C">
          <w:pPr>
            <w:rPr>
              <w:b/>
              <w:color w:val="000000"/>
            </w:rPr>
          </w:pPr>
          <w:r>
            <w:rPr>
              <w:b/>
              <w:color w:val="000000"/>
              <w:sz w:val="32"/>
            </w:rPr>
            <w:t>SL</w:t>
          </w:r>
        </w:p>
      </w:tc>
      <w:tc>
        <w:tcPr>
          <w:tcW w:w="0" w:type="auto"/>
          <w:tcMar>
            <w:top w:w="0" w:type="dxa"/>
            <w:left w:w="60" w:type="dxa"/>
            <w:bottom w:w="80" w:type="dxa"/>
            <w:right w:w="60" w:type="dxa"/>
          </w:tcMar>
        </w:tcPr>
        <w:p w14:paraId="7B001F43" w14:textId="4FB1DD30" w:rsidR="00C4152C" w:rsidRDefault="00C4152C">
          <w:pPr>
            <w:jc w:val="center"/>
            <w:rPr>
              <w:b/>
              <w:color w:val="000000"/>
              <w:sz w:val="32"/>
            </w:rPr>
          </w:pPr>
          <w:r>
            <w:rPr>
              <w:b/>
              <w:color w:val="000000"/>
            </w:rPr>
            <w:fldChar w:fldCharType="begin"/>
          </w:r>
          <w:r>
            <w:rPr>
              <w:b/>
              <w:color w:val="000000"/>
            </w:rPr>
            <w:instrText>PAGE</w:instrText>
          </w:r>
          <w:r>
            <w:rPr>
              <w:b/>
              <w:color w:val="000000"/>
            </w:rPr>
            <w:fldChar w:fldCharType="separate"/>
          </w:r>
          <w:r w:rsidR="00857B1D">
            <w:rPr>
              <w:b/>
              <w:color w:val="000000"/>
            </w:rPr>
            <w:t>34</w:t>
          </w:r>
          <w:r>
            <w:rPr>
              <w:b/>
              <w:color w:val="000000"/>
            </w:rPr>
            <w:fldChar w:fldCharType="end"/>
          </w:r>
        </w:p>
      </w:tc>
      <w:tc>
        <w:tcPr>
          <w:tcW w:w="0" w:type="auto"/>
          <w:tcMar>
            <w:top w:w="0" w:type="dxa"/>
            <w:left w:w="60" w:type="dxa"/>
            <w:bottom w:w="80" w:type="dxa"/>
            <w:right w:w="60" w:type="dxa"/>
          </w:tcMar>
        </w:tcPr>
        <w:p w14:paraId="4EBC49B8" w14:textId="77777777" w:rsidR="00C4152C" w:rsidRDefault="00C4152C">
          <w:pPr>
            <w:jc w:val="right"/>
            <w:rPr>
              <w:b/>
              <w:color w:val="000000"/>
              <w:sz w:val="32"/>
            </w:rPr>
          </w:pPr>
          <w:r>
            <w:rPr>
              <w:b/>
              <w:color w:val="000000"/>
              <w:sz w:val="32"/>
            </w:rPr>
            <w:t>SL</w:t>
          </w:r>
        </w:p>
      </w:tc>
    </w:tr>
  </w:tbl>
  <w:p w14:paraId="469AF596" w14:textId="77777777" w:rsidR="00C4152C" w:rsidRDefault="00C4152C">
    <w:pPr>
      <w:rPr>
        <w:b/>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0EC2B" w14:textId="77777777" w:rsidR="00C4152C" w:rsidRDefault="00C4152C"/>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C42F1" w14:textId="77777777" w:rsidR="00C4152C" w:rsidRDefault="00C4152C"/>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8EFC0" w14:textId="77777777" w:rsidR="00C4152C" w:rsidRDefault="00C4152C"/>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792"/>
      <w:gridCol w:w="2666"/>
      <w:gridCol w:w="3792"/>
    </w:tblGrid>
    <w:tr w:rsidR="00C4152C" w14:paraId="293D730B" w14:textId="77777777">
      <w:tc>
        <w:tcPr>
          <w:tcW w:w="0" w:type="auto"/>
          <w:tcMar>
            <w:top w:w="0" w:type="dxa"/>
            <w:left w:w="60" w:type="dxa"/>
            <w:bottom w:w="80" w:type="dxa"/>
            <w:right w:w="60" w:type="dxa"/>
          </w:tcMar>
        </w:tcPr>
        <w:p w14:paraId="08AB77E5" w14:textId="77777777" w:rsidR="00C4152C" w:rsidRDefault="00C4152C">
          <w:pPr>
            <w:rPr>
              <w:b/>
              <w:color w:val="000000"/>
            </w:rPr>
          </w:pPr>
          <w:r>
            <w:rPr>
              <w:b/>
              <w:color w:val="000000"/>
              <w:sz w:val="32"/>
            </w:rPr>
            <w:t>SL</w:t>
          </w:r>
        </w:p>
      </w:tc>
      <w:tc>
        <w:tcPr>
          <w:tcW w:w="0" w:type="auto"/>
          <w:tcMar>
            <w:top w:w="0" w:type="dxa"/>
            <w:left w:w="60" w:type="dxa"/>
            <w:bottom w:w="80" w:type="dxa"/>
            <w:right w:w="60" w:type="dxa"/>
          </w:tcMar>
        </w:tcPr>
        <w:p w14:paraId="35233B9F" w14:textId="5DFA1116" w:rsidR="00C4152C" w:rsidRDefault="00C4152C">
          <w:pPr>
            <w:jc w:val="center"/>
            <w:rPr>
              <w:b/>
              <w:color w:val="000000"/>
              <w:sz w:val="32"/>
            </w:rPr>
          </w:pPr>
          <w:r>
            <w:rPr>
              <w:b/>
              <w:color w:val="000000"/>
            </w:rPr>
            <w:fldChar w:fldCharType="begin"/>
          </w:r>
          <w:r>
            <w:rPr>
              <w:b/>
              <w:color w:val="000000"/>
            </w:rPr>
            <w:instrText>PAGE</w:instrText>
          </w:r>
          <w:r>
            <w:rPr>
              <w:b/>
              <w:color w:val="000000"/>
            </w:rPr>
            <w:fldChar w:fldCharType="separate"/>
          </w:r>
          <w:r w:rsidR="00857B1D">
            <w:rPr>
              <w:b/>
              <w:color w:val="000000"/>
            </w:rPr>
            <w:t>36</w:t>
          </w:r>
          <w:r>
            <w:rPr>
              <w:b/>
              <w:color w:val="000000"/>
            </w:rPr>
            <w:fldChar w:fldCharType="end"/>
          </w:r>
        </w:p>
      </w:tc>
      <w:tc>
        <w:tcPr>
          <w:tcW w:w="0" w:type="auto"/>
          <w:tcMar>
            <w:top w:w="0" w:type="dxa"/>
            <w:left w:w="60" w:type="dxa"/>
            <w:bottom w:w="80" w:type="dxa"/>
            <w:right w:w="60" w:type="dxa"/>
          </w:tcMar>
        </w:tcPr>
        <w:p w14:paraId="23B31BC7" w14:textId="77777777" w:rsidR="00C4152C" w:rsidRDefault="00C4152C">
          <w:pPr>
            <w:jc w:val="right"/>
            <w:rPr>
              <w:b/>
              <w:color w:val="000000"/>
              <w:sz w:val="32"/>
            </w:rPr>
          </w:pPr>
          <w:r>
            <w:rPr>
              <w:b/>
              <w:color w:val="000000"/>
              <w:sz w:val="32"/>
            </w:rPr>
            <w:t>SL</w:t>
          </w:r>
        </w:p>
      </w:tc>
    </w:tr>
  </w:tbl>
  <w:p w14:paraId="357326FE" w14:textId="77777777" w:rsidR="00C4152C" w:rsidRDefault="00C4152C">
    <w:pPr>
      <w:rPr>
        <w:b/>
        <w:color w:val="000000"/>
      </w:rP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BB195" w14:textId="77777777" w:rsidR="00C4152C" w:rsidRDefault="00C4152C"/>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A8E5F" w14:textId="77777777" w:rsidR="00C4152C" w:rsidRDefault="00C4152C"/>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C4152C" w14:paraId="202AF3E5" w14:textId="77777777">
      <w:tc>
        <w:tcPr>
          <w:tcW w:w="0" w:type="auto"/>
          <w:tcMar>
            <w:top w:w="0" w:type="dxa"/>
            <w:left w:w="60" w:type="dxa"/>
            <w:bottom w:w="80" w:type="dxa"/>
            <w:right w:w="60" w:type="dxa"/>
          </w:tcMar>
        </w:tcPr>
        <w:p w14:paraId="2BF25212" w14:textId="77777777" w:rsidR="00C4152C" w:rsidRDefault="00C4152C">
          <w:pPr>
            <w:rPr>
              <w:b/>
              <w:color w:val="000000"/>
            </w:rPr>
          </w:pPr>
          <w:r>
            <w:rPr>
              <w:b/>
              <w:color w:val="000000"/>
              <w:sz w:val="32"/>
            </w:rPr>
            <w:t>SL</w:t>
          </w:r>
        </w:p>
      </w:tc>
      <w:tc>
        <w:tcPr>
          <w:tcW w:w="0" w:type="auto"/>
          <w:tcMar>
            <w:top w:w="0" w:type="dxa"/>
            <w:left w:w="60" w:type="dxa"/>
            <w:bottom w:w="80" w:type="dxa"/>
            <w:right w:w="60" w:type="dxa"/>
          </w:tcMar>
        </w:tcPr>
        <w:p w14:paraId="0A43551C" w14:textId="710CD602" w:rsidR="00C4152C" w:rsidRDefault="00C4152C">
          <w:pPr>
            <w:jc w:val="center"/>
            <w:rPr>
              <w:b/>
              <w:color w:val="000000"/>
              <w:sz w:val="32"/>
            </w:rPr>
          </w:pPr>
          <w:r>
            <w:rPr>
              <w:b/>
              <w:color w:val="000000"/>
            </w:rPr>
            <w:fldChar w:fldCharType="begin"/>
          </w:r>
          <w:r>
            <w:rPr>
              <w:b/>
              <w:color w:val="000000"/>
            </w:rPr>
            <w:instrText>PAGE</w:instrText>
          </w:r>
          <w:r>
            <w:rPr>
              <w:b/>
              <w:color w:val="000000"/>
            </w:rPr>
            <w:fldChar w:fldCharType="separate"/>
          </w:r>
          <w:r w:rsidR="00857B1D">
            <w:rPr>
              <w:b/>
              <w:color w:val="000000"/>
            </w:rPr>
            <w:t>41</w:t>
          </w:r>
          <w:r>
            <w:rPr>
              <w:b/>
              <w:color w:val="000000"/>
            </w:rPr>
            <w:fldChar w:fldCharType="end"/>
          </w:r>
        </w:p>
      </w:tc>
      <w:tc>
        <w:tcPr>
          <w:tcW w:w="0" w:type="auto"/>
          <w:tcMar>
            <w:top w:w="0" w:type="dxa"/>
            <w:left w:w="60" w:type="dxa"/>
            <w:bottom w:w="80" w:type="dxa"/>
            <w:right w:w="60" w:type="dxa"/>
          </w:tcMar>
        </w:tcPr>
        <w:p w14:paraId="5424BB1C" w14:textId="77777777" w:rsidR="00C4152C" w:rsidRDefault="00C4152C">
          <w:pPr>
            <w:jc w:val="right"/>
            <w:rPr>
              <w:b/>
              <w:color w:val="000000"/>
              <w:sz w:val="32"/>
            </w:rPr>
          </w:pPr>
          <w:r>
            <w:rPr>
              <w:b/>
              <w:color w:val="000000"/>
              <w:sz w:val="32"/>
            </w:rPr>
            <w:t>SL</w:t>
          </w:r>
        </w:p>
      </w:tc>
    </w:tr>
  </w:tbl>
  <w:p w14:paraId="2ADB600D" w14:textId="77777777" w:rsidR="00C4152C" w:rsidRDefault="00C4152C">
    <w:pPr>
      <w:rPr>
        <w:b/>
        <w:color w:val="000000"/>
      </w:rP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3B6AC" w14:textId="77777777" w:rsidR="00C4152C" w:rsidRDefault="00C4152C"/>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F36A4" w14:textId="77777777" w:rsidR="00C4152C" w:rsidRDefault="00C4152C"/>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C4152C" w14:paraId="3351F8D2" w14:textId="77777777">
      <w:tc>
        <w:tcPr>
          <w:tcW w:w="0" w:type="auto"/>
          <w:tcMar>
            <w:top w:w="0" w:type="dxa"/>
            <w:left w:w="60" w:type="dxa"/>
            <w:bottom w:w="80" w:type="dxa"/>
            <w:right w:w="60" w:type="dxa"/>
          </w:tcMar>
          <w:vAlign w:val="center"/>
        </w:tcPr>
        <w:p w14:paraId="5D48E400" w14:textId="77777777" w:rsidR="00C4152C" w:rsidRDefault="00C4152C">
          <w:pPr>
            <w:rPr>
              <w:b/>
              <w:color w:val="000000"/>
            </w:rPr>
          </w:pPr>
          <w:r>
            <w:rPr>
              <w:b/>
              <w:color w:val="000000"/>
              <w:sz w:val="32"/>
            </w:rPr>
            <w:t>SL</w:t>
          </w:r>
        </w:p>
      </w:tc>
      <w:tc>
        <w:tcPr>
          <w:tcW w:w="0" w:type="auto"/>
          <w:tcMar>
            <w:top w:w="0" w:type="dxa"/>
            <w:left w:w="60" w:type="dxa"/>
            <w:bottom w:w="80" w:type="dxa"/>
            <w:right w:w="60" w:type="dxa"/>
          </w:tcMar>
          <w:vAlign w:val="center"/>
        </w:tcPr>
        <w:p w14:paraId="505FC19F" w14:textId="0BD82A60" w:rsidR="00C4152C" w:rsidRDefault="00C4152C">
          <w:pPr>
            <w:jc w:val="center"/>
            <w:rPr>
              <w:b/>
              <w:color w:val="000000"/>
              <w:sz w:val="32"/>
            </w:rPr>
          </w:pPr>
          <w:r>
            <w:rPr>
              <w:b/>
              <w:color w:val="000000"/>
            </w:rPr>
            <w:fldChar w:fldCharType="begin"/>
          </w:r>
          <w:r>
            <w:rPr>
              <w:b/>
              <w:color w:val="000000"/>
            </w:rPr>
            <w:instrText>PAGE</w:instrText>
          </w:r>
          <w:r>
            <w:rPr>
              <w:b/>
              <w:color w:val="000000"/>
            </w:rPr>
            <w:fldChar w:fldCharType="separate"/>
          </w:r>
          <w:r w:rsidR="00857B1D">
            <w:rPr>
              <w:b/>
              <w:color w:val="000000"/>
            </w:rPr>
            <w:t>50</w:t>
          </w:r>
          <w:r>
            <w:rPr>
              <w:b/>
              <w:color w:val="000000"/>
            </w:rPr>
            <w:fldChar w:fldCharType="end"/>
          </w:r>
        </w:p>
      </w:tc>
      <w:tc>
        <w:tcPr>
          <w:tcW w:w="0" w:type="auto"/>
          <w:tcMar>
            <w:top w:w="0" w:type="dxa"/>
            <w:left w:w="60" w:type="dxa"/>
            <w:bottom w:w="80" w:type="dxa"/>
            <w:right w:w="60" w:type="dxa"/>
          </w:tcMar>
          <w:vAlign w:val="center"/>
        </w:tcPr>
        <w:p w14:paraId="0493C0A4" w14:textId="77777777" w:rsidR="00C4152C" w:rsidRDefault="00C4152C">
          <w:pPr>
            <w:jc w:val="right"/>
            <w:rPr>
              <w:b/>
              <w:color w:val="000000"/>
              <w:sz w:val="32"/>
            </w:rPr>
          </w:pPr>
          <w:r>
            <w:rPr>
              <w:b/>
              <w:color w:val="000000"/>
              <w:sz w:val="32"/>
            </w:rPr>
            <w:t>SL</w:t>
          </w:r>
        </w:p>
      </w:tc>
    </w:tr>
  </w:tbl>
  <w:p w14:paraId="6AC34E54" w14:textId="77777777" w:rsidR="00C4152C" w:rsidRDefault="00C4152C">
    <w:pPr>
      <w:rPr>
        <w:b/>
        <w:color w:val="000000"/>
      </w:rP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91CD1" w14:textId="77777777" w:rsidR="00C4152C" w:rsidRDefault="00C4152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814C5" w14:textId="77777777" w:rsidR="00C4152C" w:rsidRDefault="00C4152C"/>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CC81E" w14:textId="77777777" w:rsidR="00C4152C" w:rsidRDefault="00C4152C"/>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792"/>
      <w:gridCol w:w="2666"/>
      <w:gridCol w:w="3792"/>
    </w:tblGrid>
    <w:tr w:rsidR="00C4152C" w14:paraId="38090BDD" w14:textId="77777777">
      <w:tc>
        <w:tcPr>
          <w:tcW w:w="0" w:type="auto"/>
          <w:tcMar>
            <w:top w:w="0" w:type="dxa"/>
            <w:left w:w="60" w:type="dxa"/>
            <w:bottom w:w="80" w:type="dxa"/>
            <w:right w:w="60" w:type="dxa"/>
          </w:tcMar>
        </w:tcPr>
        <w:p w14:paraId="4789924D" w14:textId="77777777" w:rsidR="00C4152C" w:rsidRDefault="00C4152C">
          <w:pPr>
            <w:rPr>
              <w:b/>
              <w:color w:val="000000"/>
            </w:rPr>
          </w:pPr>
          <w:r>
            <w:rPr>
              <w:b/>
              <w:color w:val="000000"/>
              <w:sz w:val="32"/>
            </w:rPr>
            <w:t>SL</w:t>
          </w:r>
        </w:p>
      </w:tc>
      <w:tc>
        <w:tcPr>
          <w:tcW w:w="0" w:type="auto"/>
          <w:tcMar>
            <w:top w:w="0" w:type="dxa"/>
            <w:left w:w="60" w:type="dxa"/>
            <w:bottom w:w="80" w:type="dxa"/>
            <w:right w:w="60" w:type="dxa"/>
          </w:tcMar>
        </w:tcPr>
        <w:p w14:paraId="03BE72D6" w14:textId="44BE959C" w:rsidR="00C4152C" w:rsidRDefault="00C4152C">
          <w:pPr>
            <w:jc w:val="center"/>
            <w:rPr>
              <w:b/>
              <w:color w:val="000000"/>
              <w:sz w:val="32"/>
            </w:rPr>
          </w:pPr>
          <w:r>
            <w:rPr>
              <w:b/>
              <w:color w:val="000000"/>
            </w:rPr>
            <w:fldChar w:fldCharType="begin"/>
          </w:r>
          <w:r>
            <w:rPr>
              <w:b/>
              <w:color w:val="000000"/>
            </w:rPr>
            <w:instrText>PAGE</w:instrText>
          </w:r>
          <w:r>
            <w:rPr>
              <w:b/>
              <w:color w:val="000000"/>
            </w:rPr>
            <w:fldChar w:fldCharType="separate"/>
          </w:r>
          <w:r w:rsidR="00857B1D">
            <w:rPr>
              <w:b/>
              <w:color w:val="000000"/>
            </w:rPr>
            <w:t>57</w:t>
          </w:r>
          <w:r>
            <w:rPr>
              <w:b/>
              <w:color w:val="000000"/>
            </w:rPr>
            <w:fldChar w:fldCharType="end"/>
          </w:r>
        </w:p>
      </w:tc>
      <w:tc>
        <w:tcPr>
          <w:tcW w:w="0" w:type="auto"/>
          <w:tcMar>
            <w:top w:w="0" w:type="dxa"/>
            <w:left w:w="60" w:type="dxa"/>
            <w:bottom w:w="80" w:type="dxa"/>
            <w:right w:w="60" w:type="dxa"/>
          </w:tcMar>
        </w:tcPr>
        <w:p w14:paraId="3C482D92" w14:textId="77777777" w:rsidR="00C4152C" w:rsidRDefault="00C4152C">
          <w:pPr>
            <w:jc w:val="right"/>
            <w:rPr>
              <w:b/>
              <w:color w:val="000000"/>
              <w:sz w:val="32"/>
            </w:rPr>
          </w:pPr>
          <w:r>
            <w:rPr>
              <w:b/>
              <w:color w:val="000000"/>
              <w:sz w:val="32"/>
            </w:rPr>
            <w:t>SL</w:t>
          </w:r>
        </w:p>
      </w:tc>
    </w:tr>
  </w:tbl>
  <w:p w14:paraId="4E18DE3F" w14:textId="77777777" w:rsidR="00C4152C" w:rsidRDefault="00C4152C">
    <w:pPr>
      <w:rPr>
        <w:b/>
        <w:color w:val="000000"/>
      </w:rP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CA151" w14:textId="77777777" w:rsidR="00C4152C" w:rsidRDefault="00C4152C"/>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C98EC" w14:textId="77777777" w:rsidR="00C4152C" w:rsidRDefault="00C4152C"/>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C4152C" w14:paraId="30AAAFAD" w14:textId="77777777">
      <w:tc>
        <w:tcPr>
          <w:tcW w:w="0" w:type="auto"/>
          <w:tcMar>
            <w:top w:w="0" w:type="dxa"/>
            <w:left w:w="60" w:type="dxa"/>
            <w:bottom w:w="80" w:type="dxa"/>
            <w:right w:w="60" w:type="dxa"/>
          </w:tcMar>
        </w:tcPr>
        <w:p w14:paraId="0925019A" w14:textId="77777777" w:rsidR="00C4152C" w:rsidRDefault="00C4152C">
          <w:pPr>
            <w:rPr>
              <w:b/>
              <w:color w:val="000000"/>
            </w:rPr>
          </w:pPr>
          <w:r>
            <w:rPr>
              <w:b/>
              <w:color w:val="000000"/>
              <w:sz w:val="32"/>
            </w:rPr>
            <w:t>SL</w:t>
          </w:r>
        </w:p>
      </w:tc>
      <w:tc>
        <w:tcPr>
          <w:tcW w:w="0" w:type="auto"/>
          <w:tcMar>
            <w:top w:w="0" w:type="dxa"/>
            <w:left w:w="60" w:type="dxa"/>
            <w:bottom w:w="80" w:type="dxa"/>
            <w:right w:w="60" w:type="dxa"/>
          </w:tcMar>
        </w:tcPr>
        <w:p w14:paraId="6BBB2F6F" w14:textId="404B7987" w:rsidR="00C4152C" w:rsidRDefault="00C4152C">
          <w:pPr>
            <w:jc w:val="center"/>
            <w:rPr>
              <w:b/>
              <w:color w:val="000000"/>
              <w:sz w:val="32"/>
            </w:rPr>
          </w:pPr>
          <w:r>
            <w:rPr>
              <w:b/>
              <w:color w:val="000000"/>
            </w:rPr>
            <w:fldChar w:fldCharType="begin"/>
          </w:r>
          <w:r>
            <w:rPr>
              <w:b/>
              <w:color w:val="000000"/>
            </w:rPr>
            <w:instrText>PAGE</w:instrText>
          </w:r>
          <w:r>
            <w:rPr>
              <w:b/>
              <w:color w:val="000000"/>
            </w:rPr>
            <w:fldChar w:fldCharType="separate"/>
          </w:r>
          <w:r w:rsidR="00857B1D">
            <w:rPr>
              <w:b/>
              <w:color w:val="000000"/>
            </w:rPr>
            <w:t>59</w:t>
          </w:r>
          <w:r>
            <w:rPr>
              <w:b/>
              <w:color w:val="000000"/>
            </w:rPr>
            <w:fldChar w:fldCharType="end"/>
          </w:r>
        </w:p>
      </w:tc>
      <w:tc>
        <w:tcPr>
          <w:tcW w:w="0" w:type="auto"/>
          <w:tcMar>
            <w:top w:w="0" w:type="dxa"/>
            <w:left w:w="60" w:type="dxa"/>
            <w:bottom w:w="80" w:type="dxa"/>
            <w:right w:w="60" w:type="dxa"/>
          </w:tcMar>
        </w:tcPr>
        <w:p w14:paraId="0717A1E6" w14:textId="77777777" w:rsidR="00C4152C" w:rsidRDefault="00C4152C">
          <w:pPr>
            <w:jc w:val="right"/>
            <w:rPr>
              <w:b/>
              <w:color w:val="000000"/>
              <w:sz w:val="32"/>
            </w:rPr>
          </w:pPr>
          <w:r>
            <w:rPr>
              <w:b/>
              <w:color w:val="000000"/>
              <w:sz w:val="32"/>
            </w:rPr>
            <w:t>SL</w:t>
          </w:r>
        </w:p>
      </w:tc>
    </w:tr>
  </w:tbl>
  <w:p w14:paraId="1F223F64" w14:textId="77777777" w:rsidR="00C4152C" w:rsidRDefault="00C4152C">
    <w:pPr>
      <w:rPr>
        <w:b/>
        <w:color w:val="000000"/>
      </w:rP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3CC9C" w14:textId="77777777" w:rsidR="00C4152C" w:rsidRDefault="00C4152C"/>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0FA87" w14:textId="77777777" w:rsidR="00C4152C" w:rsidRDefault="00C4152C"/>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792"/>
      <w:gridCol w:w="2666"/>
      <w:gridCol w:w="3792"/>
    </w:tblGrid>
    <w:tr w:rsidR="00C4152C" w14:paraId="1FE38D2A" w14:textId="77777777">
      <w:tc>
        <w:tcPr>
          <w:tcW w:w="0" w:type="auto"/>
          <w:tcMar>
            <w:top w:w="0" w:type="dxa"/>
            <w:left w:w="60" w:type="dxa"/>
            <w:bottom w:w="80" w:type="dxa"/>
            <w:right w:w="60" w:type="dxa"/>
          </w:tcMar>
          <w:vAlign w:val="center"/>
        </w:tcPr>
        <w:p w14:paraId="02783CBE" w14:textId="77777777" w:rsidR="00C4152C" w:rsidRDefault="00C4152C">
          <w:pPr>
            <w:rPr>
              <w:b/>
              <w:color w:val="000000"/>
            </w:rPr>
          </w:pPr>
          <w:r>
            <w:rPr>
              <w:b/>
              <w:color w:val="000000"/>
              <w:sz w:val="32"/>
            </w:rPr>
            <w:t>SL</w:t>
          </w:r>
        </w:p>
      </w:tc>
      <w:tc>
        <w:tcPr>
          <w:tcW w:w="0" w:type="auto"/>
          <w:tcMar>
            <w:top w:w="0" w:type="dxa"/>
            <w:left w:w="60" w:type="dxa"/>
            <w:bottom w:w="80" w:type="dxa"/>
            <w:right w:w="60" w:type="dxa"/>
          </w:tcMar>
          <w:vAlign w:val="center"/>
        </w:tcPr>
        <w:p w14:paraId="59BEFD71" w14:textId="5325B895" w:rsidR="00C4152C" w:rsidRDefault="00C4152C">
          <w:pPr>
            <w:jc w:val="center"/>
            <w:rPr>
              <w:b/>
              <w:color w:val="000000"/>
              <w:sz w:val="32"/>
            </w:rPr>
          </w:pPr>
          <w:r>
            <w:rPr>
              <w:b/>
              <w:color w:val="000000"/>
            </w:rPr>
            <w:fldChar w:fldCharType="begin"/>
          </w:r>
          <w:r>
            <w:rPr>
              <w:b/>
              <w:color w:val="000000"/>
            </w:rPr>
            <w:instrText>PAGE</w:instrText>
          </w:r>
          <w:r>
            <w:rPr>
              <w:b/>
              <w:color w:val="000000"/>
            </w:rPr>
            <w:fldChar w:fldCharType="separate"/>
          </w:r>
          <w:r w:rsidR="00857B1D">
            <w:rPr>
              <w:b/>
              <w:color w:val="000000"/>
            </w:rPr>
            <w:t>64</w:t>
          </w:r>
          <w:r>
            <w:rPr>
              <w:b/>
              <w:color w:val="000000"/>
            </w:rPr>
            <w:fldChar w:fldCharType="end"/>
          </w:r>
        </w:p>
      </w:tc>
      <w:tc>
        <w:tcPr>
          <w:tcW w:w="0" w:type="auto"/>
          <w:tcMar>
            <w:top w:w="0" w:type="dxa"/>
            <w:left w:w="60" w:type="dxa"/>
            <w:bottom w:w="80" w:type="dxa"/>
            <w:right w:w="60" w:type="dxa"/>
          </w:tcMar>
          <w:vAlign w:val="center"/>
        </w:tcPr>
        <w:p w14:paraId="0F0DCFA4" w14:textId="77777777" w:rsidR="00C4152C" w:rsidRDefault="00C4152C">
          <w:pPr>
            <w:jc w:val="right"/>
            <w:rPr>
              <w:b/>
              <w:color w:val="000000"/>
              <w:sz w:val="32"/>
            </w:rPr>
          </w:pPr>
          <w:r>
            <w:rPr>
              <w:b/>
              <w:color w:val="000000"/>
              <w:sz w:val="32"/>
            </w:rPr>
            <w:t>SL</w:t>
          </w:r>
        </w:p>
      </w:tc>
    </w:tr>
  </w:tbl>
  <w:p w14:paraId="77AB3BC7" w14:textId="77777777" w:rsidR="00C4152C" w:rsidRDefault="00C4152C">
    <w:pPr>
      <w:rPr>
        <w:b/>
        <w:color w:val="000000"/>
      </w:rP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C0FB" w14:textId="77777777" w:rsidR="00C4152C" w:rsidRDefault="00C4152C"/>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90E34" w14:textId="77777777" w:rsidR="00C4152C" w:rsidRDefault="00C4152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034"/>
      <w:gridCol w:w="2181"/>
      <w:gridCol w:w="4035"/>
    </w:tblGrid>
    <w:tr w:rsidR="00C4152C" w14:paraId="208110F9" w14:textId="77777777">
      <w:trPr>
        <w:trHeight w:val="240"/>
      </w:trPr>
      <w:tc>
        <w:tcPr>
          <w:tcW w:w="0" w:type="auto"/>
          <w:tcMar>
            <w:left w:w="100" w:type="dxa"/>
            <w:right w:w="100" w:type="dxa"/>
          </w:tcMar>
        </w:tcPr>
        <w:p w14:paraId="34CAF376" w14:textId="77777777" w:rsidR="00C4152C" w:rsidRDefault="00C4152C">
          <w:pPr>
            <w:rPr>
              <w:b/>
              <w:color w:val="000000"/>
            </w:rPr>
          </w:pPr>
          <w:r>
            <w:rPr>
              <w:b/>
              <w:color w:val="000000"/>
              <w:sz w:val="32"/>
            </w:rPr>
            <w:t>SL</w:t>
          </w:r>
        </w:p>
      </w:tc>
      <w:tc>
        <w:tcPr>
          <w:tcW w:w="0" w:type="auto"/>
          <w:tcMar>
            <w:left w:w="100" w:type="dxa"/>
            <w:right w:w="100" w:type="dxa"/>
          </w:tcMar>
        </w:tcPr>
        <w:p w14:paraId="68EACA3C" w14:textId="2FF4EC99" w:rsidR="00C4152C" w:rsidRDefault="00C4152C">
          <w:pPr>
            <w:jc w:val="center"/>
            <w:rPr>
              <w:b/>
              <w:color w:val="000000"/>
              <w:sz w:val="32"/>
            </w:rPr>
          </w:pPr>
          <w:r>
            <w:rPr>
              <w:b/>
              <w:color w:val="000000"/>
            </w:rPr>
            <w:fldChar w:fldCharType="begin"/>
          </w:r>
          <w:r>
            <w:rPr>
              <w:b/>
              <w:color w:val="000000"/>
            </w:rPr>
            <w:instrText>PAGE</w:instrText>
          </w:r>
          <w:r>
            <w:rPr>
              <w:b/>
              <w:color w:val="000000"/>
            </w:rPr>
            <w:fldChar w:fldCharType="separate"/>
          </w:r>
          <w:r w:rsidR="00857B1D">
            <w:rPr>
              <w:b/>
              <w:color w:val="000000"/>
            </w:rPr>
            <w:t>8</w:t>
          </w:r>
          <w:r>
            <w:rPr>
              <w:b/>
              <w:color w:val="000000"/>
            </w:rPr>
            <w:fldChar w:fldCharType="end"/>
          </w:r>
        </w:p>
      </w:tc>
      <w:tc>
        <w:tcPr>
          <w:tcW w:w="0" w:type="auto"/>
          <w:tcMar>
            <w:left w:w="100" w:type="dxa"/>
            <w:right w:w="100" w:type="dxa"/>
          </w:tcMar>
        </w:tcPr>
        <w:p w14:paraId="125D4DDF" w14:textId="77777777" w:rsidR="00C4152C" w:rsidRDefault="00C4152C">
          <w:pPr>
            <w:jc w:val="right"/>
            <w:rPr>
              <w:b/>
              <w:color w:val="000000"/>
              <w:sz w:val="32"/>
            </w:rPr>
          </w:pPr>
          <w:r>
            <w:rPr>
              <w:b/>
              <w:color w:val="000000"/>
              <w:sz w:val="32"/>
            </w:rPr>
            <w:t>SL</w:t>
          </w:r>
        </w:p>
      </w:tc>
    </w:tr>
  </w:tbl>
  <w:p w14:paraId="1274D356" w14:textId="77777777" w:rsidR="00C4152C" w:rsidRDefault="00C4152C">
    <w:pPr>
      <w:rPr>
        <w:b/>
        <w:color w:val="000000"/>
      </w:rP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501"/>
      <w:gridCol w:w="4179"/>
      <w:gridCol w:w="5502"/>
    </w:tblGrid>
    <w:tr w:rsidR="00C4152C" w14:paraId="17206740" w14:textId="77777777">
      <w:tc>
        <w:tcPr>
          <w:tcW w:w="0" w:type="auto"/>
          <w:tcMar>
            <w:top w:w="20" w:type="dxa"/>
            <w:left w:w="120" w:type="dxa"/>
            <w:bottom w:w="120" w:type="dxa"/>
            <w:right w:w="120" w:type="dxa"/>
          </w:tcMar>
          <w:vAlign w:val="bottom"/>
        </w:tcPr>
        <w:p w14:paraId="740F1382" w14:textId="77777777" w:rsidR="00C4152C" w:rsidRDefault="00C4152C">
          <w:pPr>
            <w:rPr>
              <w:b/>
              <w:color w:val="000000"/>
            </w:rPr>
          </w:pPr>
          <w:r>
            <w:rPr>
              <w:b/>
              <w:color w:val="000000"/>
              <w:sz w:val="32"/>
            </w:rPr>
            <w:t>SL</w:t>
          </w:r>
        </w:p>
      </w:tc>
      <w:tc>
        <w:tcPr>
          <w:tcW w:w="0" w:type="auto"/>
          <w:tcMar>
            <w:top w:w="20" w:type="dxa"/>
            <w:left w:w="120" w:type="dxa"/>
            <w:bottom w:w="120" w:type="dxa"/>
            <w:right w:w="120" w:type="dxa"/>
          </w:tcMar>
          <w:vAlign w:val="bottom"/>
        </w:tcPr>
        <w:p w14:paraId="016C4B21" w14:textId="39F1FD56" w:rsidR="00C4152C" w:rsidRDefault="00C4152C">
          <w:pPr>
            <w:jc w:val="center"/>
            <w:rPr>
              <w:b/>
              <w:color w:val="000000"/>
              <w:sz w:val="32"/>
            </w:rPr>
          </w:pPr>
          <w:r>
            <w:rPr>
              <w:b/>
              <w:color w:val="000000"/>
            </w:rPr>
            <w:fldChar w:fldCharType="begin"/>
          </w:r>
          <w:r>
            <w:rPr>
              <w:b/>
              <w:color w:val="000000"/>
            </w:rPr>
            <w:instrText>PAGE</w:instrText>
          </w:r>
          <w:r>
            <w:rPr>
              <w:b/>
              <w:color w:val="000000"/>
            </w:rPr>
            <w:fldChar w:fldCharType="separate"/>
          </w:r>
          <w:r w:rsidR="00857B1D">
            <w:rPr>
              <w:b/>
              <w:color w:val="000000"/>
            </w:rPr>
            <w:t>65</w:t>
          </w:r>
          <w:r>
            <w:rPr>
              <w:b/>
              <w:color w:val="000000"/>
            </w:rPr>
            <w:fldChar w:fldCharType="end"/>
          </w:r>
        </w:p>
      </w:tc>
      <w:tc>
        <w:tcPr>
          <w:tcW w:w="0" w:type="auto"/>
          <w:tcMar>
            <w:top w:w="20" w:type="dxa"/>
            <w:left w:w="120" w:type="dxa"/>
            <w:bottom w:w="120" w:type="dxa"/>
            <w:right w:w="120" w:type="dxa"/>
          </w:tcMar>
          <w:vAlign w:val="bottom"/>
        </w:tcPr>
        <w:p w14:paraId="328AEFDB" w14:textId="77777777" w:rsidR="00C4152C" w:rsidRDefault="00C4152C">
          <w:pPr>
            <w:jc w:val="right"/>
            <w:rPr>
              <w:b/>
              <w:color w:val="000000"/>
              <w:sz w:val="32"/>
            </w:rPr>
          </w:pPr>
          <w:r>
            <w:rPr>
              <w:b/>
              <w:color w:val="000000"/>
              <w:sz w:val="32"/>
            </w:rPr>
            <w:t>SL</w:t>
          </w:r>
        </w:p>
      </w:tc>
    </w:tr>
  </w:tbl>
  <w:p w14:paraId="5125B430" w14:textId="77777777" w:rsidR="00C4152C" w:rsidRDefault="00C4152C">
    <w:pPr>
      <w:rPr>
        <w:b/>
        <w:color w:val="000000"/>
      </w:rP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70D8A" w14:textId="77777777" w:rsidR="00C4152C" w:rsidRDefault="00C4152C"/>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5B87F" w14:textId="77777777" w:rsidR="00C4152C" w:rsidRDefault="00C4152C"/>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792"/>
      <w:gridCol w:w="2666"/>
      <w:gridCol w:w="3792"/>
    </w:tblGrid>
    <w:tr w:rsidR="00C4152C" w14:paraId="6190B357" w14:textId="77777777">
      <w:tc>
        <w:tcPr>
          <w:tcW w:w="0" w:type="auto"/>
          <w:tcMar>
            <w:top w:w="0" w:type="dxa"/>
            <w:left w:w="60" w:type="dxa"/>
            <w:bottom w:w="80" w:type="dxa"/>
            <w:right w:w="60" w:type="dxa"/>
          </w:tcMar>
          <w:vAlign w:val="center"/>
        </w:tcPr>
        <w:p w14:paraId="37262C83" w14:textId="77777777" w:rsidR="00C4152C" w:rsidRDefault="00C4152C">
          <w:pPr>
            <w:rPr>
              <w:b/>
              <w:color w:val="000000"/>
            </w:rPr>
          </w:pPr>
          <w:r>
            <w:rPr>
              <w:b/>
              <w:color w:val="000000"/>
              <w:sz w:val="32"/>
            </w:rPr>
            <w:t>SL</w:t>
          </w:r>
        </w:p>
      </w:tc>
      <w:tc>
        <w:tcPr>
          <w:tcW w:w="0" w:type="auto"/>
          <w:tcMar>
            <w:top w:w="0" w:type="dxa"/>
            <w:left w:w="60" w:type="dxa"/>
            <w:bottom w:w="80" w:type="dxa"/>
            <w:right w:w="60" w:type="dxa"/>
          </w:tcMar>
          <w:vAlign w:val="center"/>
        </w:tcPr>
        <w:p w14:paraId="4E8668F8" w14:textId="2BED6B95" w:rsidR="00C4152C" w:rsidRDefault="00C4152C">
          <w:pPr>
            <w:jc w:val="center"/>
            <w:rPr>
              <w:b/>
              <w:color w:val="000000"/>
              <w:sz w:val="32"/>
            </w:rPr>
          </w:pPr>
          <w:r>
            <w:rPr>
              <w:b/>
              <w:color w:val="000000"/>
            </w:rPr>
            <w:fldChar w:fldCharType="begin"/>
          </w:r>
          <w:r>
            <w:rPr>
              <w:b/>
              <w:color w:val="000000"/>
            </w:rPr>
            <w:instrText>PAGE</w:instrText>
          </w:r>
          <w:r>
            <w:rPr>
              <w:b/>
              <w:color w:val="000000"/>
            </w:rPr>
            <w:fldChar w:fldCharType="separate"/>
          </w:r>
          <w:r w:rsidR="00857B1D">
            <w:rPr>
              <w:b/>
              <w:color w:val="000000"/>
            </w:rPr>
            <w:t>66</w:t>
          </w:r>
          <w:r>
            <w:rPr>
              <w:b/>
              <w:color w:val="000000"/>
            </w:rPr>
            <w:fldChar w:fldCharType="end"/>
          </w:r>
        </w:p>
      </w:tc>
      <w:tc>
        <w:tcPr>
          <w:tcW w:w="0" w:type="auto"/>
          <w:tcMar>
            <w:top w:w="0" w:type="dxa"/>
            <w:left w:w="60" w:type="dxa"/>
            <w:bottom w:w="80" w:type="dxa"/>
            <w:right w:w="60" w:type="dxa"/>
          </w:tcMar>
          <w:vAlign w:val="center"/>
        </w:tcPr>
        <w:p w14:paraId="1575C198" w14:textId="77777777" w:rsidR="00C4152C" w:rsidRDefault="00C4152C">
          <w:pPr>
            <w:jc w:val="right"/>
            <w:rPr>
              <w:b/>
              <w:color w:val="000000"/>
              <w:sz w:val="32"/>
            </w:rPr>
          </w:pPr>
          <w:r>
            <w:rPr>
              <w:b/>
              <w:color w:val="000000"/>
              <w:sz w:val="32"/>
            </w:rPr>
            <w:t>SL</w:t>
          </w:r>
        </w:p>
      </w:tc>
    </w:tr>
  </w:tbl>
  <w:p w14:paraId="073D099E" w14:textId="77777777" w:rsidR="00C4152C" w:rsidRDefault="00C4152C">
    <w:pPr>
      <w:rPr>
        <w:b/>
        <w:color w:val="000000"/>
      </w:rP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18D46" w14:textId="77777777" w:rsidR="00C4152C" w:rsidRDefault="00C4152C"/>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19764" w14:textId="77777777" w:rsidR="00C4152C" w:rsidRDefault="00C4152C"/>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C4152C" w14:paraId="27555080" w14:textId="77777777">
      <w:tc>
        <w:tcPr>
          <w:tcW w:w="0" w:type="auto"/>
          <w:tcMar>
            <w:top w:w="0" w:type="dxa"/>
            <w:left w:w="60" w:type="dxa"/>
            <w:bottom w:w="80" w:type="dxa"/>
            <w:right w:w="60" w:type="dxa"/>
          </w:tcMar>
          <w:vAlign w:val="center"/>
        </w:tcPr>
        <w:p w14:paraId="585361AE" w14:textId="77777777" w:rsidR="00C4152C" w:rsidRDefault="00C4152C">
          <w:pPr>
            <w:rPr>
              <w:b/>
              <w:color w:val="000000"/>
            </w:rPr>
          </w:pPr>
          <w:r>
            <w:rPr>
              <w:b/>
              <w:color w:val="000000"/>
              <w:sz w:val="32"/>
            </w:rPr>
            <w:t>SL</w:t>
          </w:r>
        </w:p>
      </w:tc>
      <w:tc>
        <w:tcPr>
          <w:tcW w:w="0" w:type="auto"/>
          <w:tcMar>
            <w:top w:w="0" w:type="dxa"/>
            <w:left w:w="60" w:type="dxa"/>
            <w:bottom w:w="80" w:type="dxa"/>
            <w:right w:w="60" w:type="dxa"/>
          </w:tcMar>
          <w:vAlign w:val="center"/>
        </w:tcPr>
        <w:p w14:paraId="11D72449" w14:textId="48D325FE" w:rsidR="00C4152C" w:rsidRDefault="00C4152C">
          <w:pPr>
            <w:jc w:val="center"/>
            <w:rPr>
              <w:b/>
              <w:color w:val="000000"/>
              <w:sz w:val="32"/>
            </w:rPr>
          </w:pPr>
          <w:r>
            <w:rPr>
              <w:b/>
              <w:color w:val="000000"/>
            </w:rPr>
            <w:fldChar w:fldCharType="begin"/>
          </w:r>
          <w:r>
            <w:rPr>
              <w:b/>
              <w:color w:val="000000"/>
            </w:rPr>
            <w:instrText>PAGE</w:instrText>
          </w:r>
          <w:r>
            <w:rPr>
              <w:b/>
              <w:color w:val="000000"/>
            </w:rPr>
            <w:fldChar w:fldCharType="separate"/>
          </w:r>
          <w:r w:rsidR="00857B1D">
            <w:rPr>
              <w:b/>
              <w:color w:val="000000"/>
            </w:rPr>
            <w:t>67</w:t>
          </w:r>
          <w:r>
            <w:rPr>
              <w:b/>
              <w:color w:val="000000"/>
            </w:rPr>
            <w:fldChar w:fldCharType="end"/>
          </w:r>
        </w:p>
      </w:tc>
      <w:tc>
        <w:tcPr>
          <w:tcW w:w="0" w:type="auto"/>
          <w:tcMar>
            <w:top w:w="0" w:type="dxa"/>
            <w:left w:w="60" w:type="dxa"/>
            <w:bottom w:w="80" w:type="dxa"/>
            <w:right w:w="60" w:type="dxa"/>
          </w:tcMar>
          <w:vAlign w:val="center"/>
        </w:tcPr>
        <w:p w14:paraId="0597B05B" w14:textId="77777777" w:rsidR="00C4152C" w:rsidRDefault="00C4152C">
          <w:pPr>
            <w:jc w:val="right"/>
            <w:rPr>
              <w:b/>
              <w:color w:val="000000"/>
              <w:sz w:val="32"/>
            </w:rPr>
          </w:pPr>
          <w:r>
            <w:rPr>
              <w:b/>
              <w:color w:val="000000"/>
              <w:sz w:val="32"/>
            </w:rPr>
            <w:t>SL</w:t>
          </w:r>
        </w:p>
      </w:tc>
    </w:tr>
  </w:tbl>
  <w:p w14:paraId="0EFE163F" w14:textId="77777777" w:rsidR="00C4152C" w:rsidRDefault="00C4152C">
    <w:pPr>
      <w:rPr>
        <w:b/>
        <w:color w:val="000000"/>
      </w:rP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A065" w14:textId="77777777" w:rsidR="00C4152C" w:rsidRDefault="00C4152C"/>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66241" w14:textId="77777777" w:rsidR="00C4152C" w:rsidRDefault="00C4152C"/>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C4152C" w14:paraId="6782119C" w14:textId="77777777">
      <w:tc>
        <w:tcPr>
          <w:tcW w:w="0" w:type="auto"/>
          <w:tcMar>
            <w:top w:w="0" w:type="dxa"/>
            <w:left w:w="60" w:type="dxa"/>
            <w:bottom w:w="80" w:type="dxa"/>
            <w:right w:w="60" w:type="dxa"/>
          </w:tcMar>
        </w:tcPr>
        <w:p w14:paraId="217CB52D" w14:textId="77777777" w:rsidR="00C4152C" w:rsidRDefault="00C4152C">
          <w:pPr>
            <w:rPr>
              <w:b/>
              <w:color w:val="000000"/>
            </w:rPr>
          </w:pPr>
          <w:r>
            <w:rPr>
              <w:b/>
              <w:color w:val="000000"/>
              <w:sz w:val="32"/>
            </w:rPr>
            <w:t>SL</w:t>
          </w:r>
        </w:p>
      </w:tc>
      <w:tc>
        <w:tcPr>
          <w:tcW w:w="0" w:type="auto"/>
          <w:tcMar>
            <w:top w:w="0" w:type="dxa"/>
            <w:left w:w="60" w:type="dxa"/>
            <w:bottom w:w="80" w:type="dxa"/>
            <w:right w:w="60" w:type="dxa"/>
          </w:tcMar>
        </w:tcPr>
        <w:p w14:paraId="483F3F1D" w14:textId="1D1C1EBA" w:rsidR="00C4152C" w:rsidRDefault="00C4152C">
          <w:pPr>
            <w:jc w:val="center"/>
            <w:rPr>
              <w:b/>
              <w:color w:val="000000"/>
              <w:sz w:val="32"/>
            </w:rPr>
          </w:pPr>
          <w:r>
            <w:rPr>
              <w:b/>
              <w:color w:val="000000"/>
            </w:rPr>
            <w:fldChar w:fldCharType="begin"/>
          </w:r>
          <w:r>
            <w:rPr>
              <w:b/>
              <w:color w:val="000000"/>
            </w:rPr>
            <w:instrText>PAGE</w:instrText>
          </w:r>
          <w:r>
            <w:rPr>
              <w:b/>
              <w:color w:val="000000"/>
            </w:rPr>
            <w:fldChar w:fldCharType="separate"/>
          </w:r>
          <w:r w:rsidR="00857B1D">
            <w:rPr>
              <w:b/>
              <w:color w:val="000000"/>
            </w:rPr>
            <w:t>68</w:t>
          </w:r>
          <w:r>
            <w:rPr>
              <w:b/>
              <w:color w:val="000000"/>
            </w:rPr>
            <w:fldChar w:fldCharType="end"/>
          </w:r>
        </w:p>
      </w:tc>
      <w:tc>
        <w:tcPr>
          <w:tcW w:w="0" w:type="auto"/>
          <w:tcMar>
            <w:top w:w="0" w:type="dxa"/>
            <w:left w:w="60" w:type="dxa"/>
            <w:bottom w:w="80" w:type="dxa"/>
            <w:right w:w="60" w:type="dxa"/>
          </w:tcMar>
        </w:tcPr>
        <w:p w14:paraId="3D65051D" w14:textId="77777777" w:rsidR="00C4152C" w:rsidRDefault="00C4152C">
          <w:pPr>
            <w:jc w:val="right"/>
            <w:rPr>
              <w:b/>
              <w:color w:val="000000"/>
              <w:sz w:val="32"/>
            </w:rPr>
          </w:pPr>
          <w:r>
            <w:rPr>
              <w:b/>
              <w:color w:val="000000"/>
              <w:sz w:val="32"/>
            </w:rPr>
            <w:t>SL</w:t>
          </w:r>
        </w:p>
      </w:tc>
    </w:tr>
  </w:tbl>
  <w:p w14:paraId="03EA72FB" w14:textId="77777777" w:rsidR="00C4152C" w:rsidRDefault="00C4152C">
    <w:pPr>
      <w:rPr>
        <w:b/>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3C2DE" w14:textId="77777777" w:rsidR="00C4152C" w:rsidRDefault="00C4152C"/>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93D1B" w14:textId="77777777" w:rsidR="00C4152C" w:rsidRDefault="00C4152C"/>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74CF7" w14:textId="77777777" w:rsidR="00C4152C" w:rsidRDefault="00C4152C"/>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792"/>
      <w:gridCol w:w="2666"/>
      <w:gridCol w:w="3792"/>
    </w:tblGrid>
    <w:tr w:rsidR="00C4152C" w14:paraId="544589B7" w14:textId="77777777">
      <w:trPr>
        <w:trHeight w:val="160"/>
      </w:trPr>
      <w:tc>
        <w:tcPr>
          <w:tcW w:w="0" w:type="auto"/>
          <w:tcMar>
            <w:top w:w="0" w:type="dxa"/>
            <w:left w:w="60" w:type="dxa"/>
            <w:bottom w:w="80" w:type="dxa"/>
            <w:right w:w="60" w:type="dxa"/>
          </w:tcMar>
        </w:tcPr>
        <w:p w14:paraId="5085CBFA" w14:textId="77777777" w:rsidR="00C4152C" w:rsidRDefault="00C4152C">
          <w:pPr>
            <w:rPr>
              <w:b/>
              <w:color w:val="000000"/>
            </w:rPr>
          </w:pPr>
          <w:r>
            <w:rPr>
              <w:b/>
              <w:color w:val="000000"/>
              <w:sz w:val="32"/>
            </w:rPr>
            <w:t>SL</w:t>
          </w:r>
        </w:p>
      </w:tc>
      <w:tc>
        <w:tcPr>
          <w:tcW w:w="0" w:type="auto"/>
          <w:tcMar>
            <w:top w:w="0" w:type="dxa"/>
            <w:left w:w="60" w:type="dxa"/>
            <w:bottom w:w="80" w:type="dxa"/>
            <w:right w:w="60" w:type="dxa"/>
          </w:tcMar>
        </w:tcPr>
        <w:p w14:paraId="37EF241E" w14:textId="7B368A9A" w:rsidR="00C4152C" w:rsidRDefault="00C4152C">
          <w:pPr>
            <w:jc w:val="center"/>
            <w:rPr>
              <w:b/>
              <w:color w:val="000000"/>
              <w:sz w:val="32"/>
            </w:rPr>
          </w:pPr>
          <w:r>
            <w:rPr>
              <w:b/>
              <w:color w:val="000000"/>
            </w:rPr>
            <w:fldChar w:fldCharType="begin"/>
          </w:r>
          <w:r>
            <w:rPr>
              <w:b/>
              <w:color w:val="000000"/>
            </w:rPr>
            <w:instrText>PAGE</w:instrText>
          </w:r>
          <w:r>
            <w:rPr>
              <w:b/>
              <w:color w:val="000000"/>
            </w:rPr>
            <w:fldChar w:fldCharType="separate"/>
          </w:r>
          <w:r w:rsidR="00857B1D">
            <w:rPr>
              <w:b/>
              <w:color w:val="000000"/>
            </w:rPr>
            <w:t>13</w:t>
          </w:r>
          <w:r>
            <w:rPr>
              <w:b/>
              <w:color w:val="000000"/>
            </w:rPr>
            <w:fldChar w:fldCharType="end"/>
          </w:r>
        </w:p>
      </w:tc>
      <w:tc>
        <w:tcPr>
          <w:tcW w:w="0" w:type="auto"/>
          <w:tcMar>
            <w:top w:w="0" w:type="dxa"/>
            <w:left w:w="60" w:type="dxa"/>
            <w:bottom w:w="80" w:type="dxa"/>
            <w:right w:w="60" w:type="dxa"/>
          </w:tcMar>
        </w:tcPr>
        <w:p w14:paraId="6C4954C2" w14:textId="77777777" w:rsidR="00C4152C" w:rsidRDefault="00C4152C">
          <w:pPr>
            <w:jc w:val="right"/>
            <w:rPr>
              <w:b/>
              <w:color w:val="000000"/>
              <w:sz w:val="32"/>
            </w:rPr>
          </w:pPr>
          <w:r>
            <w:rPr>
              <w:b/>
              <w:color w:val="000000"/>
              <w:sz w:val="32"/>
            </w:rPr>
            <w:t>SL</w:t>
          </w:r>
        </w:p>
      </w:tc>
    </w:tr>
  </w:tbl>
  <w:p w14:paraId="0AC11969" w14:textId="77777777" w:rsidR="00C4152C" w:rsidRDefault="00C4152C">
    <w:pPr>
      <w:rPr>
        <w:b/>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AB404" w14:textId="77777777" w:rsidR="00C4152C" w:rsidRDefault="00C4152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A476C" w14:textId="77777777" w:rsidR="00C4152C" w:rsidRDefault="00C4152C">
      <w:r>
        <w:separator/>
      </w:r>
    </w:p>
  </w:footnote>
  <w:footnote w:type="continuationSeparator" w:id="0">
    <w:p w14:paraId="3E699278" w14:textId="77777777" w:rsidR="00C4152C" w:rsidRDefault="00C41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A896E" w14:textId="77777777" w:rsidR="00C4152C" w:rsidRDefault="00C4152C"/>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9C02A" w14:textId="77777777" w:rsidR="00C4152C" w:rsidRDefault="00C4152C"/>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72530" w14:textId="77777777" w:rsidR="00C4152C" w:rsidRDefault="00C4152C"/>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02C48" w14:textId="77777777" w:rsidR="00C4152C" w:rsidRDefault="00C4152C"/>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D0AA4" w14:textId="77777777" w:rsidR="00C4152C" w:rsidRDefault="00C4152C"/>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23295" w14:textId="77777777" w:rsidR="00C4152C" w:rsidRDefault="00C4152C"/>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26F55" w14:textId="77777777" w:rsidR="00C4152C" w:rsidRDefault="00C4152C"/>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55C3E" w14:textId="77777777" w:rsidR="00C4152C" w:rsidRDefault="00C4152C"/>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FB959" w14:textId="77777777" w:rsidR="00C4152C" w:rsidRDefault="00C4152C"/>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AF3FE" w14:textId="77777777" w:rsidR="00C4152C" w:rsidRDefault="00C4152C"/>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C8E21" w14:textId="77777777" w:rsidR="00C4152C" w:rsidRDefault="00C415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0EEA3" w14:textId="77777777" w:rsidR="00C4152C" w:rsidRDefault="00C4152C"/>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A7C8D" w14:textId="77777777" w:rsidR="00C4152C" w:rsidRDefault="00C4152C"/>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33B71" w14:textId="77777777" w:rsidR="00C4152C" w:rsidRDefault="00C4152C"/>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4AD4E" w14:textId="77777777" w:rsidR="00C4152C" w:rsidRDefault="00C4152C"/>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53B44" w14:textId="77777777" w:rsidR="00C4152C" w:rsidRDefault="00C4152C"/>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297F4" w14:textId="77777777" w:rsidR="00C4152C" w:rsidRDefault="00C4152C"/>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7DD41" w14:textId="77777777" w:rsidR="00C4152C" w:rsidRDefault="00C4152C"/>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D827" w14:textId="77777777" w:rsidR="00C4152C" w:rsidRDefault="00C4152C"/>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32067" w14:textId="77777777" w:rsidR="00C4152C" w:rsidRDefault="00C4152C"/>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1A7C1" w14:textId="77777777" w:rsidR="00C4152C" w:rsidRDefault="00C4152C"/>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6BB2D" w14:textId="77777777" w:rsidR="00C4152C" w:rsidRDefault="00C415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7ED9D" w14:textId="77777777" w:rsidR="00C4152C" w:rsidRDefault="00C4152C"/>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A25C" w14:textId="77777777" w:rsidR="00C4152C" w:rsidRDefault="00C4152C"/>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0927" w14:textId="77777777" w:rsidR="00C4152C" w:rsidRDefault="00C4152C"/>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74E88" w14:textId="77777777" w:rsidR="00C4152C" w:rsidRDefault="00C4152C"/>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75D5D" w14:textId="77777777" w:rsidR="00C4152C" w:rsidRDefault="00C4152C"/>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DD194" w14:textId="77777777" w:rsidR="00C4152C" w:rsidRDefault="00C4152C"/>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1CAD3" w14:textId="77777777" w:rsidR="00C4152C" w:rsidRDefault="00C4152C"/>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5B765" w14:textId="77777777" w:rsidR="00C4152C" w:rsidRDefault="00C4152C"/>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B85F5" w14:textId="77777777" w:rsidR="00C4152C" w:rsidRDefault="00C4152C"/>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4CBFA" w14:textId="77777777" w:rsidR="00C4152C" w:rsidRDefault="00C4152C"/>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0C858" w14:textId="77777777" w:rsidR="00C4152C" w:rsidRDefault="00C4152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35B43" w14:textId="77777777" w:rsidR="00C4152C" w:rsidRDefault="00C4152C"/>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C260E" w14:textId="77777777" w:rsidR="00C4152C" w:rsidRDefault="00C4152C"/>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52B8E" w14:textId="77777777" w:rsidR="00C4152C" w:rsidRDefault="00C4152C"/>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FE14D" w14:textId="77777777" w:rsidR="00C4152C" w:rsidRDefault="00C4152C"/>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3F717" w14:textId="77777777" w:rsidR="00C4152C" w:rsidRDefault="00C4152C"/>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72AAB" w14:textId="77777777" w:rsidR="00C4152C" w:rsidRDefault="00C4152C"/>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8B870" w14:textId="77777777" w:rsidR="00C4152C" w:rsidRDefault="00C4152C"/>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7B45E" w14:textId="77777777" w:rsidR="00C4152C" w:rsidRDefault="00C4152C"/>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BF4B" w14:textId="77777777" w:rsidR="00C4152C" w:rsidRDefault="00C4152C"/>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77194" w14:textId="77777777" w:rsidR="00C4152C" w:rsidRDefault="00C4152C"/>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D1226" w14:textId="77777777" w:rsidR="00C4152C" w:rsidRDefault="00C4152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8F616" w14:textId="77777777" w:rsidR="00C4152C" w:rsidRDefault="00C4152C"/>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A2DA6" w14:textId="77777777" w:rsidR="00C4152C" w:rsidRDefault="00C4152C"/>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D131E" w14:textId="77777777" w:rsidR="00C4152C" w:rsidRDefault="00C4152C"/>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1188E" w14:textId="77777777" w:rsidR="00C4152C" w:rsidRDefault="00C4152C"/>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6378B" w14:textId="77777777" w:rsidR="00C4152C" w:rsidRDefault="00C4152C"/>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8DCE6" w14:textId="77777777" w:rsidR="00C4152C" w:rsidRDefault="00C4152C"/>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4D923" w14:textId="77777777" w:rsidR="00C4152C" w:rsidRDefault="00C4152C"/>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BC02B" w14:textId="77777777" w:rsidR="00C4152C" w:rsidRDefault="00C4152C"/>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4F3E" w14:textId="77777777" w:rsidR="00C4152C" w:rsidRDefault="00C4152C"/>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AF44A" w14:textId="77777777" w:rsidR="00C4152C" w:rsidRDefault="00C4152C"/>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3A901" w14:textId="77777777" w:rsidR="00C4152C" w:rsidRDefault="00C4152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1766" w14:textId="77777777" w:rsidR="00C4152C" w:rsidRDefault="00C4152C"/>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DD301" w14:textId="77777777" w:rsidR="00C4152C" w:rsidRDefault="00C4152C"/>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2E95A" w14:textId="77777777" w:rsidR="00C4152C" w:rsidRDefault="00C4152C"/>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8759" w14:textId="77777777" w:rsidR="00C4152C" w:rsidRDefault="00C4152C"/>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5BDB3" w14:textId="77777777" w:rsidR="00C4152C" w:rsidRDefault="00C4152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1EB8C574">
      <w:start w:val="1"/>
      <w:numFmt w:val="bullet"/>
      <w:lvlText w:val=""/>
      <w:lvlJc w:val="left"/>
      <w:pPr>
        <w:ind w:left="720" w:hanging="360"/>
      </w:pPr>
      <w:rPr>
        <w:rFonts w:ascii="Symbol" w:hAnsi="Symbol"/>
      </w:rPr>
    </w:lvl>
    <w:lvl w:ilvl="1" w:tplc="ADDE99B2">
      <w:start w:val="1"/>
      <w:numFmt w:val="bullet"/>
      <w:lvlText w:val="o"/>
      <w:lvlJc w:val="left"/>
      <w:pPr>
        <w:tabs>
          <w:tab w:val="num" w:pos="1440"/>
        </w:tabs>
        <w:ind w:left="1440" w:hanging="360"/>
      </w:pPr>
      <w:rPr>
        <w:rFonts w:ascii="Courier New" w:hAnsi="Courier New"/>
      </w:rPr>
    </w:lvl>
    <w:lvl w:ilvl="2" w:tplc="EE1EB06E">
      <w:start w:val="1"/>
      <w:numFmt w:val="bullet"/>
      <w:lvlText w:val=""/>
      <w:lvlJc w:val="left"/>
      <w:pPr>
        <w:tabs>
          <w:tab w:val="num" w:pos="2160"/>
        </w:tabs>
        <w:ind w:left="2160" w:hanging="360"/>
      </w:pPr>
      <w:rPr>
        <w:rFonts w:ascii="Wingdings" w:hAnsi="Wingdings"/>
      </w:rPr>
    </w:lvl>
    <w:lvl w:ilvl="3" w:tplc="02969434">
      <w:start w:val="1"/>
      <w:numFmt w:val="bullet"/>
      <w:lvlText w:val=""/>
      <w:lvlJc w:val="left"/>
      <w:pPr>
        <w:tabs>
          <w:tab w:val="num" w:pos="2880"/>
        </w:tabs>
        <w:ind w:left="2880" w:hanging="360"/>
      </w:pPr>
      <w:rPr>
        <w:rFonts w:ascii="Symbol" w:hAnsi="Symbol"/>
      </w:rPr>
    </w:lvl>
    <w:lvl w:ilvl="4" w:tplc="386CE2EE">
      <w:start w:val="1"/>
      <w:numFmt w:val="bullet"/>
      <w:lvlText w:val="o"/>
      <w:lvlJc w:val="left"/>
      <w:pPr>
        <w:tabs>
          <w:tab w:val="num" w:pos="3600"/>
        </w:tabs>
        <w:ind w:left="3600" w:hanging="360"/>
      </w:pPr>
      <w:rPr>
        <w:rFonts w:ascii="Courier New" w:hAnsi="Courier New"/>
      </w:rPr>
    </w:lvl>
    <w:lvl w:ilvl="5" w:tplc="6C2EBBE0">
      <w:start w:val="1"/>
      <w:numFmt w:val="bullet"/>
      <w:lvlText w:val=""/>
      <w:lvlJc w:val="left"/>
      <w:pPr>
        <w:tabs>
          <w:tab w:val="num" w:pos="4320"/>
        </w:tabs>
        <w:ind w:left="4320" w:hanging="360"/>
      </w:pPr>
      <w:rPr>
        <w:rFonts w:ascii="Wingdings" w:hAnsi="Wingdings"/>
      </w:rPr>
    </w:lvl>
    <w:lvl w:ilvl="6" w:tplc="2E7E15CE">
      <w:start w:val="1"/>
      <w:numFmt w:val="bullet"/>
      <w:lvlText w:val=""/>
      <w:lvlJc w:val="left"/>
      <w:pPr>
        <w:tabs>
          <w:tab w:val="num" w:pos="5040"/>
        </w:tabs>
        <w:ind w:left="5040" w:hanging="360"/>
      </w:pPr>
      <w:rPr>
        <w:rFonts w:ascii="Symbol" w:hAnsi="Symbol"/>
      </w:rPr>
    </w:lvl>
    <w:lvl w:ilvl="7" w:tplc="D3108D3A">
      <w:start w:val="1"/>
      <w:numFmt w:val="bullet"/>
      <w:lvlText w:val="o"/>
      <w:lvlJc w:val="left"/>
      <w:pPr>
        <w:tabs>
          <w:tab w:val="num" w:pos="5760"/>
        </w:tabs>
        <w:ind w:left="5760" w:hanging="360"/>
      </w:pPr>
      <w:rPr>
        <w:rFonts w:ascii="Courier New" w:hAnsi="Courier New"/>
      </w:rPr>
    </w:lvl>
    <w:lvl w:ilvl="8" w:tplc="8454F5B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DA44B04">
      <w:start w:val="1"/>
      <w:numFmt w:val="bullet"/>
      <w:lvlText w:val=""/>
      <w:lvlJc w:val="left"/>
      <w:pPr>
        <w:ind w:left="720" w:hanging="360"/>
      </w:pPr>
      <w:rPr>
        <w:rFonts w:ascii="Symbol" w:hAnsi="Symbol"/>
      </w:rPr>
    </w:lvl>
    <w:lvl w:ilvl="1" w:tplc="5CCA29A2">
      <w:start w:val="1"/>
      <w:numFmt w:val="bullet"/>
      <w:lvlText w:val="o"/>
      <w:lvlJc w:val="left"/>
      <w:pPr>
        <w:tabs>
          <w:tab w:val="num" w:pos="1440"/>
        </w:tabs>
        <w:ind w:left="1440" w:hanging="360"/>
      </w:pPr>
      <w:rPr>
        <w:rFonts w:ascii="Courier New" w:hAnsi="Courier New"/>
      </w:rPr>
    </w:lvl>
    <w:lvl w:ilvl="2" w:tplc="927C367A">
      <w:start w:val="1"/>
      <w:numFmt w:val="bullet"/>
      <w:lvlText w:val=""/>
      <w:lvlJc w:val="left"/>
      <w:pPr>
        <w:tabs>
          <w:tab w:val="num" w:pos="2160"/>
        </w:tabs>
        <w:ind w:left="2160" w:hanging="360"/>
      </w:pPr>
      <w:rPr>
        <w:rFonts w:ascii="Wingdings" w:hAnsi="Wingdings"/>
      </w:rPr>
    </w:lvl>
    <w:lvl w:ilvl="3" w:tplc="62A60384">
      <w:start w:val="1"/>
      <w:numFmt w:val="bullet"/>
      <w:lvlText w:val=""/>
      <w:lvlJc w:val="left"/>
      <w:pPr>
        <w:tabs>
          <w:tab w:val="num" w:pos="2880"/>
        </w:tabs>
        <w:ind w:left="2880" w:hanging="360"/>
      </w:pPr>
      <w:rPr>
        <w:rFonts w:ascii="Symbol" w:hAnsi="Symbol"/>
      </w:rPr>
    </w:lvl>
    <w:lvl w:ilvl="4" w:tplc="59D01106">
      <w:start w:val="1"/>
      <w:numFmt w:val="bullet"/>
      <w:lvlText w:val="o"/>
      <w:lvlJc w:val="left"/>
      <w:pPr>
        <w:tabs>
          <w:tab w:val="num" w:pos="3600"/>
        </w:tabs>
        <w:ind w:left="3600" w:hanging="360"/>
      </w:pPr>
      <w:rPr>
        <w:rFonts w:ascii="Courier New" w:hAnsi="Courier New"/>
      </w:rPr>
    </w:lvl>
    <w:lvl w:ilvl="5" w:tplc="93B8896C">
      <w:start w:val="1"/>
      <w:numFmt w:val="bullet"/>
      <w:lvlText w:val=""/>
      <w:lvlJc w:val="left"/>
      <w:pPr>
        <w:tabs>
          <w:tab w:val="num" w:pos="4320"/>
        </w:tabs>
        <w:ind w:left="4320" w:hanging="360"/>
      </w:pPr>
      <w:rPr>
        <w:rFonts w:ascii="Wingdings" w:hAnsi="Wingdings"/>
      </w:rPr>
    </w:lvl>
    <w:lvl w:ilvl="6" w:tplc="55CE2A88">
      <w:start w:val="1"/>
      <w:numFmt w:val="bullet"/>
      <w:lvlText w:val=""/>
      <w:lvlJc w:val="left"/>
      <w:pPr>
        <w:tabs>
          <w:tab w:val="num" w:pos="5040"/>
        </w:tabs>
        <w:ind w:left="5040" w:hanging="360"/>
      </w:pPr>
      <w:rPr>
        <w:rFonts w:ascii="Symbol" w:hAnsi="Symbol"/>
      </w:rPr>
    </w:lvl>
    <w:lvl w:ilvl="7" w:tplc="259677F8">
      <w:start w:val="1"/>
      <w:numFmt w:val="bullet"/>
      <w:lvlText w:val="o"/>
      <w:lvlJc w:val="left"/>
      <w:pPr>
        <w:tabs>
          <w:tab w:val="num" w:pos="5760"/>
        </w:tabs>
        <w:ind w:left="5760" w:hanging="360"/>
      </w:pPr>
      <w:rPr>
        <w:rFonts w:ascii="Courier New" w:hAnsi="Courier New"/>
      </w:rPr>
    </w:lvl>
    <w:lvl w:ilvl="8" w:tplc="CF28C4D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E10AC160">
      <w:start w:val="1"/>
      <w:numFmt w:val="bullet"/>
      <w:lvlText w:val=""/>
      <w:lvlJc w:val="left"/>
      <w:pPr>
        <w:ind w:left="720" w:hanging="360"/>
      </w:pPr>
      <w:rPr>
        <w:rFonts w:ascii="Symbol" w:hAnsi="Symbol"/>
      </w:rPr>
    </w:lvl>
    <w:lvl w:ilvl="1" w:tplc="1B32CD78">
      <w:start w:val="1"/>
      <w:numFmt w:val="bullet"/>
      <w:lvlText w:val="o"/>
      <w:lvlJc w:val="left"/>
      <w:pPr>
        <w:tabs>
          <w:tab w:val="num" w:pos="1440"/>
        </w:tabs>
        <w:ind w:left="1440" w:hanging="360"/>
      </w:pPr>
      <w:rPr>
        <w:rFonts w:ascii="Courier New" w:hAnsi="Courier New"/>
      </w:rPr>
    </w:lvl>
    <w:lvl w:ilvl="2" w:tplc="F3709A04">
      <w:start w:val="1"/>
      <w:numFmt w:val="bullet"/>
      <w:lvlText w:val=""/>
      <w:lvlJc w:val="left"/>
      <w:pPr>
        <w:tabs>
          <w:tab w:val="num" w:pos="2160"/>
        </w:tabs>
        <w:ind w:left="2160" w:hanging="360"/>
      </w:pPr>
      <w:rPr>
        <w:rFonts w:ascii="Wingdings" w:hAnsi="Wingdings"/>
      </w:rPr>
    </w:lvl>
    <w:lvl w:ilvl="3" w:tplc="F9389800">
      <w:start w:val="1"/>
      <w:numFmt w:val="bullet"/>
      <w:lvlText w:val=""/>
      <w:lvlJc w:val="left"/>
      <w:pPr>
        <w:tabs>
          <w:tab w:val="num" w:pos="2880"/>
        </w:tabs>
        <w:ind w:left="2880" w:hanging="360"/>
      </w:pPr>
      <w:rPr>
        <w:rFonts w:ascii="Symbol" w:hAnsi="Symbol"/>
      </w:rPr>
    </w:lvl>
    <w:lvl w:ilvl="4" w:tplc="D3B0C5AA">
      <w:start w:val="1"/>
      <w:numFmt w:val="bullet"/>
      <w:lvlText w:val="o"/>
      <w:lvlJc w:val="left"/>
      <w:pPr>
        <w:tabs>
          <w:tab w:val="num" w:pos="3600"/>
        </w:tabs>
        <w:ind w:left="3600" w:hanging="360"/>
      </w:pPr>
      <w:rPr>
        <w:rFonts w:ascii="Courier New" w:hAnsi="Courier New"/>
      </w:rPr>
    </w:lvl>
    <w:lvl w:ilvl="5" w:tplc="ADF6657A">
      <w:start w:val="1"/>
      <w:numFmt w:val="bullet"/>
      <w:lvlText w:val=""/>
      <w:lvlJc w:val="left"/>
      <w:pPr>
        <w:tabs>
          <w:tab w:val="num" w:pos="4320"/>
        </w:tabs>
        <w:ind w:left="4320" w:hanging="360"/>
      </w:pPr>
      <w:rPr>
        <w:rFonts w:ascii="Wingdings" w:hAnsi="Wingdings"/>
      </w:rPr>
    </w:lvl>
    <w:lvl w:ilvl="6" w:tplc="850A5CAE">
      <w:start w:val="1"/>
      <w:numFmt w:val="bullet"/>
      <w:lvlText w:val=""/>
      <w:lvlJc w:val="left"/>
      <w:pPr>
        <w:tabs>
          <w:tab w:val="num" w:pos="5040"/>
        </w:tabs>
        <w:ind w:left="5040" w:hanging="360"/>
      </w:pPr>
      <w:rPr>
        <w:rFonts w:ascii="Symbol" w:hAnsi="Symbol"/>
      </w:rPr>
    </w:lvl>
    <w:lvl w:ilvl="7" w:tplc="01C8A614">
      <w:start w:val="1"/>
      <w:numFmt w:val="bullet"/>
      <w:lvlText w:val="o"/>
      <w:lvlJc w:val="left"/>
      <w:pPr>
        <w:tabs>
          <w:tab w:val="num" w:pos="5760"/>
        </w:tabs>
        <w:ind w:left="5760" w:hanging="360"/>
      </w:pPr>
      <w:rPr>
        <w:rFonts w:ascii="Courier New" w:hAnsi="Courier New"/>
      </w:rPr>
    </w:lvl>
    <w:lvl w:ilvl="8" w:tplc="E19CC60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A62A74C">
      <w:start w:val="1"/>
      <w:numFmt w:val="bullet"/>
      <w:lvlText w:val=""/>
      <w:lvlJc w:val="left"/>
      <w:pPr>
        <w:ind w:left="720" w:hanging="360"/>
      </w:pPr>
      <w:rPr>
        <w:rFonts w:ascii="Symbol" w:hAnsi="Symbol"/>
      </w:rPr>
    </w:lvl>
    <w:lvl w:ilvl="1" w:tplc="B5306A30">
      <w:start w:val="1"/>
      <w:numFmt w:val="bullet"/>
      <w:lvlText w:val="o"/>
      <w:lvlJc w:val="left"/>
      <w:pPr>
        <w:tabs>
          <w:tab w:val="num" w:pos="1440"/>
        </w:tabs>
        <w:ind w:left="1440" w:hanging="360"/>
      </w:pPr>
      <w:rPr>
        <w:rFonts w:ascii="Courier New" w:hAnsi="Courier New"/>
      </w:rPr>
    </w:lvl>
    <w:lvl w:ilvl="2" w:tplc="0E7AB0AC">
      <w:start w:val="1"/>
      <w:numFmt w:val="bullet"/>
      <w:lvlText w:val=""/>
      <w:lvlJc w:val="left"/>
      <w:pPr>
        <w:tabs>
          <w:tab w:val="num" w:pos="2160"/>
        </w:tabs>
        <w:ind w:left="2160" w:hanging="360"/>
      </w:pPr>
      <w:rPr>
        <w:rFonts w:ascii="Wingdings" w:hAnsi="Wingdings"/>
      </w:rPr>
    </w:lvl>
    <w:lvl w:ilvl="3" w:tplc="23EEE7A0">
      <w:start w:val="1"/>
      <w:numFmt w:val="bullet"/>
      <w:lvlText w:val=""/>
      <w:lvlJc w:val="left"/>
      <w:pPr>
        <w:tabs>
          <w:tab w:val="num" w:pos="2880"/>
        </w:tabs>
        <w:ind w:left="2880" w:hanging="360"/>
      </w:pPr>
      <w:rPr>
        <w:rFonts w:ascii="Symbol" w:hAnsi="Symbol"/>
      </w:rPr>
    </w:lvl>
    <w:lvl w:ilvl="4" w:tplc="A9FCAD62">
      <w:start w:val="1"/>
      <w:numFmt w:val="bullet"/>
      <w:lvlText w:val="o"/>
      <w:lvlJc w:val="left"/>
      <w:pPr>
        <w:tabs>
          <w:tab w:val="num" w:pos="3600"/>
        </w:tabs>
        <w:ind w:left="3600" w:hanging="360"/>
      </w:pPr>
      <w:rPr>
        <w:rFonts w:ascii="Courier New" w:hAnsi="Courier New"/>
      </w:rPr>
    </w:lvl>
    <w:lvl w:ilvl="5" w:tplc="3034A8E6">
      <w:start w:val="1"/>
      <w:numFmt w:val="bullet"/>
      <w:lvlText w:val=""/>
      <w:lvlJc w:val="left"/>
      <w:pPr>
        <w:tabs>
          <w:tab w:val="num" w:pos="4320"/>
        </w:tabs>
        <w:ind w:left="4320" w:hanging="360"/>
      </w:pPr>
      <w:rPr>
        <w:rFonts w:ascii="Wingdings" w:hAnsi="Wingdings"/>
      </w:rPr>
    </w:lvl>
    <w:lvl w:ilvl="6" w:tplc="0016B904">
      <w:start w:val="1"/>
      <w:numFmt w:val="bullet"/>
      <w:lvlText w:val=""/>
      <w:lvlJc w:val="left"/>
      <w:pPr>
        <w:tabs>
          <w:tab w:val="num" w:pos="5040"/>
        </w:tabs>
        <w:ind w:left="5040" w:hanging="360"/>
      </w:pPr>
      <w:rPr>
        <w:rFonts w:ascii="Symbol" w:hAnsi="Symbol"/>
      </w:rPr>
    </w:lvl>
    <w:lvl w:ilvl="7" w:tplc="73669C40">
      <w:start w:val="1"/>
      <w:numFmt w:val="bullet"/>
      <w:lvlText w:val="o"/>
      <w:lvlJc w:val="left"/>
      <w:pPr>
        <w:tabs>
          <w:tab w:val="num" w:pos="5760"/>
        </w:tabs>
        <w:ind w:left="5760" w:hanging="360"/>
      </w:pPr>
      <w:rPr>
        <w:rFonts w:ascii="Courier New" w:hAnsi="Courier New"/>
      </w:rPr>
    </w:lvl>
    <w:lvl w:ilvl="8" w:tplc="ADBC725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005E50D0">
      <w:start w:val="1"/>
      <w:numFmt w:val="bullet"/>
      <w:lvlText w:val=""/>
      <w:lvlJc w:val="left"/>
      <w:pPr>
        <w:ind w:left="720" w:hanging="360"/>
      </w:pPr>
      <w:rPr>
        <w:rFonts w:ascii="Symbol" w:hAnsi="Symbol"/>
      </w:rPr>
    </w:lvl>
    <w:lvl w:ilvl="1" w:tplc="B0FC4D24">
      <w:start w:val="1"/>
      <w:numFmt w:val="bullet"/>
      <w:lvlText w:val="o"/>
      <w:lvlJc w:val="left"/>
      <w:pPr>
        <w:tabs>
          <w:tab w:val="num" w:pos="1440"/>
        </w:tabs>
        <w:ind w:left="1440" w:hanging="360"/>
      </w:pPr>
      <w:rPr>
        <w:rFonts w:ascii="Courier New" w:hAnsi="Courier New"/>
      </w:rPr>
    </w:lvl>
    <w:lvl w:ilvl="2" w:tplc="F1B652BE">
      <w:start w:val="1"/>
      <w:numFmt w:val="bullet"/>
      <w:lvlText w:val=""/>
      <w:lvlJc w:val="left"/>
      <w:pPr>
        <w:tabs>
          <w:tab w:val="num" w:pos="2160"/>
        </w:tabs>
        <w:ind w:left="2160" w:hanging="360"/>
      </w:pPr>
      <w:rPr>
        <w:rFonts w:ascii="Wingdings" w:hAnsi="Wingdings"/>
      </w:rPr>
    </w:lvl>
    <w:lvl w:ilvl="3" w:tplc="C360D79A">
      <w:start w:val="1"/>
      <w:numFmt w:val="bullet"/>
      <w:lvlText w:val=""/>
      <w:lvlJc w:val="left"/>
      <w:pPr>
        <w:tabs>
          <w:tab w:val="num" w:pos="2880"/>
        </w:tabs>
        <w:ind w:left="2880" w:hanging="360"/>
      </w:pPr>
      <w:rPr>
        <w:rFonts w:ascii="Symbol" w:hAnsi="Symbol"/>
      </w:rPr>
    </w:lvl>
    <w:lvl w:ilvl="4" w:tplc="E5544A58">
      <w:start w:val="1"/>
      <w:numFmt w:val="bullet"/>
      <w:lvlText w:val="o"/>
      <w:lvlJc w:val="left"/>
      <w:pPr>
        <w:tabs>
          <w:tab w:val="num" w:pos="3600"/>
        </w:tabs>
        <w:ind w:left="3600" w:hanging="360"/>
      </w:pPr>
      <w:rPr>
        <w:rFonts w:ascii="Courier New" w:hAnsi="Courier New"/>
      </w:rPr>
    </w:lvl>
    <w:lvl w:ilvl="5" w:tplc="9828D13E">
      <w:start w:val="1"/>
      <w:numFmt w:val="bullet"/>
      <w:lvlText w:val=""/>
      <w:lvlJc w:val="left"/>
      <w:pPr>
        <w:tabs>
          <w:tab w:val="num" w:pos="4320"/>
        </w:tabs>
        <w:ind w:left="4320" w:hanging="360"/>
      </w:pPr>
      <w:rPr>
        <w:rFonts w:ascii="Wingdings" w:hAnsi="Wingdings"/>
      </w:rPr>
    </w:lvl>
    <w:lvl w:ilvl="6" w:tplc="C780F0AE">
      <w:start w:val="1"/>
      <w:numFmt w:val="bullet"/>
      <w:lvlText w:val=""/>
      <w:lvlJc w:val="left"/>
      <w:pPr>
        <w:tabs>
          <w:tab w:val="num" w:pos="5040"/>
        </w:tabs>
        <w:ind w:left="5040" w:hanging="360"/>
      </w:pPr>
      <w:rPr>
        <w:rFonts w:ascii="Symbol" w:hAnsi="Symbol"/>
      </w:rPr>
    </w:lvl>
    <w:lvl w:ilvl="7" w:tplc="C9C2CB2A">
      <w:start w:val="1"/>
      <w:numFmt w:val="bullet"/>
      <w:lvlText w:val="o"/>
      <w:lvlJc w:val="left"/>
      <w:pPr>
        <w:tabs>
          <w:tab w:val="num" w:pos="5760"/>
        </w:tabs>
        <w:ind w:left="5760" w:hanging="360"/>
      </w:pPr>
      <w:rPr>
        <w:rFonts w:ascii="Courier New" w:hAnsi="Courier New"/>
      </w:rPr>
    </w:lvl>
    <w:lvl w:ilvl="8" w:tplc="C3DC673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16783C22">
      <w:start w:val="1"/>
      <w:numFmt w:val="bullet"/>
      <w:lvlText w:val=""/>
      <w:lvlJc w:val="left"/>
      <w:pPr>
        <w:ind w:left="720" w:hanging="360"/>
      </w:pPr>
      <w:rPr>
        <w:rFonts w:ascii="Symbol" w:hAnsi="Symbol"/>
      </w:rPr>
    </w:lvl>
    <w:lvl w:ilvl="1" w:tplc="599E6AEE">
      <w:start w:val="1"/>
      <w:numFmt w:val="bullet"/>
      <w:lvlText w:val="o"/>
      <w:lvlJc w:val="left"/>
      <w:pPr>
        <w:tabs>
          <w:tab w:val="num" w:pos="1440"/>
        </w:tabs>
        <w:ind w:left="1440" w:hanging="360"/>
      </w:pPr>
      <w:rPr>
        <w:rFonts w:ascii="Courier New" w:hAnsi="Courier New"/>
      </w:rPr>
    </w:lvl>
    <w:lvl w:ilvl="2" w:tplc="96D283A6">
      <w:start w:val="1"/>
      <w:numFmt w:val="bullet"/>
      <w:lvlText w:val=""/>
      <w:lvlJc w:val="left"/>
      <w:pPr>
        <w:tabs>
          <w:tab w:val="num" w:pos="2160"/>
        </w:tabs>
        <w:ind w:left="2160" w:hanging="360"/>
      </w:pPr>
      <w:rPr>
        <w:rFonts w:ascii="Wingdings" w:hAnsi="Wingdings"/>
      </w:rPr>
    </w:lvl>
    <w:lvl w:ilvl="3" w:tplc="0132516A">
      <w:start w:val="1"/>
      <w:numFmt w:val="bullet"/>
      <w:lvlText w:val=""/>
      <w:lvlJc w:val="left"/>
      <w:pPr>
        <w:tabs>
          <w:tab w:val="num" w:pos="2880"/>
        </w:tabs>
        <w:ind w:left="2880" w:hanging="360"/>
      </w:pPr>
      <w:rPr>
        <w:rFonts w:ascii="Symbol" w:hAnsi="Symbol"/>
      </w:rPr>
    </w:lvl>
    <w:lvl w:ilvl="4" w:tplc="E51C24A8">
      <w:start w:val="1"/>
      <w:numFmt w:val="bullet"/>
      <w:lvlText w:val="o"/>
      <w:lvlJc w:val="left"/>
      <w:pPr>
        <w:tabs>
          <w:tab w:val="num" w:pos="3600"/>
        </w:tabs>
        <w:ind w:left="3600" w:hanging="360"/>
      </w:pPr>
      <w:rPr>
        <w:rFonts w:ascii="Courier New" w:hAnsi="Courier New"/>
      </w:rPr>
    </w:lvl>
    <w:lvl w:ilvl="5" w:tplc="CA06BDD8">
      <w:start w:val="1"/>
      <w:numFmt w:val="bullet"/>
      <w:lvlText w:val=""/>
      <w:lvlJc w:val="left"/>
      <w:pPr>
        <w:tabs>
          <w:tab w:val="num" w:pos="4320"/>
        </w:tabs>
        <w:ind w:left="4320" w:hanging="360"/>
      </w:pPr>
      <w:rPr>
        <w:rFonts w:ascii="Wingdings" w:hAnsi="Wingdings"/>
      </w:rPr>
    </w:lvl>
    <w:lvl w:ilvl="6" w:tplc="BA0CE062">
      <w:start w:val="1"/>
      <w:numFmt w:val="bullet"/>
      <w:lvlText w:val=""/>
      <w:lvlJc w:val="left"/>
      <w:pPr>
        <w:tabs>
          <w:tab w:val="num" w:pos="5040"/>
        </w:tabs>
        <w:ind w:left="5040" w:hanging="360"/>
      </w:pPr>
      <w:rPr>
        <w:rFonts w:ascii="Symbol" w:hAnsi="Symbol"/>
      </w:rPr>
    </w:lvl>
    <w:lvl w:ilvl="7" w:tplc="C218A630">
      <w:start w:val="1"/>
      <w:numFmt w:val="bullet"/>
      <w:lvlText w:val="o"/>
      <w:lvlJc w:val="left"/>
      <w:pPr>
        <w:tabs>
          <w:tab w:val="num" w:pos="5760"/>
        </w:tabs>
        <w:ind w:left="5760" w:hanging="360"/>
      </w:pPr>
      <w:rPr>
        <w:rFonts w:ascii="Courier New" w:hAnsi="Courier New"/>
      </w:rPr>
    </w:lvl>
    <w:lvl w:ilvl="8" w:tplc="FF96DFC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A5D6A868">
      <w:start w:val="1"/>
      <w:numFmt w:val="bullet"/>
      <w:lvlText w:val=""/>
      <w:lvlJc w:val="left"/>
      <w:pPr>
        <w:ind w:left="720" w:hanging="360"/>
      </w:pPr>
      <w:rPr>
        <w:rFonts w:ascii="Symbol" w:hAnsi="Symbol"/>
      </w:rPr>
    </w:lvl>
    <w:lvl w:ilvl="1" w:tplc="3766C00A">
      <w:start w:val="1"/>
      <w:numFmt w:val="bullet"/>
      <w:lvlText w:val="o"/>
      <w:lvlJc w:val="left"/>
      <w:pPr>
        <w:tabs>
          <w:tab w:val="num" w:pos="1440"/>
        </w:tabs>
        <w:ind w:left="1440" w:hanging="360"/>
      </w:pPr>
      <w:rPr>
        <w:rFonts w:ascii="Courier New" w:hAnsi="Courier New"/>
      </w:rPr>
    </w:lvl>
    <w:lvl w:ilvl="2" w:tplc="F72E2FC8">
      <w:start w:val="1"/>
      <w:numFmt w:val="bullet"/>
      <w:lvlText w:val=""/>
      <w:lvlJc w:val="left"/>
      <w:pPr>
        <w:tabs>
          <w:tab w:val="num" w:pos="2160"/>
        </w:tabs>
        <w:ind w:left="2160" w:hanging="360"/>
      </w:pPr>
      <w:rPr>
        <w:rFonts w:ascii="Wingdings" w:hAnsi="Wingdings"/>
      </w:rPr>
    </w:lvl>
    <w:lvl w:ilvl="3" w:tplc="7744F5FC">
      <w:start w:val="1"/>
      <w:numFmt w:val="bullet"/>
      <w:lvlText w:val=""/>
      <w:lvlJc w:val="left"/>
      <w:pPr>
        <w:tabs>
          <w:tab w:val="num" w:pos="2880"/>
        </w:tabs>
        <w:ind w:left="2880" w:hanging="360"/>
      </w:pPr>
      <w:rPr>
        <w:rFonts w:ascii="Symbol" w:hAnsi="Symbol"/>
      </w:rPr>
    </w:lvl>
    <w:lvl w:ilvl="4" w:tplc="512090B4">
      <w:start w:val="1"/>
      <w:numFmt w:val="bullet"/>
      <w:lvlText w:val="o"/>
      <w:lvlJc w:val="left"/>
      <w:pPr>
        <w:tabs>
          <w:tab w:val="num" w:pos="3600"/>
        </w:tabs>
        <w:ind w:left="3600" w:hanging="360"/>
      </w:pPr>
      <w:rPr>
        <w:rFonts w:ascii="Courier New" w:hAnsi="Courier New"/>
      </w:rPr>
    </w:lvl>
    <w:lvl w:ilvl="5" w:tplc="E3BAD9B8">
      <w:start w:val="1"/>
      <w:numFmt w:val="bullet"/>
      <w:lvlText w:val=""/>
      <w:lvlJc w:val="left"/>
      <w:pPr>
        <w:tabs>
          <w:tab w:val="num" w:pos="4320"/>
        </w:tabs>
        <w:ind w:left="4320" w:hanging="360"/>
      </w:pPr>
      <w:rPr>
        <w:rFonts w:ascii="Wingdings" w:hAnsi="Wingdings"/>
      </w:rPr>
    </w:lvl>
    <w:lvl w:ilvl="6" w:tplc="E97AB508">
      <w:start w:val="1"/>
      <w:numFmt w:val="bullet"/>
      <w:lvlText w:val=""/>
      <w:lvlJc w:val="left"/>
      <w:pPr>
        <w:tabs>
          <w:tab w:val="num" w:pos="5040"/>
        </w:tabs>
        <w:ind w:left="5040" w:hanging="360"/>
      </w:pPr>
      <w:rPr>
        <w:rFonts w:ascii="Symbol" w:hAnsi="Symbol"/>
      </w:rPr>
    </w:lvl>
    <w:lvl w:ilvl="7" w:tplc="A9B8988A">
      <w:start w:val="1"/>
      <w:numFmt w:val="bullet"/>
      <w:lvlText w:val="o"/>
      <w:lvlJc w:val="left"/>
      <w:pPr>
        <w:tabs>
          <w:tab w:val="num" w:pos="5760"/>
        </w:tabs>
        <w:ind w:left="5760" w:hanging="360"/>
      </w:pPr>
      <w:rPr>
        <w:rFonts w:ascii="Courier New" w:hAnsi="Courier New"/>
      </w:rPr>
    </w:lvl>
    <w:lvl w:ilvl="8" w:tplc="4BC2CF94">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E2241D1A">
      <w:start w:val="1"/>
      <w:numFmt w:val="bullet"/>
      <w:lvlText w:val=""/>
      <w:lvlJc w:val="left"/>
      <w:pPr>
        <w:ind w:left="720" w:hanging="360"/>
      </w:pPr>
      <w:rPr>
        <w:rFonts w:ascii="Symbol" w:hAnsi="Symbol"/>
      </w:rPr>
    </w:lvl>
    <w:lvl w:ilvl="1" w:tplc="F58E0320">
      <w:start w:val="1"/>
      <w:numFmt w:val="bullet"/>
      <w:lvlText w:val="o"/>
      <w:lvlJc w:val="left"/>
      <w:pPr>
        <w:tabs>
          <w:tab w:val="num" w:pos="1440"/>
        </w:tabs>
        <w:ind w:left="1440" w:hanging="360"/>
      </w:pPr>
      <w:rPr>
        <w:rFonts w:ascii="Courier New" w:hAnsi="Courier New"/>
      </w:rPr>
    </w:lvl>
    <w:lvl w:ilvl="2" w:tplc="55308658">
      <w:start w:val="1"/>
      <w:numFmt w:val="bullet"/>
      <w:lvlText w:val=""/>
      <w:lvlJc w:val="left"/>
      <w:pPr>
        <w:tabs>
          <w:tab w:val="num" w:pos="2160"/>
        </w:tabs>
        <w:ind w:left="2160" w:hanging="360"/>
      </w:pPr>
      <w:rPr>
        <w:rFonts w:ascii="Wingdings" w:hAnsi="Wingdings"/>
      </w:rPr>
    </w:lvl>
    <w:lvl w:ilvl="3" w:tplc="738EA754">
      <w:start w:val="1"/>
      <w:numFmt w:val="bullet"/>
      <w:lvlText w:val=""/>
      <w:lvlJc w:val="left"/>
      <w:pPr>
        <w:tabs>
          <w:tab w:val="num" w:pos="2880"/>
        </w:tabs>
        <w:ind w:left="2880" w:hanging="360"/>
      </w:pPr>
      <w:rPr>
        <w:rFonts w:ascii="Symbol" w:hAnsi="Symbol"/>
      </w:rPr>
    </w:lvl>
    <w:lvl w:ilvl="4" w:tplc="B8309556">
      <w:start w:val="1"/>
      <w:numFmt w:val="bullet"/>
      <w:lvlText w:val="o"/>
      <w:lvlJc w:val="left"/>
      <w:pPr>
        <w:tabs>
          <w:tab w:val="num" w:pos="3600"/>
        </w:tabs>
        <w:ind w:left="3600" w:hanging="360"/>
      </w:pPr>
      <w:rPr>
        <w:rFonts w:ascii="Courier New" w:hAnsi="Courier New"/>
      </w:rPr>
    </w:lvl>
    <w:lvl w:ilvl="5" w:tplc="7A20C0D8">
      <w:start w:val="1"/>
      <w:numFmt w:val="bullet"/>
      <w:lvlText w:val=""/>
      <w:lvlJc w:val="left"/>
      <w:pPr>
        <w:tabs>
          <w:tab w:val="num" w:pos="4320"/>
        </w:tabs>
        <w:ind w:left="4320" w:hanging="360"/>
      </w:pPr>
      <w:rPr>
        <w:rFonts w:ascii="Wingdings" w:hAnsi="Wingdings"/>
      </w:rPr>
    </w:lvl>
    <w:lvl w:ilvl="6" w:tplc="BE9E3FDA">
      <w:start w:val="1"/>
      <w:numFmt w:val="bullet"/>
      <w:lvlText w:val=""/>
      <w:lvlJc w:val="left"/>
      <w:pPr>
        <w:tabs>
          <w:tab w:val="num" w:pos="5040"/>
        </w:tabs>
        <w:ind w:left="5040" w:hanging="360"/>
      </w:pPr>
      <w:rPr>
        <w:rFonts w:ascii="Symbol" w:hAnsi="Symbol"/>
      </w:rPr>
    </w:lvl>
    <w:lvl w:ilvl="7" w:tplc="11C4144E">
      <w:start w:val="1"/>
      <w:numFmt w:val="bullet"/>
      <w:lvlText w:val="o"/>
      <w:lvlJc w:val="left"/>
      <w:pPr>
        <w:tabs>
          <w:tab w:val="num" w:pos="5760"/>
        </w:tabs>
        <w:ind w:left="5760" w:hanging="360"/>
      </w:pPr>
      <w:rPr>
        <w:rFonts w:ascii="Courier New" w:hAnsi="Courier New"/>
      </w:rPr>
    </w:lvl>
    <w:lvl w:ilvl="8" w:tplc="54861B0E">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7DA6BF94">
      <w:start w:val="1"/>
      <w:numFmt w:val="bullet"/>
      <w:lvlText w:val=""/>
      <w:lvlJc w:val="left"/>
      <w:pPr>
        <w:ind w:left="720" w:hanging="360"/>
      </w:pPr>
      <w:rPr>
        <w:rFonts w:ascii="Symbol" w:hAnsi="Symbol"/>
      </w:rPr>
    </w:lvl>
    <w:lvl w:ilvl="1" w:tplc="4398B018">
      <w:start w:val="1"/>
      <w:numFmt w:val="bullet"/>
      <w:lvlText w:val="o"/>
      <w:lvlJc w:val="left"/>
      <w:pPr>
        <w:tabs>
          <w:tab w:val="num" w:pos="1440"/>
        </w:tabs>
        <w:ind w:left="1440" w:hanging="360"/>
      </w:pPr>
      <w:rPr>
        <w:rFonts w:ascii="Courier New" w:hAnsi="Courier New"/>
      </w:rPr>
    </w:lvl>
    <w:lvl w:ilvl="2" w:tplc="2AD8F676">
      <w:start w:val="1"/>
      <w:numFmt w:val="bullet"/>
      <w:lvlText w:val=""/>
      <w:lvlJc w:val="left"/>
      <w:pPr>
        <w:tabs>
          <w:tab w:val="num" w:pos="2160"/>
        </w:tabs>
        <w:ind w:left="2160" w:hanging="360"/>
      </w:pPr>
      <w:rPr>
        <w:rFonts w:ascii="Wingdings" w:hAnsi="Wingdings"/>
      </w:rPr>
    </w:lvl>
    <w:lvl w:ilvl="3" w:tplc="C41624FA">
      <w:start w:val="1"/>
      <w:numFmt w:val="bullet"/>
      <w:lvlText w:val=""/>
      <w:lvlJc w:val="left"/>
      <w:pPr>
        <w:tabs>
          <w:tab w:val="num" w:pos="2880"/>
        </w:tabs>
        <w:ind w:left="2880" w:hanging="360"/>
      </w:pPr>
      <w:rPr>
        <w:rFonts w:ascii="Symbol" w:hAnsi="Symbol"/>
      </w:rPr>
    </w:lvl>
    <w:lvl w:ilvl="4" w:tplc="E4E26EA2">
      <w:start w:val="1"/>
      <w:numFmt w:val="bullet"/>
      <w:lvlText w:val="o"/>
      <w:lvlJc w:val="left"/>
      <w:pPr>
        <w:tabs>
          <w:tab w:val="num" w:pos="3600"/>
        </w:tabs>
        <w:ind w:left="3600" w:hanging="360"/>
      </w:pPr>
      <w:rPr>
        <w:rFonts w:ascii="Courier New" w:hAnsi="Courier New"/>
      </w:rPr>
    </w:lvl>
    <w:lvl w:ilvl="5" w:tplc="9608504E">
      <w:start w:val="1"/>
      <w:numFmt w:val="bullet"/>
      <w:lvlText w:val=""/>
      <w:lvlJc w:val="left"/>
      <w:pPr>
        <w:tabs>
          <w:tab w:val="num" w:pos="4320"/>
        </w:tabs>
        <w:ind w:left="4320" w:hanging="360"/>
      </w:pPr>
      <w:rPr>
        <w:rFonts w:ascii="Wingdings" w:hAnsi="Wingdings"/>
      </w:rPr>
    </w:lvl>
    <w:lvl w:ilvl="6" w:tplc="31E6D596">
      <w:start w:val="1"/>
      <w:numFmt w:val="bullet"/>
      <w:lvlText w:val=""/>
      <w:lvlJc w:val="left"/>
      <w:pPr>
        <w:tabs>
          <w:tab w:val="num" w:pos="5040"/>
        </w:tabs>
        <w:ind w:left="5040" w:hanging="360"/>
      </w:pPr>
      <w:rPr>
        <w:rFonts w:ascii="Symbol" w:hAnsi="Symbol"/>
      </w:rPr>
    </w:lvl>
    <w:lvl w:ilvl="7" w:tplc="5F9C4998">
      <w:start w:val="1"/>
      <w:numFmt w:val="bullet"/>
      <w:lvlText w:val="o"/>
      <w:lvlJc w:val="left"/>
      <w:pPr>
        <w:tabs>
          <w:tab w:val="num" w:pos="5760"/>
        </w:tabs>
        <w:ind w:left="5760" w:hanging="360"/>
      </w:pPr>
      <w:rPr>
        <w:rFonts w:ascii="Courier New" w:hAnsi="Courier New"/>
      </w:rPr>
    </w:lvl>
    <w:lvl w:ilvl="8" w:tplc="A888FA7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07B61898">
      <w:start w:val="1"/>
      <w:numFmt w:val="bullet"/>
      <w:lvlText w:val=""/>
      <w:lvlJc w:val="left"/>
      <w:pPr>
        <w:ind w:left="720" w:hanging="360"/>
      </w:pPr>
      <w:rPr>
        <w:rFonts w:ascii="Symbol" w:hAnsi="Symbol"/>
      </w:rPr>
    </w:lvl>
    <w:lvl w:ilvl="1" w:tplc="D9FE88A2">
      <w:start w:val="1"/>
      <w:numFmt w:val="bullet"/>
      <w:lvlText w:val="o"/>
      <w:lvlJc w:val="left"/>
      <w:pPr>
        <w:tabs>
          <w:tab w:val="num" w:pos="1440"/>
        </w:tabs>
        <w:ind w:left="1440" w:hanging="360"/>
      </w:pPr>
      <w:rPr>
        <w:rFonts w:ascii="Courier New" w:hAnsi="Courier New"/>
      </w:rPr>
    </w:lvl>
    <w:lvl w:ilvl="2" w:tplc="41A0F258">
      <w:start w:val="1"/>
      <w:numFmt w:val="bullet"/>
      <w:lvlText w:val=""/>
      <w:lvlJc w:val="left"/>
      <w:pPr>
        <w:tabs>
          <w:tab w:val="num" w:pos="2160"/>
        </w:tabs>
        <w:ind w:left="2160" w:hanging="360"/>
      </w:pPr>
      <w:rPr>
        <w:rFonts w:ascii="Wingdings" w:hAnsi="Wingdings"/>
      </w:rPr>
    </w:lvl>
    <w:lvl w:ilvl="3" w:tplc="C4C8A874">
      <w:start w:val="1"/>
      <w:numFmt w:val="bullet"/>
      <w:lvlText w:val=""/>
      <w:lvlJc w:val="left"/>
      <w:pPr>
        <w:tabs>
          <w:tab w:val="num" w:pos="2880"/>
        </w:tabs>
        <w:ind w:left="2880" w:hanging="360"/>
      </w:pPr>
      <w:rPr>
        <w:rFonts w:ascii="Symbol" w:hAnsi="Symbol"/>
      </w:rPr>
    </w:lvl>
    <w:lvl w:ilvl="4" w:tplc="1EEA72D8">
      <w:start w:val="1"/>
      <w:numFmt w:val="bullet"/>
      <w:lvlText w:val="o"/>
      <w:lvlJc w:val="left"/>
      <w:pPr>
        <w:tabs>
          <w:tab w:val="num" w:pos="3600"/>
        </w:tabs>
        <w:ind w:left="3600" w:hanging="360"/>
      </w:pPr>
      <w:rPr>
        <w:rFonts w:ascii="Courier New" w:hAnsi="Courier New"/>
      </w:rPr>
    </w:lvl>
    <w:lvl w:ilvl="5" w:tplc="55564170">
      <w:start w:val="1"/>
      <w:numFmt w:val="bullet"/>
      <w:lvlText w:val=""/>
      <w:lvlJc w:val="left"/>
      <w:pPr>
        <w:tabs>
          <w:tab w:val="num" w:pos="4320"/>
        </w:tabs>
        <w:ind w:left="4320" w:hanging="360"/>
      </w:pPr>
      <w:rPr>
        <w:rFonts w:ascii="Wingdings" w:hAnsi="Wingdings"/>
      </w:rPr>
    </w:lvl>
    <w:lvl w:ilvl="6" w:tplc="FA7E4404">
      <w:start w:val="1"/>
      <w:numFmt w:val="bullet"/>
      <w:lvlText w:val=""/>
      <w:lvlJc w:val="left"/>
      <w:pPr>
        <w:tabs>
          <w:tab w:val="num" w:pos="5040"/>
        </w:tabs>
        <w:ind w:left="5040" w:hanging="360"/>
      </w:pPr>
      <w:rPr>
        <w:rFonts w:ascii="Symbol" w:hAnsi="Symbol"/>
      </w:rPr>
    </w:lvl>
    <w:lvl w:ilvl="7" w:tplc="CC08F424">
      <w:start w:val="1"/>
      <w:numFmt w:val="bullet"/>
      <w:lvlText w:val="o"/>
      <w:lvlJc w:val="left"/>
      <w:pPr>
        <w:tabs>
          <w:tab w:val="num" w:pos="5760"/>
        </w:tabs>
        <w:ind w:left="5760" w:hanging="360"/>
      </w:pPr>
      <w:rPr>
        <w:rFonts w:ascii="Courier New" w:hAnsi="Courier New"/>
      </w:rPr>
    </w:lvl>
    <w:lvl w:ilvl="8" w:tplc="B66A71D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7563050">
      <w:start w:val="1"/>
      <w:numFmt w:val="bullet"/>
      <w:lvlText w:val=""/>
      <w:lvlJc w:val="left"/>
      <w:pPr>
        <w:ind w:left="720" w:hanging="360"/>
      </w:pPr>
      <w:rPr>
        <w:rFonts w:ascii="Symbol" w:hAnsi="Symbol"/>
      </w:rPr>
    </w:lvl>
    <w:lvl w:ilvl="1" w:tplc="EFA087A6">
      <w:start w:val="1"/>
      <w:numFmt w:val="bullet"/>
      <w:lvlText w:val="o"/>
      <w:lvlJc w:val="left"/>
      <w:pPr>
        <w:tabs>
          <w:tab w:val="num" w:pos="1440"/>
        </w:tabs>
        <w:ind w:left="1440" w:hanging="360"/>
      </w:pPr>
      <w:rPr>
        <w:rFonts w:ascii="Courier New" w:hAnsi="Courier New"/>
      </w:rPr>
    </w:lvl>
    <w:lvl w:ilvl="2" w:tplc="73526F20">
      <w:start w:val="1"/>
      <w:numFmt w:val="bullet"/>
      <w:lvlText w:val=""/>
      <w:lvlJc w:val="left"/>
      <w:pPr>
        <w:tabs>
          <w:tab w:val="num" w:pos="2160"/>
        </w:tabs>
        <w:ind w:left="2160" w:hanging="360"/>
      </w:pPr>
      <w:rPr>
        <w:rFonts w:ascii="Wingdings" w:hAnsi="Wingdings"/>
      </w:rPr>
    </w:lvl>
    <w:lvl w:ilvl="3" w:tplc="ACB4EF36">
      <w:start w:val="1"/>
      <w:numFmt w:val="bullet"/>
      <w:lvlText w:val=""/>
      <w:lvlJc w:val="left"/>
      <w:pPr>
        <w:tabs>
          <w:tab w:val="num" w:pos="2880"/>
        </w:tabs>
        <w:ind w:left="2880" w:hanging="360"/>
      </w:pPr>
      <w:rPr>
        <w:rFonts w:ascii="Symbol" w:hAnsi="Symbol"/>
      </w:rPr>
    </w:lvl>
    <w:lvl w:ilvl="4" w:tplc="B2F28584">
      <w:start w:val="1"/>
      <w:numFmt w:val="bullet"/>
      <w:lvlText w:val="o"/>
      <w:lvlJc w:val="left"/>
      <w:pPr>
        <w:tabs>
          <w:tab w:val="num" w:pos="3600"/>
        </w:tabs>
        <w:ind w:left="3600" w:hanging="360"/>
      </w:pPr>
      <w:rPr>
        <w:rFonts w:ascii="Courier New" w:hAnsi="Courier New"/>
      </w:rPr>
    </w:lvl>
    <w:lvl w:ilvl="5" w:tplc="991E98A4">
      <w:start w:val="1"/>
      <w:numFmt w:val="bullet"/>
      <w:lvlText w:val=""/>
      <w:lvlJc w:val="left"/>
      <w:pPr>
        <w:tabs>
          <w:tab w:val="num" w:pos="4320"/>
        </w:tabs>
        <w:ind w:left="4320" w:hanging="360"/>
      </w:pPr>
      <w:rPr>
        <w:rFonts w:ascii="Wingdings" w:hAnsi="Wingdings"/>
      </w:rPr>
    </w:lvl>
    <w:lvl w:ilvl="6" w:tplc="774AEF6A">
      <w:start w:val="1"/>
      <w:numFmt w:val="bullet"/>
      <w:lvlText w:val=""/>
      <w:lvlJc w:val="left"/>
      <w:pPr>
        <w:tabs>
          <w:tab w:val="num" w:pos="5040"/>
        </w:tabs>
        <w:ind w:left="5040" w:hanging="360"/>
      </w:pPr>
      <w:rPr>
        <w:rFonts w:ascii="Symbol" w:hAnsi="Symbol"/>
      </w:rPr>
    </w:lvl>
    <w:lvl w:ilvl="7" w:tplc="3A727B3C">
      <w:start w:val="1"/>
      <w:numFmt w:val="bullet"/>
      <w:lvlText w:val="o"/>
      <w:lvlJc w:val="left"/>
      <w:pPr>
        <w:tabs>
          <w:tab w:val="num" w:pos="5760"/>
        </w:tabs>
        <w:ind w:left="5760" w:hanging="360"/>
      </w:pPr>
      <w:rPr>
        <w:rFonts w:ascii="Courier New" w:hAnsi="Courier New"/>
      </w:rPr>
    </w:lvl>
    <w:lvl w:ilvl="8" w:tplc="0D2EF84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E37A64A0">
      <w:start w:val="1"/>
      <w:numFmt w:val="bullet"/>
      <w:lvlText w:val=""/>
      <w:lvlJc w:val="left"/>
      <w:pPr>
        <w:ind w:left="720" w:hanging="360"/>
      </w:pPr>
      <w:rPr>
        <w:rFonts w:ascii="Symbol" w:hAnsi="Symbol"/>
      </w:rPr>
    </w:lvl>
    <w:lvl w:ilvl="1" w:tplc="D0DE8352">
      <w:start w:val="1"/>
      <w:numFmt w:val="bullet"/>
      <w:lvlText w:val="o"/>
      <w:lvlJc w:val="left"/>
      <w:pPr>
        <w:tabs>
          <w:tab w:val="num" w:pos="1440"/>
        </w:tabs>
        <w:ind w:left="1440" w:hanging="360"/>
      </w:pPr>
      <w:rPr>
        <w:rFonts w:ascii="Courier New" w:hAnsi="Courier New"/>
      </w:rPr>
    </w:lvl>
    <w:lvl w:ilvl="2" w:tplc="5AE6800C">
      <w:start w:val="1"/>
      <w:numFmt w:val="bullet"/>
      <w:lvlText w:val=""/>
      <w:lvlJc w:val="left"/>
      <w:pPr>
        <w:tabs>
          <w:tab w:val="num" w:pos="2160"/>
        </w:tabs>
        <w:ind w:left="2160" w:hanging="360"/>
      </w:pPr>
      <w:rPr>
        <w:rFonts w:ascii="Wingdings" w:hAnsi="Wingdings"/>
      </w:rPr>
    </w:lvl>
    <w:lvl w:ilvl="3" w:tplc="C34601B0">
      <w:start w:val="1"/>
      <w:numFmt w:val="bullet"/>
      <w:lvlText w:val=""/>
      <w:lvlJc w:val="left"/>
      <w:pPr>
        <w:tabs>
          <w:tab w:val="num" w:pos="2880"/>
        </w:tabs>
        <w:ind w:left="2880" w:hanging="360"/>
      </w:pPr>
      <w:rPr>
        <w:rFonts w:ascii="Symbol" w:hAnsi="Symbol"/>
      </w:rPr>
    </w:lvl>
    <w:lvl w:ilvl="4" w:tplc="1F2A06B0">
      <w:start w:val="1"/>
      <w:numFmt w:val="bullet"/>
      <w:lvlText w:val="o"/>
      <w:lvlJc w:val="left"/>
      <w:pPr>
        <w:tabs>
          <w:tab w:val="num" w:pos="3600"/>
        </w:tabs>
        <w:ind w:left="3600" w:hanging="360"/>
      </w:pPr>
      <w:rPr>
        <w:rFonts w:ascii="Courier New" w:hAnsi="Courier New"/>
      </w:rPr>
    </w:lvl>
    <w:lvl w:ilvl="5" w:tplc="0CDC98EE">
      <w:start w:val="1"/>
      <w:numFmt w:val="bullet"/>
      <w:lvlText w:val=""/>
      <w:lvlJc w:val="left"/>
      <w:pPr>
        <w:tabs>
          <w:tab w:val="num" w:pos="4320"/>
        </w:tabs>
        <w:ind w:left="4320" w:hanging="360"/>
      </w:pPr>
      <w:rPr>
        <w:rFonts w:ascii="Wingdings" w:hAnsi="Wingdings"/>
      </w:rPr>
    </w:lvl>
    <w:lvl w:ilvl="6" w:tplc="925A2540">
      <w:start w:val="1"/>
      <w:numFmt w:val="bullet"/>
      <w:lvlText w:val=""/>
      <w:lvlJc w:val="left"/>
      <w:pPr>
        <w:tabs>
          <w:tab w:val="num" w:pos="5040"/>
        </w:tabs>
        <w:ind w:left="5040" w:hanging="360"/>
      </w:pPr>
      <w:rPr>
        <w:rFonts w:ascii="Symbol" w:hAnsi="Symbol"/>
      </w:rPr>
    </w:lvl>
    <w:lvl w:ilvl="7" w:tplc="5432804E">
      <w:start w:val="1"/>
      <w:numFmt w:val="bullet"/>
      <w:lvlText w:val="o"/>
      <w:lvlJc w:val="left"/>
      <w:pPr>
        <w:tabs>
          <w:tab w:val="num" w:pos="5760"/>
        </w:tabs>
        <w:ind w:left="5760" w:hanging="360"/>
      </w:pPr>
      <w:rPr>
        <w:rFonts w:ascii="Courier New" w:hAnsi="Courier New"/>
      </w:rPr>
    </w:lvl>
    <w:lvl w:ilvl="8" w:tplc="952E9E4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0A444E72">
      <w:start w:val="1"/>
      <w:numFmt w:val="bullet"/>
      <w:lvlText w:val=""/>
      <w:lvlJc w:val="left"/>
      <w:pPr>
        <w:ind w:left="720" w:hanging="360"/>
      </w:pPr>
      <w:rPr>
        <w:rFonts w:ascii="Symbol" w:hAnsi="Symbol"/>
      </w:rPr>
    </w:lvl>
    <w:lvl w:ilvl="1" w:tplc="EBB41852">
      <w:start w:val="1"/>
      <w:numFmt w:val="bullet"/>
      <w:lvlText w:val="o"/>
      <w:lvlJc w:val="left"/>
      <w:pPr>
        <w:tabs>
          <w:tab w:val="num" w:pos="1440"/>
        </w:tabs>
        <w:ind w:left="1440" w:hanging="360"/>
      </w:pPr>
      <w:rPr>
        <w:rFonts w:ascii="Courier New" w:hAnsi="Courier New"/>
      </w:rPr>
    </w:lvl>
    <w:lvl w:ilvl="2" w:tplc="81982C7C">
      <w:start w:val="1"/>
      <w:numFmt w:val="bullet"/>
      <w:lvlText w:val=""/>
      <w:lvlJc w:val="left"/>
      <w:pPr>
        <w:tabs>
          <w:tab w:val="num" w:pos="2160"/>
        </w:tabs>
        <w:ind w:left="2160" w:hanging="360"/>
      </w:pPr>
      <w:rPr>
        <w:rFonts w:ascii="Wingdings" w:hAnsi="Wingdings"/>
      </w:rPr>
    </w:lvl>
    <w:lvl w:ilvl="3" w:tplc="FEBC2A66">
      <w:start w:val="1"/>
      <w:numFmt w:val="bullet"/>
      <w:lvlText w:val=""/>
      <w:lvlJc w:val="left"/>
      <w:pPr>
        <w:tabs>
          <w:tab w:val="num" w:pos="2880"/>
        </w:tabs>
        <w:ind w:left="2880" w:hanging="360"/>
      </w:pPr>
      <w:rPr>
        <w:rFonts w:ascii="Symbol" w:hAnsi="Symbol"/>
      </w:rPr>
    </w:lvl>
    <w:lvl w:ilvl="4" w:tplc="0C78C5D0">
      <w:start w:val="1"/>
      <w:numFmt w:val="bullet"/>
      <w:lvlText w:val="o"/>
      <w:lvlJc w:val="left"/>
      <w:pPr>
        <w:tabs>
          <w:tab w:val="num" w:pos="3600"/>
        </w:tabs>
        <w:ind w:left="3600" w:hanging="360"/>
      </w:pPr>
      <w:rPr>
        <w:rFonts w:ascii="Courier New" w:hAnsi="Courier New"/>
      </w:rPr>
    </w:lvl>
    <w:lvl w:ilvl="5" w:tplc="52FCFCEC">
      <w:start w:val="1"/>
      <w:numFmt w:val="bullet"/>
      <w:lvlText w:val=""/>
      <w:lvlJc w:val="left"/>
      <w:pPr>
        <w:tabs>
          <w:tab w:val="num" w:pos="4320"/>
        </w:tabs>
        <w:ind w:left="4320" w:hanging="360"/>
      </w:pPr>
      <w:rPr>
        <w:rFonts w:ascii="Wingdings" w:hAnsi="Wingdings"/>
      </w:rPr>
    </w:lvl>
    <w:lvl w:ilvl="6" w:tplc="A83EE0A8">
      <w:start w:val="1"/>
      <w:numFmt w:val="bullet"/>
      <w:lvlText w:val=""/>
      <w:lvlJc w:val="left"/>
      <w:pPr>
        <w:tabs>
          <w:tab w:val="num" w:pos="5040"/>
        </w:tabs>
        <w:ind w:left="5040" w:hanging="360"/>
      </w:pPr>
      <w:rPr>
        <w:rFonts w:ascii="Symbol" w:hAnsi="Symbol"/>
      </w:rPr>
    </w:lvl>
    <w:lvl w:ilvl="7" w:tplc="49BC131A">
      <w:start w:val="1"/>
      <w:numFmt w:val="bullet"/>
      <w:lvlText w:val="o"/>
      <w:lvlJc w:val="left"/>
      <w:pPr>
        <w:tabs>
          <w:tab w:val="num" w:pos="5760"/>
        </w:tabs>
        <w:ind w:left="5760" w:hanging="360"/>
      </w:pPr>
      <w:rPr>
        <w:rFonts w:ascii="Courier New" w:hAnsi="Courier New"/>
      </w:rPr>
    </w:lvl>
    <w:lvl w:ilvl="8" w:tplc="2F32E53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51302848">
      <w:start w:val="1"/>
      <w:numFmt w:val="bullet"/>
      <w:lvlText w:val=""/>
      <w:lvlJc w:val="left"/>
      <w:pPr>
        <w:ind w:left="720" w:hanging="360"/>
      </w:pPr>
      <w:rPr>
        <w:rFonts w:ascii="Symbol" w:hAnsi="Symbol"/>
      </w:rPr>
    </w:lvl>
    <w:lvl w:ilvl="1" w:tplc="D2709586">
      <w:start w:val="1"/>
      <w:numFmt w:val="bullet"/>
      <w:lvlText w:val="o"/>
      <w:lvlJc w:val="left"/>
      <w:pPr>
        <w:tabs>
          <w:tab w:val="num" w:pos="1440"/>
        </w:tabs>
        <w:ind w:left="1440" w:hanging="360"/>
      </w:pPr>
      <w:rPr>
        <w:rFonts w:ascii="Courier New" w:hAnsi="Courier New"/>
      </w:rPr>
    </w:lvl>
    <w:lvl w:ilvl="2" w:tplc="C6C4FD48">
      <w:start w:val="1"/>
      <w:numFmt w:val="bullet"/>
      <w:lvlText w:val=""/>
      <w:lvlJc w:val="left"/>
      <w:pPr>
        <w:tabs>
          <w:tab w:val="num" w:pos="2160"/>
        </w:tabs>
        <w:ind w:left="2160" w:hanging="360"/>
      </w:pPr>
      <w:rPr>
        <w:rFonts w:ascii="Wingdings" w:hAnsi="Wingdings"/>
      </w:rPr>
    </w:lvl>
    <w:lvl w:ilvl="3" w:tplc="4D2C0C28">
      <w:start w:val="1"/>
      <w:numFmt w:val="bullet"/>
      <w:lvlText w:val=""/>
      <w:lvlJc w:val="left"/>
      <w:pPr>
        <w:tabs>
          <w:tab w:val="num" w:pos="2880"/>
        </w:tabs>
        <w:ind w:left="2880" w:hanging="360"/>
      </w:pPr>
      <w:rPr>
        <w:rFonts w:ascii="Symbol" w:hAnsi="Symbol"/>
      </w:rPr>
    </w:lvl>
    <w:lvl w:ilvl="4" w:tplc="B1A81758">
      <w:start w:val="1"/>
      <w:numFmt w:val="bullet"/>
      <w:lvlText w:val="o"/>
      <w:lvlJc w:val="left"/>
      <w:pPr>
        <w:tabs>
          <w:tab w:val="num" w:pos="3600"/>
        </w:tabs>
        <w:ind w:left="3600" w:hanging="360"/>
      </w:pPr>
      <w:rPr>
        <w:rFonts w:ascii="Courier New" w:hAnsi="Courier New"/>
      </w:rPr>
    </w:lvl>
    <w:lvl w:ilvl="5" w:tplc="CB5625A8">
      <w:start w:val="1"/>
      <w:numFmt w:val="bullet"/>
      <w:lvlText w:val=""/>
      <w:lvlJc w:val="left"/>
      <w:pPr>
        <w:tabs>
          <w:tab w:val="num" w:pos="4320"/>
        </w:tabs>
        <w:ind w:left="4320" w:hanging="360"/>
      </w:pPr>
      <w:rPr>
        <w:rFonts w:ascii="Wingdings" w:hAnsi="Wingdings"/>
      </w:rPr>
    </w:lvl>
    <w:lvl w:ilvl="6" w:tplc="EA7059E2">
      <w:start w:val="1"/>
      <w:numFmt w:val="bullet"/>
      <w:lvlText w:val=""/>
      <w:lvlJc w:val="left"/>
      <w:pPr>
        <w:tabs>
          <w:tab w:val="num" w:pos="5040"/>
        </w:tabs>
        <w:ind w:left="5040" w:hanging="360"/>
      </w:pPr>
      <w:rPr>
        <w:rFonts w:ascii="Symbol" w:hAnsi="Symbol"/>
      </w:rPr>
    </w:lvl>
    <w:lvl w:ilvl="7" w:tplc="B738573A">
      <w:start w:val="1"/>
      <w:numFmt w:val="bullet"/>
      <w:lvlText w:val="o"/>
      <w:lvlJc w:val="left"/>
      <w:pPr>
        <w:tabs>
          <w:tab w:val="num" w:pos="5760"/>
        </w:tabs>
        <w:ind w:left="5760" w:hanging="360"/>
      </w:pPr>
      <w:rPr>
        <w:rFonts w:ascii="Courier New" w:hAnsi="Courier New"/>
      </w:rPr>
    </w:lvl>
    <w:lvl w:ilvl="8" w:tplc="D61450F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BFE2EC48">
      <w:start w:val="1"/>
      <w:numFmt w:val="bullet"/>
      <w:lvlText w:val=""/>
      <w:lvlJc w:val="left"/>
      <w:pPr>
        <w:ind w:left="720" w:hanging="360"/>
      </w:pPr>
      <w:rPr>
        <w:rFonts w:ascii="Symbol" w:hAnsi="Symbol"/>
      </w:rPr>
    </w:lvl>
    <w:lvl w:ilvl="1" w:tplc="4EEAE3E8">
      <w:start w:val="1"/>
      <w:numFmt w:val="bullet"/>
      <w:lvlText w:val="o"/>
      <w:lvlJc w:val="left"/>
      <w:pPr>
        <w:tabs>
          <w:tab w:val="num" w:pos="1440"/>
        </w:tabs>
        <w:ind w:left="1440" w:hanging="360"/>
      </w:pPr>
      <w:rPr>
        <w:rFonts w:ascii="Courier New" w:hAnsi="Courier New"/>
      </w:rPr>
    </w:lvl>
    <w:lvl w:ilvl="2" w:tplc="C88EA6BE">
      <w:start w:val="1"/>
      <w:numFmt w:val="bullet"/>
      <w:lvlText w:val=""/>
      <w:lvlJc w:val="left"/>
      <w:pPr>
        <w:tabs>
          <w:tab w:val="num" w:pos="2160"/>
        </w:tabs>
        <w:ind w:left="2160" w:hanging="360"/>
      </w:pPr>
      <w:rPr>
        <w:rFonts w:ascii="Wingdings" w:hAnsi="Wingdings"/>
      </w:rPr>
    </w:lvl>
    <w:lvl w:ilvl="3" w:tplc="3142F836">
      <w:start w:val="1"/>
      <w:numFmt w:val="bullet"/>
      <w:lvlText w:val=""/>
      <w:lvlJc w:val="left"/>
      <w:pPr>
        <w:tabs>
          <w:tab w:val="num" w:pos="2880"/>
        </w:tabs>
        <w:ind w:left="2880" w:hanging="360"/>
      </w:pPr>
      <w:rPr>
        <w:rFonts w:ascii="Symbol" w:hAnsi="Symbol"/>
      </w:rPr>
    </w:lvl>
    <w:lvl w:ilvl="4" w:tplc="EEB2D928">
      <w:start w:val="1"/>
      <w:numFmt w:val="bullet"/>
      <w:lvlText w:val="o"/>
      <w:lvlJc w:val="left"/>
      <w:pPr>
        <w:tabs>
          <w:tab w:val="num" w:pos="3600"/>
        </w:tabs>
        <w:ind w:left="3600" w:hanging="360"/>
      </w:pPr>
      <w:rPr>
        <w:rFonts w:ascii="Courier New" w:hAnsi="Courier New"/>
      </w:rPr>
    </w:lvl>
    <w:lvl w:ilvl="5" w:tplc="8DDEE42E">
      <w:start w:val="1"/>
      <w:numFmt w:val="bullet"/>
      <w:lvlText w:val=""/>
      <w:lvlJc w:val="left"/>
      <w:pPr>
        <w:tabs>
          <w:tab w:val="num" w:pos="4320"/>
        </w:tabs>
        <w:ind w:left="4320" w:hanging="360"/>
      </w:pPr>
      <w:rPr>
        <w:rFonts w:ascii="Wingdings" w:hAnsi="Wingdings"/>
      </w:rPr>
    </w:lvl>
    <w:lvl w:ilvl="6" w:tplc="7AF6B358">
      <w:start w:val="1"/>
      <w:numFmt w:val="bullet"/>
      <w:lvlText w:val=""/>
      <w:lvlJc w:val="left"/>
      <w:pPr>
        <w:tabs>
          <w:tab w:val="num" w:pos="5040"/>
        </w:tabs>
        <w:ind w:left="5040" w:hanging="360"/>
      </w:pPr>
      <w:rPr>
        <w:rFonts w:ascii="Symbol" w:hAnsi="Symbol"/>
      </w:rPr>
    </w:lvl>
    <w:lvl w:ilvl="7" w:tplc="AEC8AAD2">
      <w:start w:val="1"/>
      <w:numFmt w:val="bullet"/>
      <w:lvlText w:val="o"/>
      <w:lvlJc w:val="left"/>
      <w:pPr>
        <w:tabs>
          <w:tab w:val="num" w:pos="5760"/>
        </w:tabs>
        <w:ind w:left="5760" w:hanging="360"/>
      </w:pPr>
      <w:rPr>
        <w:rFonts w:ascii="Courier New" w:hAnsi="Courier New"/>
      </w:rPr>
    </w:lvl>
    <w:lvl w:ilvl="8" w:tplc="AEEC01D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CCDA42C0">
      <w:start w:val="1"/>
      <w:numFmt w:val="bullet"/>
      <w:lvlText w:val=""/>
      <w:lvlJc w:val="left"/>
      <w:pPr>
        <w:ind w:left="720" w:hanging="360"/>
      </w:pPr>
      <w:rPr>
        <w:rFonts w:ascii="Symbol" w:hAnsi="Symbol"/>
      </w:rPr>
    </w:lvl>
    <w:lvl w:ilvl="1" w:tplc="101A10E0">
      <w:start w:val="1"/>
      <w:numFmt w:val="bullet"/>
      <w:lvlText w:val="o"/>
      <w:lvlJc w:val="left"/>
      <w:pPr>
        <w:tabs>
          <w:tab w:val="num" w:pos="1440"/>
        </w:tabs>
        <w:ind w:left="1440" w:hanging="360"/>
      </w:pPr>
      <w:rPr>
        <w:rFonts w:ascii="Courier New" w:hAnsi="Courier New"/>
      </w:rPr>
    </w:lvl>
    <w:lvl w:ilvl="2" w:tplc="D52442C2">
      <w:start w:val="1"/>
      <w:numFmt w:val="bullet"/>
      <w:lvlText w:val=""/>
      <w:lvlJc w:val="left"/>
      <w:pPr>
        <w:tabs>
          <w:tab w:val="num" w:pos="2160"/>
        </w:tabs>
        <w:ind w:left="2160" w:hanging="360"/>
      </w:pPr>
      <w:rPr>
        <w:rFonts w:ascii="Wingdings" w:hAnsi="Wingdings"/>
      </w:rPr>
    </w:lvl>
    <w:lvl w:ilvl="3" w:tplc="854055B0">
      <w:start w:val="1"/>
      <w:numFmt w:val="bullet"/>
      <w:lvlText w:val=""/>
      <w:lvlJc w:val="left"/>
      <w:pPr>
        <w:tabs>
          <w:tab w:val="num" w:pos="2880"/>
        </w:tabs>
        <w:ind w:left="2880" w:hanging="360"/>
      </w:pPr>
      <w:rPr>
        <w:rFonts w:ascii="Symbol" w:hAnsi="Symbol"/>
      </w:rPr>
    </w:lvl>
    <w:lvl w:ilvl="4" w:tplc="A4FCF58C">
      <w:start w:val="1"/>
      <w:numFmt w:val="bullet"/>
      <w:lvlText w:val="o"/>
      <w:lvlJc w:val="left"/>
      <w:pPr>
        <w:tabs>
          <w:tab w:val="num" w:pos="3600"/>
        </w:tabs>
        <w:ind w:left="3600" w:hanging="360"/>
      </w:pPr>
      <w:rPr>
        <w:rFonts w:ascii="Courier New" w:hAnsi="Courier New"/>
      </w:rPr>
    </w:lvl>
    <w:lvl w:ilvl="5" w:tplc="976212C2">
      <w:start w:val="1"/>
      <w:numFmt w:val="bullet"/>
      <w:lvlText w:val=""/>
      <w:lvlJc w:val="left"/>
      <w:pPr>
        <w:tabs>
          <w:tab w:val="num" w:pos="4320"/>
        </w:tabs>
        <w:ind w:left="4320" w:hanging="360"/>
      </w:pPr>
      <w:rPr>
        <w:rFonts w:ascii="Wingdings" w:hAnsi="Wingdings"/>
      </w:rPr>
    </w:lvl>
    <w:lvl w:ilvl="6" w:tplc="E758C56E">
      <w:start w:val="1"/>
      <w:numFmt w:val="bullet"/>
      <w:lvlText w:val=""/>
      <w:lvlJc w:val="left"/>
      <w:pPr>
        <w:tabs>
          <w:tab w:val="num" w:pos="5040"/>
        </w:tabs>
        <w:ind w:left="5040" w:hanging="360"/>
      </w:pPr>
      <w:rPr>
        <w:rFonts w:ascii="Symbol" w:hAnsi="Symbol"/>
      </w:rPr>
    </w:lvl>
    <w:lvl w:ilvl="7" w:tplc="B05A1086">
      <w:start w:val="1"/>
      <w:numFmt w:val="bullet"/>
      <w:lvlText w:val="o"/>
      <w:lvlJc w:val="left"/>
      <w:pPr>
        <w:tabs>
          <w:tab w:val="num" w:pos="5760"/>
        </w:tabs>
        <w:ind w:left="5760" w:hanging="360"/>
      </w:pPr>
      <w:rPr>
        <w:rFonts w:ascii="Courier New" w:hAnsi="Courier New"/>
      </w:rPr>
    </w:lvl>
    <w:lvl w:ilvl="8" w:tplc="635AE36A">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845E6944">
      <w:start w:val="1"/>
      <w:numFmt w:val="bullet"/>
      <w:lvlText w:val=""/>
      <w:lvlJc w:val="left"/>
      <w:pPr>
        <w:ind w:left="720" w:hanging="360"/>
      </w:pPr>
      <w:rPr>
        <w:rFonts w:ascii="Symbol" w:hAnsi="Symbol"/>
      </w:rPr>
    </w:lvl>
    <w:lvl w:ilvl="1" w:tplc="BCC08DC4">
      <w:start w:val="1"/>
      <w:numFmt w:val="bullet"/>
      <w:lvlText w:val="o"/>
      <w:lvlJc w:val="left"/>
      <w:pPr>
        <w:tabs>
          <w:tab w:val="num" w:pos="1440"/>
        </w:tabs>
        <w:ind w:left="1440" w:hanging="360"/>
      </w:pPr>
      <w:rPr>
        <w:rFonts w:ascii="Courier New" w:hAnsi="Courier New"/>
      </w:rPr>
    </w:lvl>
    <w:lvl w:ilvl="2" w:tplc="026E7646">
      <w:start w:val="1"/>
      <w:numFmt w:val="bullet"/>
      <w:lvlText w:val=""/>
      <w:lvlJc w:val="left"/>
      <w:pPr>
        <w:tabs>
          <w:tab w:val="num" w:pos="2160"/>
        </w:tabs>
        <w:ind w:left="2160" w:hanging="360"/>
      </w:pPr>
      <w:rPr>
        <w:rFonts w:ascii="Wingdings" w:hAnsi="Wingdings"/>
      </w:rPr>
    </w:lvl>
    <w:lvl w:ilvl="3" w:tplc="F4AAE438">
      <w:start w:val="1"/>
      <w:numFmt w:val="bullet"/>
      <w:lvlText w:val=""/>
      <w:lvlJc w:val="left"/>
      <w:pPr>
        <w:tabs>
          <w:tab w:val="num" w:pos="2880"/>
        </w:tabs>
        <w:ind w:left="2880" w:hanging="360"/>
      </w:pPr>
      <w:rPr>
        <w:rFonts w:ascii="Symbol" w:hAnsi="Symbol"/>
      </w:rPr>
    </w:lvl>
    <w:lvl w:ilvl="4" w:tplc="F51E33FA">
      <w:start w:val="1"/>
      <w:numFmt w:val="bullet"/>
      <w:lvlText w:val="o"/>
      <w:lvlJc w:val="left"/>
      <w:pPr>
        <w:tabs>
          <w:tab w:val="num" w:pos="3600"/>
        </w:tabs>
        <w:ind w:left="3600" w:hanging="360"/>
      </w:pPr>
      <w:rPr>
        <w:rFonts w:ascii="Courier New" w:hAnsi="Courier New"/>
      </w:rPr>
    </w:lvl>
    <w:lvl w:ilvl="5" w:tplc="5FCC9436">
      <w:start w:val="1"/>
      <w:numFmt w:val="bullet"/>
      <w:lvlText w:val=""/>
      <w:lvlJc w:val="left"/>
      <w:pPr>
        <w:tabs>
          <w:tab w:val="num" w:pos="4320"/>
        </w:tabs>
        <w:ind w:left="4320" w:hanging="360"/>
      </w:pPr>
      <w:rPr>
        <w:rFonts w:ascii="Wingdings" w:hAnsi="Wingdings"/>
      </w:rPr>
    </w:lvl>
    <w:lvl w:ilvl="6" w:tplc="73FC0018">
      <w:start w:val="1"/>
      <w:numFmt w:val="bullet"/>
      <w:lvlText w:val=""/>
      <w:lvlJc w:val="left"/>
      <w:pPr>
        <w:tabs>
          <w:tab w:val="num" w:pos="5040"/>
        </w:tabs>
        <w:ind w:left="5040" w:hanging="360"/>
      </w:pPr>
      <w:rPr>
        <w:rFonts w:ascii="Symbol" w:hAnsi="Symbol"/>
      </w:rPr>
    </w:lvl>
    <w:lvl w:ilvl="7" w:tplc="114CD4DA">
      <w:start w:val="1"/>
      <w:numFmt w:val="bullet"/>
      <w:lvlText w:val="o"/>
      <w:lvlJc w:val="left"/>
      <w:pPr>
        <w:tabs>
          <w:tab w:val="num" w:pos="5760"/>
        </w:tabs>
        <w:ind w:left="5760" w:hanging="360"/>
      </w:pPr>
      <w:rPr>
        <w:rFonts w:ascii="Courier New" w:hAnsi="Courier New"/>
      </w:rPr>
    </w:lvl>
    <w:lvl w:ilvl="8" w:tplc="6F6C0F3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917847E8">
      <w:start w:val="1"/>
      <w:numFmt w:val="bullet"/>
      <w:lvlText w:val=""/>
      <w:lvlJc w:val="left"/>
      <w:pPr>
        <w:ind w:left="720" w:hanging="360"/>
      </w:pPr>
      <w:rPr>
        <w:rFonts w:ascii="Symbol" w:hAnsi="Symbol"/>
      </w:rPr>
    </w:lvl>
    <w:lvl w:ilvl="1" w:tplc="20AA5FA0">
      <w:start w:val="1"/>
      <w:numFmt w:val="bullet"/>
      <w:lvlText w:val="o"/>
      <w:lvlJc w:val="left"/>
      <w:pPr>
        <w:tabs>
          <w:tab w:val="num" w:pos="1440"/>
        </w:tabs>
        <w:ind w:left="1440" w:hanging="360"/>
      </w:pPr>
      <w:rPr>
        <w:rFonts w:ascii="Courier New" w:hAnsi="Courier New"/>
      </w:rPr>
    </w:lvl>
    <w:lvl w:ilvl="2" w:tplc="D7F68314">
      <w:start w:val="1"/>
      <w:numFmt w:val="bullet"/>
      <w:lvlText w:val=""/>
      <w:lvlJc w:val="left"/>
      <w:pPr>
        <w:tabs>
          <w:tab w:val="num" w:pos="2160"/>
        </w:tabs>
        <w:ind w:left="2160" w:hanging="360"/>
      </w:pPr>
      <w:rPr>
        <w:rFonts w:ascii="Wingdings" w:hAnsi="Wingdings"/>
      </w:rPr>
    </w:lvl>
    <w:lvl w:ilvl="3" w:tplc="F8D22326">
      <w:start w:val="1"/>
      <w:numFmt w:val="bullet"/>
      <w:lvlText w:val=""/>
      <w:lvlJc w:val="left"/>
      <w:pPr>
        <w:tabs>
          <w:tab w:val="num" w:pos="2880"/>
        </w:tabs>
        <w:ind w:left="2880" w:hanging="360"/>
      </w:pPr>
      <w:rPr>
        <w:rFonts w:ascii="Symbol" w:hAnsi="Symbol"/>
      </w:rPr>
    </w:lvl>
    <w:lvl w:ilvl="4" w:tplc="CDEA2E78">
      <w:start w:val="1"/>
      <w:numFmt w:val="bullet"/>
      <w:lvlText w:val="o"/>
      <w:lvlJc w:val="left"/>
      <w:pPr>
        <w:tabs>
          <w:tab w:val="num" w:pos="3600"/>
        </w:tabs>
        <w:ind w:left="3600" w:hanging="360"/>
      </w:pPr>
      <w:rPr>
        <w:rFonts w:ascii="Courier New" w:hAnsi="Courier New"/>
      </w:rPr>
    </w:lvl>
    <w:lvl w:ilvl="5" w:tplc="FFF63F2E">
      <w:start w:val="1"/>
      <w:numFmt w:val="bullet"/>
      <w:lvlText w:val=""/>
      <w:lvlJc w:val="left"/>
      <w:pPr>
        <w:tabs>
          <w:tab w:val="num" w:pos="4320"/>
        </w:tabs>
        <w:ind w:left="4320" w:hanging="360"/>
      </w:pPr>
      <w:rPr>
        <w:rFonts w:ascii="Wingdings" w:hAnsi="Wingdings"/>
      </w:rPr>
    </w:lvl>
    <w:lvl w:ilvl="6" w:tplc="3EB64258">
      <w:start w:val="1"/>
      <w:numFmt w:val="bullet"/>
      <w:lvlText w:val=""/>
      <w:lvlJc w:val="left"/>
      <w:pPr>
        <w:tabs>
          <w:tab w:val="num" w:pos="5040"/>
        </w:tabs>
        <w:ind w:left="5040" w:hanging="360"/>
      </w:pPr>
      <w:rPr>
        <w:rFonts w:ascii="Symbol" w:hAnsi="Symbol"/>
      </w:rPr>
    </w:lvl>
    <w:lvl w:ilvl="7" w:tplc="792CF90E">
      <w:start w:val="1"/>
      <w:numFmt w:val="bullet"/>
      <w:lvlText w:val="o"/>
      <w:lvlJc w:val="left"/>
      <w:pPr>
        <w:tabs>
          <w:tab w:val="num" w:pos="5760"/>
        </w:tabs>
        <w:ind w:left="5760" w:hanging="360"/>
      </w:pPr>
      <w:rPr>
        <w:rFonts w:ascii="Courier New" w:hAnsi="Courier New"/>
      </w:rPr>
    </w:lvl>
    <w:lvl w:ilvl="8" w:tplc="393C435A">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C500077C">
      <w:start w:val="1"/>
      <w:numFmt w:val="bullet"/>
      <w:lvlText w:val=""/>
      <w:lvlJc w:val="left"/>
      <w:pPr>
        <w:ind w:left="720" w:hanging="360"/>
      </w:pPr>
      <w:rPr>
        <w:rFonts w:ascii="Symbol" w:hAnsi="Symbol"/>
      </w:rPr>
    </w:lvl>
    <w:lvl w:ilvl="1" w:tplc="640C996A">
      <w:start w:val="1"/>
      <w:numFmt w:val="bullet"/>
      <w:lvlText w:val="o"/>
      <w:lvlJc w:val="left"/>
      <w:pPr>
        <w:tabs>
          <w:tab w:val="num" w:pos="1440"/>
        </w:tabs>
        <w:ind w:left="1440" w:hanging="360"/>
      </w:pPr>
      <w:rPr>
        <w:rFonts w:ascii="Courier New" w:hAnsi="Courier New"/>
      </w:rPr>
    </w:lvl>
    <w:lvl w:ilvl="2" w:tplc="E23C92E0">
      <w:start w:val="1"/>
      <w:numFmt w:val="bullet"/>
      <w:lvlText w:val=""/>
      <w:lvlJc w:val="left"/>
      <w:pPr>
        <w:tabs>
          <w:tab w:val="num" w:pos="2160"/>
        </w:tabs>
        <w:ind w:left="2160" w:hanging="360"/>
      </w:pPr>
      <w:rPr>
        <w:rFonts w:ascii="Wingdings" w:hAnsi="Wingdings"/>
      </w:rPr>
    </w:lvl>
    <w:lvl w:ilvl="3" w:tplc="01F0C0C6">
      <w:start w:val="1"/>
      <w:numFmt w:val="bullet"/>
      <w:lvlText w:val=""/>
      <w:lvlJc w:val="left"/>
      <w:pPr>
        <w:tabs>
          <w:tab w:val="num" w:pos="2880"/>
        </w:tabs>
        <w:ind w:left="2880" w:hanging="360"/>
      </w:pPr>
      <w:rPr>
        <w:rFonts w:ascii="Symbol" w:hAnsi="Symbol"/>
      </w:rPr>
    </w:lvl>
    <w:lvl w:ilvl="4" w:tplc="18086D1C">
      <w:start w:val="1"/>
      <w:numFmt w:val="bullet"/>
      <w:lvlText w:val="o"/>
      <w:lvlJc w:val="left"/>
      <w:pPr>
        <w:tabs>
          <w:tab w:val="num" w:pos="3600"/>
        </w:tabs>
        <w:ind w:left="3600" w:hanging="360"/>
      </w:pPr>
      <w:rPr>
        <w:rFonts w:ascii="Courier New" w:hAnsi="Courier New"/>
      </w:rPr>
    </w:lvl>
    <w:lvl w:ilvl="5" w:tplc="3BC20E06">
      <w:start w:val="1"/>
      <w:numFmt w:val="bullet"/>
      <w:lvlText w:val=""/>
      <w:lvlJc w:val="left"/>
      <w:pPr>
        <w:tabs>
          <w:tab w:val="num" w:pos="4320"/>
        </w:tabs>
        <w:ind w:left="4320" w:hanging="360"/>
      </w:pPr>
      <w:rPr>
        <w:rFonts w:ascii="Wingdings" w:hAnsi="Wingdings"/>
      </w:rPr>
    </w:lvl>
    <w:lvl w:ilvl="6" w:tplc="44DE5972">
      <w:start w:val="1"/>
      <w:numFmt w:val="bullet"/>
      <w:lvlText w:val=""/>
      <w:lvlJc w:val="left"/>
      <w:pPr>
        <w:tabs>
          <w:tab w:val="num" w:pos="5040"/>
        </w:tabs>
        <w:ind w:left="5040" w:hanging="360"/>
      </w:pPr>
      <w:rPr>
        <w:rFonts w:ascii="Symbol" w:hAnsi="Symbol"/>
      </w:rPr>
    </w:lvl>
    <w:lvl w:ilvl="7" w:tplc="D130B0DC">
      <w:start w:val="1"/>
      <w:numFmt w:val="bullet"/>
      <w:lvlText w:val="o"/>
      <w:lvlJc w:val="left"/>
      <w:pPr>
        <w:tabs>
          <w:tab w:val="num" w:pos="5760"/>
        </w:tabs>
        <w:ind w:left="5760" w:hanging="360"/>
      </w:pPr>
      <w:rPr>
        <w:rFonts w:ascii="Courier New" w:hAnsi="Courier New"/>
      </w:rPr>
    </w:lvl>
    <w:lvl w:ilvl="8" w:tplc="8E0A98EE">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E57C4C7C">
      <w:start w:val="1"/>
      <w:numFmt w:val="bullet"/>
      <w:lvlText w:val=""/>
      <w:lvlJc w:val="left"/>
      <w:pPr>
        <w:ind w:left="720" w:hanging="360"/>
      </w:pPr>
      <w:rPr>
        <w:rFonts w:ascii="Symbol" w:hAnsi="Symbol"/>
      </w:rPr>
    </w:lvl>
    <w:lvl w:ilvl="1" w:tplc="A9547B9C">
      <w:start w:val="1"/>
      <w:numFmt w:val="bullet"/>
      <w:lvlText w:val="o"/>
      <w:lvlJc w:val="left"/>
      <w:pPr>
        <w:tabs>
          <w:tab w:val="num" w:pos="1440"/>
        </w:tabs>
        <w:ind w:left="1440" w:hanging="360"/>
      </w:pPr>
      <w:rPr>
        <w:rFonts w:ascii="Courier New" w:hAnsi="Courier New"/>
      </w:rPr>
    </w:lvl>
    <w:lvl w:ilvl="2" w:tplc="828808B2">
      <w:start w:val="1"/>
      <w:numFmt w:val="bullet"/>
      <w:lvlText w:val=""/>
      <w:lvlJc w:val="left"/>
      <w:pPr>
        <w:tabs>
          <w:tab w:val="num" w:pos="2160"/>
        </w:tabs>
        <w:ind w:left="2160" w:hanging="360"/>
      </w:pPr>
      <w:rPr>
        <w:rFonts w:ascii="Wingdings" w:hAnsi="Wingdings"/>
      </w:rPr>
    </w:lvl>
    <w:lvl w:ilvl="3" w:tplc="0894922A">
      <w:start w:val="1"/>
      <w:numFmt w:val="bullet"/>
      <w:lvlText w:val=""/>
      <w:lvlJc w:val="left"/>
      <w:pPr>
        <w:tabs>
          <w:tab w:val="num" w:pos="2880"/>
        </w:tabs>
        <w:ind w:left="2880" w:hanging="360"/>
      </w:pPr>
      <w:rPr>
        <w:rFonts w:ascii="Symbol" w:hAnsi="Symbol"/>
      </w:rPr>
    </w:lvl>
    <w:lvl w:ilvl="4" w:tplc="E7E87724">
      <w:start w:val="1"/>
      <w:numFmt w:val="bullet"/>
      <w:lvlText w:val="o"/>
      <w:lvlJc w:val="left"/>
      <w:pPr>
        <w:tabs>
          <w:tab w:val="num" w:pos="3600"/>
        </w:tabs>
        <w:ind w:left="3600" w:hanging="360"/>
      </w:pPr>
      <w:rPr>
        <w:rFonts w:ascii="Courier New" w:hAnsi="Courier New"/>
      </w:rPr>
    </w:lvl>
    <w:lvl w:ilvl="5" w:tplc="31BC4534">
      <w:start w:val="1"/>
      <w:numFmt w:val="bullet"/>
      <w:lvlText w:val=""/>
      <w:lvlJc w:val="left"/>
      <w:pPr>
        <w:tabs>
          <w:tab w:val="num" w:pos="4320"/>
        </w:tabs>
        <w:ind w:left="4320" w:hanging="360"/>
      </w:pPr>
      <w:rPr>
        <w:rFonts w:ascii="Wingdings" w:hAnsi="Wingdings"/>
      </w:rPr>
    </w:lvl>
    <w:lvl w:ilvl="6" w:tplc="46685158">
      <w:start w:val="1"/>
      <w:numFmt w:val="bullet"/>
      <w:lvlText w:val=""/>
      <w:lvlJc w:val="left"/>
      <w:pPr>
        <w:tabs>
          <w:tab w:val="num" w:pos="5040"/>
        </w:tabs>
        <w:ind w:left="5040" w:hanging="360"/>
      </w:pPr>
      <w:rPr>
        <w:rFonts w:ascii="Symbol" w:hAnsi="Symbol"/>
      </w:rPr>
    </w:lvl>
    <w:lvl w:ilvl="7" w:tplc="03982624">
      <w:start w:val="1"/>
      <w:numFmt w:val="bullet"/>
      <w:lvlText w:val="o"/>
      <w:lvlJc w:val="left"/>
      <w:pPr>
        <w:tabs>
          <w:tab w:val="num" w:pos="5760"/>
        </w:tabs>
        <w:ind w:left="5760" w:hanging="360"/>
      </w:pPr>
      <w:rPr>
        <w:rFonts w:ascii="Courier New" w:hAnsi="Courier New"/>
      </w:rPr>
    </w:lvl>
    <w:lvl w:ilvl="8" w:tplc="BA1C675C">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42DC3FC4">
      <w:start w:val="1"/>
      <w:numFmt w:val="bullet"/>
      <w:lvlText w:val=""/>
      <w:lvlJc w:val="left"/>
      <w:pPr>
        <w:ind w:left="720" w:hanging="360"/>
      </w:pPr>
      <w:rPr>
        <w:rFonts w:ascii="Symbol" w:hAnsi="Symbol"/>
      </w:rPr>
    </w:lvl>
    <w:lvl w:ilvl="1" w:tplc="C8EC8882">
      <w:start w:val="1"/>
      <w:numFmt w:val="bullet"/>
      <w:lvlText w:val="o"/>
      <w:lvlJc w:val="left"/>
      <w:pPr>
        <w:tabs>
          <w:tab w:val="num" w:pos="1440"/>
        </w:tabs>
        <w:ind w:left="1440" w:hanging="360"/>
      </w:pPr>
      <w:rPr>
        <w:rFonts w:ascii="Courier New" w:hAnsi="Courier New"/>
      </w:rPr>
    </w:lvl>
    <w:lvl w:ilvl="2" w:tplc="89E4924C">
      <w:start w:val="1"/>
      <w:numFmt w:val="bullet"/>
      <w:lvlText w:val=""/>
      <w:lvlJc w:val="left"/>
      <w:pPr>
        <w:tabs>
          <w:tab w:val="num" w:pos="2160"/>
        </w:tabs>
        <w:ind w:left="2160" w:hanging="360"/>
      </w:pPr>
      <w:rPr>
        <w:rFonts w:ascii="Wingdings" w:hAnsi="Wingdings"/>
      </w:rPr>
    </w:lvl>
    <w:lvl w:ilvl="3" w:tplc="E97AAA9E">
      <w:start w:val="1"/>
      <w:numFmt w:val="bullet"/>
      <w:lvlText w:val=""/>
      <w:lvlJc w:val="left"/>
      <w:pPr>
        <w:tabs>
          <w:tab w:val="num" w:pos="2880"/>
        </w:tabs>
        <w:ind w:left="2880" w:hanging="360"/>
      </w:pPr>
      <w:rPr>
        <w:rFonts w:ascii="Symbol" w:hAnsi="Symbol"/>
      </w:rPr>
    </w:lvl>
    <w:lvl w:ilvl="4" w:tplc="F6B04F28">
      <w:start w:val="1"/>
      <w:numFmt w:val="bullet"/>
      <w:lvlText w:val="o"/>
      <w:lvlJc w:val="left"/>
      <w:pPr>
        <w:tabs>
          <w:tab w:val="num" w:pos="3600"/>
        </w:tabs>
        <w:ind w:left="3600" w:hanging="360"/>
      </w:pPr>
      <w:rPr>
        <w:rFonts w:ascii="Courier New" w:hAnsi="Courier New"/>
      </w:rPr>
    </w:lvl>
    <w:lvl w:ilvl="5" w:tplc="490A8876">
      <w:start w:val="1"/>
      <w:numFmt w:val="bullet"/>
      <w:lvlText w:val=""/>
      <w:lvlJc w:val="left"/>
      <w:pPr>
        <w:tabs>
          <w:tab w:val="num" w:pos="4320"/>
        </w:tabs>
        <w:ind w:left="4320" w:hanging="360"/>
      </w:pPr>
      <w:rPr>
        <w:rFonts w:ascii="Wingdings" w:hAnsi="Wingdings"/>
      </w:rPr>
    </w:lvl>
    <w:lvl w:ilvl="6" w:tplc="A58C870E">
      <w:start w:val="1"/>
      <w:numFmt w:val="bullet"/>
      <w:lvlText w:val=""/>
      <w:lvlJc w:val="left"/>
      <w:pPr>
        <w:tabs>
          <w:tab w:val="num" w:pos="5040"/>
        </w:tabs>
        <w:ind w:left="5040" w:hanging="360"/>
      </w:pPr>
      <w:rPr>
        <w:rFonts w:ascii="Symbol" w:hAnsi="Symbol"/>
      </w:rPr>
    </w:lvl>
    <w:lvl w:ilvl="7" w:tplc="9402AB26">
      <w:start w:val="1"/>
      <w:numFmt w:val="bullet"/>
      <w:lvlText w:val="o"/>
      <w:lvlJc w:val="left"/>
      <w:pPr>
        <w:tabs>
          <w:tab w:val="num" w:pos="5760"/>
        </w:tabs>
        <w:ind w:left="5760" w:hanging="360"/>
      </w:pPr>
      <w:rPr>
        <w:rFonts w:ascii="Courier New" w:hAnsi="Courier New"/>
      </w:rPr>
    </w:lvl>
    <w:lvl w:ilvl="8" w:tplc="4192FA1E">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E362BF44">
      <w:start w:val="1"/>
      <w:numFmt w:val="bullet"/>
      <w:lvlText w:val=""/>
      <w:lvlJc w:val="left"/>
      <w:pPr>
        <w:ind w:left="720" w:hanging="360"/>
      </w:pPr>
      <w:rPr>
        <w:rFonts w:ascii="Symbol" w:hAnsi="Symbol"/>
      </w:rPr>
    </w:lvl>
    <w:lvl w:ilvl="1" w:tplc="13ECB75A">
      <w:start w:val="1"/>
      <w:numFmt w:val="bullet"/>
      <w:lvlText w:val="o"/>
      <w:lvlJc w:val="left"/>
      <w:pPr>
        <w:tabs>
          <w:tab w:val="num" w:pos="1440"/>
        </w:tabs>
        <w:ind w:left="1440" w:hanging="360"/>
      </w:pPr>
      <w:rPr>
        <w:rFonts w:ascii="Courier New" w:hAnsi="Courier New"/>
      </w:rPr>
    </w:lvl>
    <w:lvl w:ilvl="2" w:tplc="8C74C4B2">
      <w:start w:val="1"/>
      <w:numFmt w:val="bullet"/>
      <w:lvlText w:val=""/>
      <w:lvlJc w:val="left"/>
      <w:pPr>
        <w:tabs>
          <w:tab w:val="num" w:pos="2160"/>
        </w:tabs>
        <w:ind w:left="2160" w:hanging="360"/>
      </w:pPr>
      <w:rPr>
        <w:rFonts w:ascii="Wingdings" w:hAnsi="Wingdings"/>
      </w:rPr>
    </w:lvl>
    <w:lvl w:ilvl="3" w:tplc="5B540D28">
      <w:start w:val="1"/>
      <w:numFmt w:val="bullet"/>
      <w:lvlText w:val=""/>
      <w:lvlJc w:val="left"/>
      <w:pPr>
        <w:tabs>
          <w:tab w:val="num" w:pos="2880"/>
        </w:tabs>
        <w:ind w:left="2880" w:hanging="360"/>
      </w:pPr>
      <w:rPr>
        <w:rFonts w:ascii="Symbol" w:hAnsi="Symbol"/>
      </w:rPr>
    </w:lvl>
    <w:lvl w:ilvl="4" w:tplc="FA2C0CFA">
      <w:start w:val="1"/>
      <w:numFmt w:val="bullet"/>
      <w:lvlText w:val="o"/>
      <w:lvlJc w:val="left"/>
      <w:pPr>
        <w:tabs>
          <w:tab w:val="num" w:pos="3600"/>
        </w:tabs>
        <w:ind w:left="3600" w:hanging="360"/>
      </w:pPr>
      <w:rPr>
        <w:rFonts w:ascii="Courier New" w:hAnsi="Courier New"/>
      </w:rPr>
    </w:lvl>
    <w:lvl w:ilvl="5" w:tplc="3DEAB314">
      <w:start w:val="1"/>
      <w:numFmt w:val="bullet"/>
      <w:lvlText w:val=""/>
      <w:lvlJc w:val="left"/>
      <w:pPr>
        <w:tabs>
          <w:tab w:val="num" w:pos="4320"/>
        </w:tabs>
        <w:ind w:left="4320" w:hanging="360"/>
      </w:pPr>
      <w:rPr>
        <w:rFonts w:ascii="Wingdings" w:hAnsi="Wingdings"/>
      </w:rPr>
    </w:lvl>
    <w:lvl w:ilvl="6" w:tplc="96E44FAA">
      <w:start w:val="1"/>
      <w:numFmt w:val="bullet"/>
      <w:lvlText w:val=""/>
      <w:lvlJc w:val="left"/>
      <w:pPr>
        <w:tabs>
          <w:tab w:val="num" w:pos="5040"/>
        </w:tabs>
        <w:ind w:left="5040" w:hanging="360"/>
      </w:pPr>
      <w:rPr>
        <w:rFonts w:ascii="Symbol" w:hAnsi="Symbol"/>
      </w:rPr>
    </w:lvl>
    <w:lvl w:ilvl="7" w:tplc="C060BA88">
      <w:start w:val="1"/>
      <w:numFmt w:val="bullet"/>
      <w:lvlText w:val="o"/>
      <w:lvlJc w:val="left"/>
      <w:pPr>
        <w:tabs>
          <w:tab w:val="num" w:pos="5760"/>
        </w:tabs>
        <w:ind w:left="5760" w:hanging="360"/>
      </w:pPr>
      <w:rPr>
        <w:rFonts w:ascii="Courier New" w:hAnsi="Courier New"/>
      </w:rPr>
    </w:lvl>
    <w:lvl w:ilvl="8" w:tplc="89BC531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919C8662">
      <w:start w:val="1"/>
      <w:numFmt w:val="bullet"/>
      <w:lvlText w:val=""/>
      <w:lvlJc w:val="left"/>
      <w:pPr>
        <w:ind w:left="720" w:hanging="360"/>
      </w:pPr>
      <w:rPr>
        <w:rFonts w:ascii="Symbol" w:hAnsi="Symbol"/>
      </w:rPr>
    </w:lvl>
    <w:lvl w:ilvl="1" w:tplc="D30C0794">
      <w:start w:val="1"/>
      <w:numFmt w:val="bullet"/>
      <w:lvlText w:val="o"/>
      <w:lvlJc w:val="left"/>
      <w:pPr>
        <w:tabs>
          <w:tab w:val="num" w:pos="1440"/>
        </w:tabs>
        <w:ind w:left="1440" w:hanging="360"/>
      </w:pPr>
      <w:rPr>
        <w:rFonts w:ascii="Courier New" w:hAnsi="Courier New"/>
      </w:rPr>
    </w:lvl>
    <w:lvl w:ilvl="2" w:tplc="F87EC5E6">
      <w:start w:val="1"/>
      <w:numFmt w:val="bullet"/>
      <w:lvlText w:val=""/>
      <w:lvlJc w:val="left"/>
      <w:pPr>
        <w:tabs>
          <w:tab w:val="num" w:pos="2160"/>
        </w:tabs>
        <w:ind w:left="2160" w:hanging="360"/>
      </w:pPr>
      <w:rPr>
        <w:rFonts w:ascii="Wingdings" w:hAnsi="Wingdings"/>
      </w:rPr>
    </w:lvl>
    <w:lvl w:ilvl="3" w:tplc="B676500A">
      <w:start w:val="1"/>
      <w:numFmt w:val="bullet"/>
      <w:lvlText w:val=""/>
      <w:lvlJc w:val="left"/>
      <w:pPr>
        <w:tabs>
          <w:tab w:val="num" w:pos="2880"/>
        </w:tabs>
        <w:ind w:left="2880" w:hanging="360"/>
      </w:pPr>
      <w:rPr>
        <w:rFonts w:ascii="Symbol" w:hAnsi="Symbol"/>
      </w:rPr>
    </w:lvl>
    <w:lvl w:ilvl="4" w:tplc="24EE26A0">
      <w:start w:val="1"/>
      <w:numFmt w:val="bullet"/>
      <w:lvlText w:val="o"/>
      <w:lvlJc w:val="left"/>
      <w:pPr>
        <w:tabs>
          <w:tab w:val="num" w:pos="3600"/>
        </w:tabs>
        <w:ind w:left="3600" w:hanging="360"/>
      </w:pPr>
      <w:rPr>
        <w:rFonts w:ascii="Courier New" w:hAnsi="Courier New"/>
      </w:rPr>
    </w:lvl>
    <w:lvl w:ilvl="5" w:tplc="2356F4C8">
      <w:start w:val="1"/>
      <w:numFmt w:val="bullet"/>
      <w:lvlText w:val=""/>
      <w:lvlJc w:val="left"/>
      <w:pPr>
        <w:tabs>
          <w:tab w:val="num" w:pos="4320"/>
        </w:tabs>
        <w:ind w:left="4320" w:hanging="360"/>
      </w:pPr>
      <w:rPr>
        <w:rFonts w:ascii="Wingdings" w:hAnsi="Wingdings"/>
      </w:rPr>
    </w:lvl>
    <w:lvl w:ilvl="6" w:tplc="37AAF1DE">
      <w:start w:val="1"/>
      <w:numFmt w:val="bullet"/>
      <w:lvlText w:val=""/>
      <w:lvlJc w:val="left"/>
      <w:pPr>
        <w:tabs>
          <w:tab w:val="num" w:pos="5040"/>
        </w:tabs>
        <w:ind w:left="5040" w:hanging="360"/>
      </w:pPr>
      <w:rPr>
        <w:rFonts w:ascii="Symbol" w:hAnsi="Symbol"/>
      </w:rPr>
    </w:lvl>
    <w:lvl w:ilvl="7" w:tplc="929E4710">
      <w:start w:val="1"/>
      <w:numFmt w:val="bullet"/>
      <w:lvlText w:val="o"/>
      <w:lvlJc w:val="left"/>
      <w:pPr>
        <w:tabs>
          <w:tab w:val="num" w:pos="5760"/>
        </w:tabs>
        <w:ind w:left="5760" w:hanging="360"/>
      </w:pPr>
      <w:rPr>
        <w:rFonts w:ascii="Courier New" w:hAnsi="Courier New"/>
      </w:rPr>
    </w:lvl>
    <w:lvl w:ilvl="8" w:tplc="AC70D9CC">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508B"/>
    <w:rsid w:val="00034D33"/>
    <w:rsid w:val="000470E1"/>
    <w:rsid w:val="000C5507"/>
    <w:rsid w:val="00134FE7"/>
    <w:rsid w:val="001E3F5F"/>
    <w:rsid w:val="002C5226"/>
    <w:rsid w:val="00352E2A"/>
    <w:rsid w:val="003D6528"/>
    <w:rsid w:val="003F6B0F"/>
    <w:rsid w:val="00445969"/>
    <w:rsid w:val="005F1200"/>
    <w:rsid w:val="006D2C24"/>
    <w:rsid w:val="00711B2D"/>
    <w:rsid w:val="007B3146"/>
    <w:rsid w:val="0081309D"/>
    <w:rsid w:val="00826200"/>
    <w:rsid w:val="008515D6"/>
    <w:rsid w:val="00857B1D"/>
    <w:rsid w:val="008850F3"/>
    <w:rsid w:val="008B1A31"/>
    <w:rsid w:val="00926302"/>
    <w:rsid w:val="009475EF"/>
    <w:rsid w:val="00951A4E"/>
    <w:rsid w:val="00954B50"/>
    <w:rsid w:val="009B148C"/>
    <w:rsid w:val="009C451D"/>
    <w:rsid w:val="00A77B3E"/>
    <w:rsid w:val="00AA4EAA"/>
    <w:rsid w:val="00B77948"/>
    <w:rsid w:val="00BE470A"/>
    <w:rsid w:val="00C4152C"/>
    <w:rsid w:val="00C915DD"/>
    <w:rsid w:val="00CA2A55"/>
    <w:rsid w:val="00D22038"/>
    <w:rsid w:val="00D32068"/>
    <w:rsid w:val="00DD0230"/>
    <w:rsid w:val="00DE68AC"/>
    <w:rsid w:val="00E4321E"/>
    <w:rsid w:val="00EC4D24"/>
    <w:rsid w:val="00EE0419"/>
    <w:rsid w:val="00F24066"/>
    <w:rsid w:val="00F27780"/>
    <w:rsid w:val="00F542E5"/>
    <w:rsid w:val="00F86336"/>
    <w:rsid w:val="00FE41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CBCE2"/>
  <w15:docId w15:val="{83E6AE2B-E3B6-4692-B44B-6AD240C0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paragraph" w:styleId="Naslov1">
    <w:name w:val="heading 1"/>
    <w:basedOn w:val="Navaden"/>
    <w:next w:val="Navaden"/>
    <w:qFormat/>
    <w:rsid w:val="00EF7B96"/>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EF7B96"/>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EF7B96"/>
    <w:pPr>
      <w:keepNext/>
      <w:spacing w:before="240" w:after="60"/>
      <w:outlineLvl w:val="2"/>
    </w:pPr>
    <w:rPr>
      <w:rFonts w:ascii="Arial" w:hAnsi="Arial" w:cs="Arial"/>
      <w:b/>
      <w:bCs/>
      <w:sz w:val="26"/>
      <w:szCs w:val="26"/>
    </w:rPr>
  </w:style>
  <w:style w:type="paragraph" w:styleId="Naslov4">
    <w:name w:val="heading 4"/>
    <w:basedOn w:val="Navaden"/>
    <w:next w:val="Navaden"/>
    <w:qFormat/>
    <w:rsid w:val="00EF7B96"/>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azalovsebine1">
    <w:name w:val="toc 1"/>
    <w:basedOn w:val="Navaden"/>
    <w:next w:val="Navaden"/>
    <w:autoRedefine/>
    <w:rsid w:val="00805BCE"/>
  </w:style>
  <w:style w:type="character" w:styleId="Hiperpovezava">
    <w:name w:val="Hyperlink"/>
    <w:basedOn w:val="Privzetapisavaodstavka"/>
    <w:rsid w:val="00EF7B96"/>
    <w:rPr>
      <w:color w:val="0000FF"/>
      <w:u w:val="single"/>
    </w:rPr>
  </w:style>
  <w:style w:type="paragraph" w:styleId="Kazalovsebine2">
    <w:name w:val="toc 2"/>
    <w:basedOn w:val="Navaden"/>
    <w:next w:val="Navaden"/>
    <w:autoRedefine/>
    <w:rsid w:val="00805BCE"/>
    <w:pPr>
      <w:ind w:left="240"/>
    </w:pPr>
  </w:style>
  <w:style w:type="paragraph" w:styleId="Kazalovsebine3">
    <w:name w:val="toc 3"/>
    <w:basedOn w:val="Navaden"/>
    <w:next w:val="Navaden"/>
    <w:autoRedefine/>
    <w:rsid w:val="00805BCE"/>
    <w:pPr>
      <w:ind w:left="480"/>
    </w:pPr>
  </w:style>
  <w:style w:type="paragraph" w:styleId="Kazalovsebine4">
    <w:name w:val="toc 4"/>
    <w:basedOn w:val="Navaden"/>
    <w:next w:val="Navaden"/>
    <w:autoRedefine/>
    <w:rsid w:val="00805BCE"/>
    <w:pPr>
      <w:ind w:left="720"/>
    </w:pPr>
  </w:style>
  <w:style w:type="character" w:styleId="Pripombasklic">
    <w:name w:val="annotation reference"/>
    <w:basedOn w:val="Privzetapisavaodstavka"/>
    <w:semiHidden/>
    <w:unhideWhenUsed/>
    <w:rsid w:val="003F6B0F"/>
    <w:rPr>
      <w:sz w:val="16"/>
      <w:szCs w:val="16"/>
    </w:rPr>
  </w:style>
  <w:style w:type="paragraph" w:styleId="Pripombabesedilo">
    <w:name w:val="annotation text"/>
    <w:basedOn w:val="Navaden"/>
    <w:link w:val="PripombabesediloZnak"/>
    <w:semiHidden/>
    <w:unhideWhenUsed/>
    <w:rsid w:val="003F6B0F"/>
    <w:rPr>
      <w:sz w:val="20"/>
      <w:szCs w:val="20"/>
    </w:rPr>
  </w:style>
  <w:style w:type="character" w:customStyle="1" w:styleId="PripombabesediloZnak">
    <w:name w:val="Pripomba – besedilo Znak"/>
    <w:basedOn w:val="Privzetapisavaodstavka"/>
    <w:link w:val="Pripombabesedilo"/>
    <w:semiHidden/>
    <w:rsid w:val="003F6B0F"/>
  </w:style>
  <w:style w:type="paragraph" w:styleId="Zadevapripombe">
    <w:name w:val="annotation subject"/>
    <w:basedOn w:val="Pripombabesedilo"/>
    <w:next w:val="Pripombabesedilo"/>
    <w:link w:val="ZadevapripombeZnak"/>
    <w:semiHidden/>
    <w:unhideWhenUsed/>
    <w:rsid w:val="003F6B0F"/>
    <w:rPr>
      <w:b/>
      <w:bCs/>
    </w:rPr>
  </w:style>
  <w:style w:type="character" w:customStyle="1" w:styleId="ZadevapripombeZnak">
    <w:name w:val="Zadeva pripombe Znak"/>
    <w:basedOn w:val="PripombabesediloZnak"/>
    <w:link w:val="Zadevapripombe"/>
    <w:semiHidden/>
    <w:rsid w:val="003F6B0F"/>
    <w:rPr>
      <w:b/>
      <w:bCs/>
    </w:rPr>
  </w:style>
  <w:style w:type="paragraph" w:styleId="Besedilooblaka">
    <w:name w:val="Balloon Text"/>
    <w:basedOn w:val="Navaden"/>
    <w:link w:val="BesedilooblakaZnak"/>
    <w:semiHidden/>
    <w:unhideWhenUsed/>
    <w:rsid w:val="003F6B0F"/>
    <w:rPr>
      <w:rFonts w:ascii="Segoe UI" w:hAnsi="Segoe UI" w:cs="Segoe UI"/>
      <w:sz w:val="18"/>
      <w:szCs w:val="18"/>
    </w:rPr>
  </w:style>
  <w:style w:type="character" w:customStyle="1" w:styleId="BesedilooblakaZnak">
    <w:name w:val="Besedilo oblačka Znak"/>
    <w:basedOn w:val="Privzetapisavaodstavka"/>
    <w:link w:val="Besedilooblaka"/>
    <w:semiHidden/>
    <w:rsid w:val="003F6B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44473">
      <w:bodyDiv w:val="1"/>
      <w:marLeft w:val="0"/>
      <w:marRight w:val="0"/>
      <w:marTop w:val="0"/>
      <w:marBottom w:val="0"/>
      <w:divBdr>
        <w:top w:val="none" w:sz="0" w:space="0" w:color="auto"/>
        <w:left w:val="none" w:sz="0" w:space="0" w:color="auto"/>
        <w:bottom w:val="none" w:sz="0" w:space="0" w:color="auto"/>
        <w:right w:val="none" w:sz="0" w:space="0" w:color="auto"/>
      </w:divBdr>
    </w:div>
    <w:div w:id="185290646">
      <w:bodyDiv w:val="1"/>
      <w:marLeft w:val="0"/>
      <w:marRight w:val="0"/>
      <w:marTop w:val="0"/>
      <w:marBottom w:val="0"/>
      <w:divBdr>
        <w:top w:val="none" w:sz="0" w:space="0" w:color="auto"/>
        <w:left w:val="none" w:sz="0" w:space="0" w:color="auto"/>
        <w:bottom w:val="none" w:sz="0" w:space="0" w:color="auto"/>
        <w:right w:val="none" w:sz="0" w:space="0" w:color="auto"/>
      </w:divBdr>
    </w:div>
    <w:div w:id="275873369">
      <w:bodyDiv w:val="1"/>
      <w:marLeft w:val="0"/>
      <w:marRight w:val="0"/>
      <w:marTop w:val="0"/>
      <w:marBottom w:val="0"/>
      <w:divBdr>
        <w:top w:val="none" w:sz="0" w:space="0" w:color="auto"/>
        <w:left w:val="none" w:sz="0" w:space="0" w:color="auto"/>
        <w:bottom w:val="none" w:sz="0" w:space="0" w:color="auto"/>
        <w:right w:val="none" w:sz="0" w:space="0" w:color="auto"/>
      </w:divBdr>
    </w:div>
    <w:div w:id="593510618">
      <w:bodyDiv w:val="1"/>
      <w:marLeft w:val="0"/>
      <w:marRight w:val="0"/>
      <w:marTop w:val="0"/>
      <w:marBottom w:val="0"/>
      <w:divBdr>
        <w:top w:val="none" w:sz="0" w:space="0" w:color="auto"/>
        <w:left w:val="none" w:sz="0" w:space="0" w:color="auto"/>
        <w:bottom w:val="none" w:sz="0" w:space="0" w:color="auto"/>
        <w:right w:val="none" w:sz="0" w:space="0" w:color="auto"/>
      </w:divBdr>
    </w:div>
    <w:div w:id="603805786">
      <w:bodyDiv w:val="1"/>
      <w:marLeft w:val="0"/>
      <w:marRight w:val="0"/>
      <w:marTop w:val="0"/>
      <w:marBottom w:val="0"/>
      <w:divBdr>
        <w:top w:val="none" w:sz="0" w:space="0" w:color="auto"/>
        <w:left w:val="none" w:sz="0" w:space="0" w:color="auto"/>
        <w:bottom w:val="none" w:sz="0" w:space="0" w:color="auto"/>
        <w:right w:val="none" w:sz="0" w:space="0" w:color="auto"/>
      </w:divBdr>
    </w:div>
    <w:div w:id="650136238">
      <w:bodyDiv w:val="1"/>
      <w:marLeft w:val="0"/>
      <w:marRight w:val="0"/>
      <w:marTop w:val="0"/>
      <w:marBottom w:val="0"/>
      <w:divBdr>
        <w:top w:val="none" w:sz="0" w:space="0" w:color="auto"/>
        <w:left w:val="none" w:sz="0" w:space="0" w:color="auto"/>
        <w:bottom w:val="none" w:sz="0" w:space="0" w:color="auto"/>
        <w:right w:val="none" w:sz="0" w:space="0" w:color="auto"/>
      </w:divBdr>
    </w:div>
    <w:div w:id="1172916853">
      <w:bodyDiv w:val="1"/>
      <w:marLeft w:val="0"/>
      <w:marRight w:val="0"/>
      <w:marTop w:val="0"/>
      <w:marBottom w:val="0"/>
      <w:divBdr>
        <w:top w:val="none" w:sz="0" w:space="0" w:color="auto"/>
        <w:left w:val="none" w:sz="0" w:space="0" w:color="auto"/>
        <w:bottom w:val="none" w:sz="0" w:space="0" w:color="auto"/>
        <w:right w:val="none" w:sz="0" w:space="0" w:color="auto"/>
      </w:divBdr>
    </w:div>
    <w:div w:id="1529298604">
      <w:bodyDiv w:val="1"/>
      <w:marLeft w:val="0"/>
      <w:marRight w:val="0"/>
      <w:marTop w:val="0"/>
      <w:marBottom w:val="0"/>
      <w:divBdr>
        <w:top w:val="none" w:sz="0" w:space="0" w:color="auto"/>
        <w:left w:val="none" w:sz="0" w:space="0" w:color="auto"/>
        <w:bottom w:val="none" w:sz="0" w:space="0" w:color="auto"/>
        <w:right w:val="none" w:sz="0" w:space="0" w:color="auto"/>
      </w:divBdr>
    </w:div>
    <w:div w:id="1547140829">
      <w:bodyDiv w:val="1"/>
      <w:marLeft w:val="0"/>
      <w:marRight w:val="0"/>
      <w:marTop w:val="0"/>
      <w:marBottom w:val="0"/>
      <w:divBdr>
        <w:top w:val="none" w:sz="0" w:space="0" w:color="auto"/>
        <w:left w:val="none" w:sz="0" w:space="0" w:color="auto"/>
        <w:bottom w:val="none" w:sz="0" w:space="0" w:color="auto"/>
        <w:right w:val="none" w:sz="0" w:space="0" w:color="auto"/>
      </w:divBdr>
    </w:div>
    <w:div w:id="1710489620">
      <w:bodyDiv w:val="1"/>
      <w:marLeft w:val="0"/>
      <w:marRight w:val="0"/>
      <w:marTop w:val="0"/>
      <w:marBottom w:val="0"/>
      <w:divBdr>
        <w:top w:val="none" w:sz="0" w:space="0" w:color="auto"/>
        <w:left w:val="none" w:sz="0" w:space="0" w:color="auto"/>
        <w:bottom w:val="none" w:sz="0" w:space="0" w:color="auto"/>
        <w:right w:val="none" w:sz="0" w:space="0" w:color="auto"/>
      </w:divBdr>
    </w:div>
    <w:div w:id="1932467455">
      <w:bodyDiv w:val="1"/>
      <w:marLeft w:val="0"/>
      <w:marRight w:val="0"/>
      <w:marTop w:val="0"/>
      <w:marBottom w:val="0"/>
      <w:divBdr>
        <w:top w:val="none" w:sz="0" w:space="0" w:color="auto"/>
        <w:left w:val="none" w:sz="0" w:space="0" w:color="auto"/>
        <w:bottom w:val="none" w:sz="0" w:space="0" w:color="auto"/>
        <w:right w:val="none" w:sz="0" w:space="0" w:color="auto"/>
      </w:divBdr>
    </w:div>
    <w:div w:id="2091345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117" Type="http://schemas.openxmlformats.org/officeDocument/2006/relationships/footer" Target="footer55.xml"/><Relationship Id="rId21" Type="http://schemas.openxmlformats.org/officeDocument/2006/relationships/footer" Target="footer7.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footer" Target="footer28.xml"/><Relationship Id="rId68" Type="http://schemas.openxmlformats.org/officeDocument/2006/relationships/header" Target="header32.xml"/><Relationship Id="rId84" Type="http://schemas.openxmlformats.org/officeDocument/2006/relationships/footer" Target="footer39.xml"/><Relationship Id="rId89" Type="http://schemas.openxmlformats.org/officeDocument/2006/relationships/header" Target="header42.xml"/><Relationship Id="rId112" Type="http://schemas.openxmlformats.org/officeDocument/2006/relationships/footer" Target="footer53.xml"/><Relationship Id="rId16" Type="http://schemas.openxmlformats.org/officeDocument/2006/relationships/footer" Target="footer5.xml"/><Relationship Id="rId107" Type="http://schemas.openxmlformats.org/officeDocument/2006/relationships/header" Target="header51.xml"/><Relationship Id="rId11" Type="http://schemas.openxmlformats.org/officeDocument/2006/relationships/header" Target="header3.xml"/><Relationship Id="rId32" Type="http://schemas.openxmlformats.org/officeDocument/2006/relationships/header" Target="header14.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6.xml"/><Relationship Id="rId74" Type="http://schemas.openxmlformats.org/officeDocument/2006/relationships/header" Target="header35.xml"/><Relationship Id="rId79" Type="http://schemas.openxmlformats.org/officeDocument/2006/relationships/header" Target="header37.xml"/><Relationship Id="rId102" Type="http://schemas.openxmlformats.org/officeDocument/2006/relationships/footer" Target="footer48.xml"/><Relationship Id="rId123" Type="http://schemas.openxmlformats.org/officeDocument/2006/relationships/footer" Target="footer58.xml"/><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footer" Target="footer42.xml"/><Relationship Id="rId95" Type="http://schemas.openxmlformats.org/officeDocument/2006/relationships/header" Target="header45.xml"/><Relationship Id="rId22" Type="http://schemas.openxmlformats.org/officeDocument/2006/relationships/footer" Target="footer8.xml"/><Relationship Id="rId27" Type="http://schemas.openxmlformats.org/officeDocument/2006/relationships/footer" Target="footer10.xml"/><Relationship Id="rId43" Type="http://schemas.openxmlformats.org/officeDocument/2006/relationships/header" Target="header19.xml"/><Relationship Id="rId48" Type="http://schemas.openxmlformats.org/officeDocument/2006/relationships/footer" Target="footer21.xml"/><Relationship Id="rId64" Type="http://schemas.openxmlformats.org/officeDocument/2006/relationships/footer" Target="footer29.xml"/><Relationship Id="rId69" Type="http://schemas.openxmlformats.org/officeDocument/2006/relationships/footer" Target="footer31.xml"/><Relationship Id="rId113" Type="http://schemas.openxmlformats.org/officeDocument/2006/relationships/header" Target="header54.xml"/><Relationship Id="rId118" Type="http://schemas.openxmlformats.org/officeDocument/2006/relationships/footer" Target="footer56.xml"/><Relationship Id="rId80" Type="http://schemas.openxmlformats.org/officeDocument/2006/relationships/header" Target="header38.xml"/><Relationship Id="rId85" Type="http://schemas.openxmlformats.org/officeDocument/2006/relationships/header" Target="header40.xml"/><Relationship Id="rId12" Type="http://schemas.openxmlformats.org/officeDocument/2006/relationships/footer" Target="footer3.xml"/><Relationship Id="rId17" Type="http://schemas.openxmlformats.org/officeDocument/2006/relationships/header" Target="header6.xml"/><Relationship Id="rId33" Type="http://schemas.openxmlformats.org/officeDocument/2006/relationships/footer" Target="footer13.xml"/><Relationship Id="rId38" Type="http://schemas.openxmlformats.org/officeDocument/2006/relationships/header" Target="header17.xml"/><Relationship Id="rId59" Type="http://schemas.openxmlformats.org/officeDocument/2006/relationships/header" Target="header27.xml"/><Relationship Id="rId103" Type="http://schemas.openxmlformats.org/officeDocument/2006/relationships/header" Target="header49.xml"/><Relationship Id="rId108" Type="http://schemas.openxmlformats.org/officeDocument/2006/relationships/footer" Target="footer51.xml"/><Relationship Id="rId124" Type="http://schemas.openxmlformats.org/officeDocument/2006/relationships/footer" Target="footer59.xml"/><Relationship Id="rId54" Type="http://schemas.openxmlformats.org/officeDocument/2006/relationships/footer" Target="footer24.xml"/><Relationship Id="rId70" Type="http://schemas.openxmlformats.org/officeDocument/2006/relationships/footer" Target="footer32.xml"/><Relationship Id="rId75" Type="http://schemas.openxmlformats.org/officeDocument/2006/relationships/footer" Target="footer34.xml"/><Relationship Id="rId91" Type="http://schemas.openxmlformats.org/officeDocument/2006/relationships/header" Target="header43.xml"/><Relationship Id="rId96" Type="http://schemas.openxmlformats.org/officeDocument/2006/relationships/footer" Target="footer45.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9.xml"/><Relationship Id="rId28" Type="http://schemas.openxmlformats.org/officeDocument/2006/relationships/footer" Target="footer11.xml"/><Relationship Id="rId49" Type="http://schemas.openxmlformats.org/officeDocument/2006/relationships/header" Target="header22.xml"/><Relationship Id="rId114" Type="http://schemas.openxmlformats.org/officeDocument/2006/relationships/footer" Target="footer54.xml"/><Relationship Id="rId119" Type="http://schemas.openxmlformats.org/officeDocument/2006/relationships/header" Target="header57.xml"/><Relationship Id="rId44" Type="http://schemas.openxmlformats.org/officeDocument/2006/relationships/header" Target="header20.xml"/><Relationship Id="rId60" Type="http://schemas.openxmlformats.org/officeDocument/2006/relationships/footer" Target="footer27.xml"/><Relationship Id="rId65" Type="http://schemas.openxmlformats.org/officeDocument/2006/relationships/header" Target="header30.xml"/><Relationship Id="rId81" Type="http://schemas.openxmlformats.org/officeDocument/2006/relationships/footer" Target="footer37.xml"/><Relationship Id="rId86" Type="http://schemas.openxmlformats.org/officeDocument/2006/relationships/header" Target="header4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109" Type="http://schemas.openxmlformats.org/officeDocument/2006/relationships/header" Target="header52.xml"/><Relationship Id="rId34"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header" Target="header25.xml"/><Relationship Id="rId76" Type="http://schemas.openxmlformats.org/officeDocument/2006/relationships/footer" Target="footer35.xml"/><Relationship Id="rId97" Type="http://schemas.openxmlformats.org/officeDocument/2006/relationships/header" Target="header46.xml"/><Relationship Id="rId104" Type="http://schemas.openxmlformats.org/officeDocument/2006/relationships/header" Target="header50.xml"/><Relationship Id="rId120" Type="http://schemas.openxmlformats.org/officeDocument/2006/relationships/footer" Target="footer57.xml"/><Relationship Id="rId125" Type="http://schemas.openxmlformats.org/officeDocument/2006/relationships/header" Target="header60.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header" Target="header44.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110" Type="http://schemas.openxmlformats.org/officeDocument/2006/relationships/header" Target="header53.xml"/><Relationship Id="rId115" Type="http://schemas.openxmlformats.org/officeDocument/2006/relationships/header" Target="header55.xml"/><Relationship Id="rId61" Type="http://schemas.openxmlformats.org/officeDocument/2006/relationships/header" Target="header28.xml"/><Relationship Id="rId82" Type="http://schemas.openxmlformats.org/officeDocument/2006/relationships/footer" Target="footer38.xml"/><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header" Target="header26.xml"/><Relationship Id="rId77" Type="http://schemas.openxmlformats.org/officeDocument/2006/relationships/header" Target="header36.xml"/><Relationship Id="rId100" Type="http://schemas.openxmlformats.org/officeDocument/2006/relationships/footer" Target="footer47.xml"/><Relationship Id="rId105" Type="http://schemas.openxmlformats.org/officeDocument/2006/relationships/footer" Target="footer49.xml"/><Relationship Id="rId126" Type="http://schemas.openxmlformats.org/officeDocument/2006/relationships/footer" Target="footer60.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93" Type="http://schemas.openxmlformats.org/officeDocument/2006/relationships/footer" Target="footer43.xml"/><Relationship Id="rId98" Type="http://schemas.openxmlformats.org/officeDocument/2006/relationships/header" Target="header47.xml"/><Relationship Id="rId121" Type="http://schemas.openxmlformats.org/officeDocument/2006/relationships/header" Target="header58.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31.xml"/><Relationship Id="rId116" Type="http://schemas.openxmlformats.org/officeDocument/2006/relationships/header" Target="header56.xml"/><Relationship Id="rId20" Type="http://schemas.openxmlformats.org/officeDocument/2006/relationships/header" Target="header8.xml"/><Relationship Id="rId41" Type="http://schemas.openxmlformats.org/officeDocument/2006/relationships/header" Target="header18.xml"/><Relationship Id="rId62" Type="http://schemas.openxmlformats.org/officeDocument/2006/relationships/header" Target="header29.xml"/><Relationship Id="rId83" Type="http://schemas.openxmlformats.org/officeDocument/2006/relationships/header" Target="header39.xml"/><Relationship Id="rId88" Type="http://schemas.openxmlformats.org/officeDocument/2006/relationships/footer" Target="footer41.xml"/><Relationship Id="rId111" Type="http://schemas.openxmlformats.org/officeDocument/2006/relationships/footer" Target="footer52.xml"/><Relationship Id="rId15" Type="http://schemas.openxmlformats.org/officeDocument/2006/relationships/footer" Target="footer4.xml"/><Relationship Id="rId36" Type="http://schemas.openxmlformats.org/officeDocument/2006/relationships/footer" Target="footer15.xml"/><Relationship Id="rId57" Type="http://schemas.openxmlformats.org/officeDocument/2006/relationships/footer" Target="footer25.xml"/><Relationship Id="rId106" Type="http://schemas.openxmlformats.org/officeDocument/2006/relationships/footer" Target="footer50.xml"/><Relationship Id="rId127"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footer" Target="footer23.xml"/><Relationship Id="rId73" Type="http://schemas.openxmlformats.org/officeDocument/2006/relationships/header" Target="header34.xml"/><Relationship Id="rId78" Type="http://schemas.openxmlformats.org/officeDocument/2006/relationships/footer" Target="footer36.xml"/><Relationship Id="rId94" Type="http://schemas.openxmlformats.org/officeDocument/2006/relationships/footer" Target="footer44.xml"/><Relationship Id="rId99" Type="http://schemas.openxmlformats.org/officeDocument/2006/relationships/footer" Target="footer46.xml"/><Relationship Id="rId101" Type="http://schemas.openxmlformats.org/officeDocument/2006/relationships/header" Target="header48.xml"/><Relationship Id="rId122" Type="http://schemas.openxmlformats.org/officeDocument/2006/relationships/header" Target="header59.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18119</Words>
  <Characters>103279</Characters>
  <Application>Microsoft Office Word</Application>
  <DocSecurity>0</DocSecurity>
  <Lines>860</Lines>
  <Paragraphs>242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Brešćanski</dc:creator>
  <cp:lastModifiedBy>Mirijam Senčar</cp:lastModifiedBy>
  <cp:revision>2</cp:revision>
  <dcterms:created xsi:type="dcterms:W3CDTF">2024-01-30T10:23:00Z</dcterms:created>
  <dcterms:modified xsi:type="dcterms:W3CDTF">2024-01-30T10:23:00Z</dcterms:modified>
</cp:coreProperties>
</file>